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32"/>
          <w:szCs w:val="32"/>
        </w:rPr>
      </w:pPr>
      <w:r>
        <w:rPr>
          <w:rFonts w:hint="eastAsia" w:ascii="宋体" w:hAnsi="宋体" w:eastAsia="宋体"/>
          <w:sz w:val="32"/>
          <w:szCs w:val="32"/>
        </w:rPr>
        <w:t>附件2：</w:t>
      </w:r>
    </w:p>
    <w:p>
      <w:pPr>
        <w:pStyle w:val="4"/>
        <w:rPr>
          <w:rFonts w:ascii="方正小标宋简体" w:eastAsia="方正小标宋简体"/>
          <w:b w:val="0"/>
          <w:sz w:val="44"/>
          <w:szCs w:val="44"/>
        </w:rPr>
      </w:pPr>
      <w:r>
        <w:rPr>
          <w:rFonts w:hint="eastAsia" w:ascii="方正小标宋简体" w:eastAsia="方正小标宋简体"/>
          <w:b w:val="0"/>
          <w:sz w:val="44"/>
          <w:szCs w:val="44"/>
        </w:rPr>
        <w:t>深圳市坪山区政府</w:t>
      </w:r>
      <w:r>
        <w:rPr>
          <w:rFonts w:ascii="方正小标宋简体" w:eastAsia="方正小标宋简体"/>
          <w:b w:val="0"/>
          <w:sz w:val="44"/>
          <w:szCs w:val="44"/>
        </w:rPr>
        <w:t>投资</w:t>
      </w:r>
      <w:r>
        <w:rPr>
          <w:rFonts w:hint="eastAsia" w:ascii="方正小标宋简体" w:eastAsia="方正小标宋简体"/>
          <w:b w:val="0"/>
          <w:sz w:val="44"/>
          <w:szCs w:val="44"/>
        </w:rPr>
        <w:t>建设工程承包商履约评价实施办法(试行)</w:t>
      </w:r>
    </w:p>
    <w:p>
      <w:pPr>
        <w:ind w:firstLine="640" w:firstLineChars="200"/>
        <w:rPr>
          <w:rFonts w:ascii="黑体" w:hAnsi="黑体" w:eastAsia="黑体"/>
          <w:sz w:val="32"/>
          <w:szCs w:val="32"/>
        </w:rPr>
      </w:pPr>
      <w:bookmarkStart w:id="0" w:name="_GoBack"/>
      <w:bookmarkEnd w:id="0"/>
    </w:p>
    <w:p>
      <w:pPr>
        <w:ind w:firstLine="640" w:firstLineChars="200"/>
        <w:rPr>
          <w:rFonts w:ascii="仿宋_GB2312" w:eastAsia="仿宋_GB2312" w:hAnsiTheme="minorEastAsia"/>
          <w:sz w:val="32"/>
          <w:szCs w:val="32"/>
        </w:rPr>
      </w:pPr>
      <w:r>
        <w:rPr>
          <w:rFonts w:hint="eastAsia" w:ascii="黑体" w:hAnsi="黑体" w:eastAsia="黑体"/>
          <w:sz w:val="32"/>
          <w:szCs w:val="32"/>
        </w:rPr>
        <w:t>第一条【目的与依据】</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为促进承包商依法、诚信履行工程合同和投标承诺，提高承包商履约水平，规范履约评价行为，保证工程的质量和安全，推进建筑市场诚信体系建设，营造公平竞争、诚实守信、忠实履约的建筑市场环境，根据《建筑市场信用管理暂行办法》（建市</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2017〕</w:t>
      </w:r>
      <w:r>
        <w:rPr>
          <w:rFonts w:hint="eastAsia" w:ascii="仿宋_GB2312" w:eastAsia="仿宋_GB2312" w:hAnsiTheme="minorEastAsia"/>
          <w:sz w:val="32"/>
          <w:szCs w:val="32"/>
        </w:rPr>
        <w:t>241 号）等有关要求，结合本区实际，制定本办法。</w:t>
      </w:r>
    </w:p>
    <w:p>
      <w:pPr>
        <w:ind w:firstLine="640" w:firstLineChars="200"/>
        <w:rPr>
          <w:rFonts w:ascii="仿宋_GB2312" w:eastAsia="仿宋_GB2312" w:hAnsiTheme="minorEastAsia"/>
          <w:sz w:val="32"/>
          <w:szCs w:val="32"/>
        </w:rPr>
      </w:pPr>
      <w:r>
        <w:rPr>
          <w:rFonts w:hint="eastAsia" w:ascii="黑体" w:hAnsi="黑体" w:eastAsia="黑体"/>
          <w:sz w:val="32"/>
          <w:szCs w:val="32"/>
        </w:rPr>
        <w:t>第二条【适用范围】</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对坪山区政府</w:t>
      </w:r>
      <w:r>
        <w:rPr>
          <w:rFonts w:ascii="仿宋_GB2312" w:eastAsia="仿宋_GB2312" w:hAnsiTheme="minorEastAsia"/>
          <w:sz w:val="32"/>
          <w:szCs w:val="32"/>
        </w:rPr>
        <w:t>投资</w:t>
      </w:r>
      <w:r>
        <w:rPr>
          <w:rFonts w:hint="eastAsia" w:ascii="仿宋_GB2312" w:eastAsia="仿宋_GB2312" w:hAnsiTheme="minorEastAsia"/>
          <w:sz w:val="32"/>
          <w:szCs w:val="32"/>
        </w:rPr>
        <w:t>建设工程的代建、勘察、设计、施工、监理、</w:t>
      </w:r>
      <w:r>
        <w:rPr>
          <w:rFonts w:ascii="仿宋_GB2312" w:eastAsia="仿宋_GB2312" w:hAnsiTheme="minorEastAsia"/>
          <w:sz w:val="32"/>
          <w:szCs w:val="32"/>
        </w:rPr>
        <w:t>造价咨询</w:t>
      </w:r>
      <w:r>
        <w:rPr>
          <w:rFonts w:hint="eastAsia" w:ascii="仿宋_GB2312" w:eastAsia="仿宋_GB2312" w:hAnsiTheme="minorEastAsia"/>
          <w:sz w:val="32"/>
          <w:szCs w:val="32"/>
        </w:rPr>
        <w:t>等承包商进行履约评价，适用本办法。</w:t>
      </w:r>
    </w:p>
    <w:p>
      <w:pPr>
        <w:ind w:firstLine="640" w:firstLineChars="200"/>
        <w:rPr>
          <w:rFonts w:ascii="仿宋_GB2312" w:eastAsia="仿宋_GB2312" w:hAnsiTheme="minorEastAsia"/>
          <w:sz w:val="32"/>
          <w:szCs w:val="32"/>
        </w:rPr>
      </w:pPr>
      <w:r>
        <w:rPr>
          <w:rFonts w:hint="eastAsia" w:ascii="黑体" w:hAnsi="黑体" w:eastAsia="黑体"/>
          <w:sz w:val="32"/>
          <w:szCs w:val="32"/>
        </w:rPr>
        <w:t>第三条【评价原则】</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履约评价应当实事求是，遵循客观、公平、公开和公正的原则。</w:t>
      </w:r>
    </w:p>
    <w:p>
      <w:pPr>
        <w:ind w:firstLine="640" w:firstLineChars="200"/>
        <w:rPr>
          <w:rFonts w:ascii="仿宋_GB2312" w:eastAsia="仿宋_GB2312" w:hAnsiTheme="minorEastAsia"/>
          <w:sz w:val="32"/>
          <w:szCs w:val="32"/>
        </w:rPr>
      </w:pPr>
      <w:r>
        <w:rPr>
          <w:rFonts w:hint="eastAsia" w:ascii="黑体" w:hAnsi="黑体" w:eastAsia="黑体"/>
          <w:sz w:val="32"/>
          <w:szCs w:val="32"/>
        </w:rPr>
        <w:t>第四条【监管部门及平台】</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区住房和建设局对全区政府</w:t>
      </w:r>
      <w:r>
        <w:rPr>
          <w:rFonts w:ascii="仿宋_GB2312" w:eastAsia="仿宋_GB2312" w:hAnsiTheme="minorEastAsia"/>
          <w:sz w:val="32"/>
          <w:szCs w:val="32"/>
        </w:rPr>
        <w:t>投资建设</w:t>
      </w:r>
      <w:r>
        <w:rPr>
          <w:rFonts w:hint="eastAsia" w:ascii="仿宋_GB2312" w:eastAsia="仿宋_GB2312" w:hAnsiTheme="minorEastAsia"/>
          <w:sz w:val="32"/>
          <w:szCs w:val="32"/>
        </w:rPr>
        <w:t>工程承包商履约评价活动进行监督管理，同时在坪山区建设工程履约评价共享平台上进行监督应用。</w:t>
      </w:r>
    </w:p>
    <w:p>
      <w:pPr>
        <w:ind w:firstLine="640" w:firstLineChars="200"/>
        <w:rPr>
          <w:rFonts w:ascii="仿宋_GB2312" w:hAnsi="仿宋_GB2312" w:eastAsia="仿宋_GB2312" w:cs="仿宋_GB2312"/>
          <w:color w:val="000000"/>
          <w:sz w:val="32"/>
          <w:szCs w:val="32"/>
        </w:rPr>
      </w:pPr>
      <w:r>
        <w:rPr>
          <w:rFonts w:hint="eastAsia" w:ascii="黑体" w:hAnsi="黑体" w:eastAsia="黑体"/>
          <w:sz w:val="32"/>
          <w:szCs w:val="32"/>
        </w:rPr>
        <w:t>第五条【评价分类】</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工程建设单位对承包商的履约评价分为单项工程定期履约评价和单项工程最终履约评价。</w:t>
      </w:r>
      <w:r>
        <w:rPr>
          <w:rFonts w:hint="eastAsia" w:ascii="仿宋_GB2312" w:eastAsia="仿宋_GB2312" w:cs="仿宋_GB2312"/>
          <w:color w:val="000000"/>
          <w:kern w:val="0"/>
          <w:sz w:val="32"/>
          <w:szCs w:val="32"/>
        </w:rPr>
        <w:t>单项工程</w:t>
      </w:r>
      <w:r>
        <w:rPr>
          <w:rFonts w:hint="eastAsia" w:ascii="仿宋_GB2312" w:hAnsi="仿宋_GB2312" w:eastAsia="仿宋_GB2312" w:cs="仿宋_GB2312"/>
          <w:color w:val="000000"/>
          <w:sz w:val="32"/>
          <w:szCs w:val="32"/>
        </w:rPr>
        <w:t>定期履约评价</w:t>
      </w:r>
      <w:r>
        <w:rPr>
          <w:rFonts w:hint="eastAsia" w:ascii="仿宋_GB2312" w:eastAsia="仿宋_GB2312" w:cs="仿宋_GB2312"/>
          <w:color w:val="000000"/>
          <w:kern w:val="0"/>
          <w:sz w:val="32"/>
          <w:szCs w:val="32"/>
        </w:rPr>
        <w:t>，是指在合同履行期间，</w:t>
      </w:r>
      <w:r>
        <w:rPr>
          <w:rFonts w:hint="eastAsia" w:ascii="仿宋_GB2312" w:hAnsi="仿宋_GB2312" w:eastAsia="仿宋_GB2312" w:cs="仿宋_GB2312"/>
          <w:color w:val="000000"/>
          <w:sz w:val="32"/>
          <w:szCs w:val="32"/>
        </w:rPr>
        <w:t>工程建设单位按照评价标准、履约评分表,对承包商就某一具体工程项目的履约行为定期进行的具体评价；单项工程最终履约评价，是指合同履行完毕后，工程建设单位综合单项工程定期履约评价情况，对承包商的履约行为进行最终的总体评价。</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年度履约评价，是指区住房和建设局按照</w:t>
      </w:r>
      <w:r>
        <w:rPr>
          <w:rFonts w:ascii="仿宋_GB2312" w:eastAsia="仿宋_GB2312" w:hAnsiTheme="minorEastAsia"/>
          <w:sz w:val="32"/>
          <w:szCs w:val="32"/>
        </w:rPr>
        <w:t>本办法规定的方法</w:t>
      </w:r>
      <w:r>
        <w:rPr>
          <w:rFonts w:hint="eastAsia" w:ascii="仿宋_GB2312" w:eastAsia="仿宋_GB2312" w:hAnsiTheme="minorEastAsia"/>
          <w:sz w:val="32"/>
          <w:szCs w:val="32"/>
        </w:rPr>
        <w:t>对各承包商当年度的履约情况进行综合评价。</w:t>
      </w:r>
    </w:p>
    <w:p>
      <w:pPr>
        <w:ind w:firstLine="640" w:firstLineChars="200"/>
        <w:rPr>
          <w:rFonts w:ascii="仿宋_GB2312" w:eastAsia="仿宋_GB2312" w:hAnsiTheme="minorEastAsia"/>
          <w:sz w:val="32"/>
          <w:szCs w:val="32"/>
        </w:rPr>
      </w:pPr>
      <w:r>
        <w:rPr>
          <w:rFonts w:hint="eastAsia" w:ascii="黑体" w:hAnsi="黑体" w:eastAsia="黑体"/>
          <w:sz w:val="32"/>
          <w:szCs w:val="32"/>
        </w:rPr>
        <w:t>第六条【评价单位职责】</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工程建设单位负责承包商单项工程履约评价工作的实施。</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工程建设单位自合同签订之日起，应当按照规定加强对承包商日常履约情况的评价。设立承包商履约评价小组，明确分工，负责落实履约评价的具体工作。建立评价账户，登录坪山区建设工程履约评价共享平台按时操作，完善承包商履约评价的内部考核机制，如实在“坪山区建设工程履约评价共享平台”上填报，对本</w:t>
      </w:r>
      <w:r>
        <w:rPr>
          <w:rFonts w:ascii="仿宋_GB2312" w:eastAsia="仿宋_GB2312" w:hAnsiTheme="minorEastAsia"/>
          <w:sz w:val="32"/>
          <w:szCs w:val="32"/>
        </w:rPr>
        <w:t>办法</w:t>
      </w:r>
      <w:r>
        <w:rPr>
          <w:rFonts w:hint="eastAsia" w:ascii="仿宋_GB2312" w:eastAsia="仿宋_GB2312" w:hAnsiTheme="minorEastAsia"/>
          <w:sz w:val="32"/>
          <w:szCs w:val="32"/>
        </w:rPr>
        <w:t>第十二条、第十三条所列承包商不良行为进行记录，并对其评价结果负责。</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实行代建制的工程项目，由工程建设单位对代建单位进行单项工程履约评价；由代建单位对其他承包商进行履约评价，工程建设单位对代建单位评价结果进行审核。</w:t>
      </w:r>
    </w:p>
    <w:p>
      <w:pPr>
        <w:ind w:firstLine="640" w:firstLineChars="200"/>
        <w:rPr>
          <w:rFonts w:ascii="仿宋_GB2312" w:eastAsia="仿宋_GB2312" w:hAnsiTheme="minorEastAsia"/>
          <w:sz w:val="32"/>
          <w:szCs w:val="32"/>
        </w:rPr>
      </w:pPr>
      <w:r>
        <w:rPr>
          <w:rFonts w:hint="eastAsia" w:ascii="黑体" w:hAnsi="黑体" w:eastAsia="黑体"/>
          <w:sz w:val="32"/>
          <w:szCs w:val="32"/>
        </w:rPr>
        <w:t>第七条【评价依据】</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单项工程履约评价的依据包括：工程建设单位依法编制的招标文件、承包商的投标文件、双方签订的合法有效工程合同及补充协议等。</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工程建设单位对履约评价依据有其他特殊要求的，应当在招标文件或者工程合同中列明。</w:t>
      </w:r>
    </w:p>
    <w:p>
      <w:pPr>
        <w:ind w:firstLine="640" w:firstLineChars="200"/>
        <w:rPr>
          <w:rFonts w:ascii="仿宋_GB2312" w:eastAsia="仿宋_GB2312" w:hAnsiTheme="minorEastAsia"/>
          <w:sz w:val="32"/>
          <w:szCs w:val="32"/>
        </w:rPr>
      </w:pPr>
      <w:r>
        <w:rPr>
          <w:rFonts w:hint="eastAsia" w:ascii="黑体" w:hAnsi="黑体" w:eastAsia="黑体"/>
          <w:sz w:val="32"/>
          <w:szCs w:val="32"/>
        </w:rPr>
        <w:t>第八条【评价内容】</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对代建单位履约评价的主要内容：人员配备与履职、质量控制、安全管理、进度控制、成本与资金管理、配合与服务等。具体详见《坪山区建设工程承包商（代建）履约评分标准表》（附件1）。</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对勘察、设计单位履约评价的主要内容：人员设备配置、履约质量、进度与配合等。具体详见《坪山区建设工程承包商（勘察、设计）履约评分标准表》（附件</w:t>
      </w:r>
      <w:r>
        <w:rPr>
          <w:rFonts w:ascii="仿宋_GB2312" w:eastAsia="仿宋_GB2312" w:hAnsiTheme="minorEastAsia"/>
          <w:sz w:val="32"/>
          <w:szCs w:val="32"/>
        </w:rPr>
        <w:t>2和</w:t>
      </w:r>
      <w:r>
        <w:rPr>
          <w:rFonts w:hint="eastAsia" w:ascii="仿宋_GB2312" w:eastAsia="仿宋_GB2312" w:hAnsiTheme="minorEastAsia"/>
          <w:sz w:val="32"/>
          <w:szCs w:val="32"/>
        </w:rPr>
        <w:t>3）。</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对施工单位履约评价的主要内容：机构人员配备、技术经济实力、施工过程（质量、安全、文明施工）管理、进度控制、配合与服务、资金支付等。具体详见《坪山区建设工程承包商（施工）履约评分标准表》（附件</w:t>
      </w:r>
      <w:r>
        <w:rPr>
          <w:rFonts w:ascii="仿宋_GB2312" w:eastAsia="仿宋_GB2312" w:hAnsiTheme="minorEastAsia"/>
          <w:sz w:val="32"/>
          <w:szCs w:val="32"/>
        </w:rPr>
        <w:t>4</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对监理单位履约评价的主要内容：机构人员配备、履约质量、进度控制、配合与服务等。具体详见《坪山区建设工程承包商（监理）履约评分标准表》（附件</w:t>
      </w:r>
      <w:r>
        <w:rPr>
          <w:rFonts w:ascii="仿宋_GB2312" w:eastAsia="仿宋_GB2312" w:hAnsiTheme="minorEastAsia"/>
          <w:sz w:val="32"/>
          <w:szCs w:val="32"/>
        </w:rPr>
        <w:t>5</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工程建设单位也可聘请第三方机构对建设工程承包商进行履约评价，并对评价结果负责。</w:t>
      </w:r>
    </w:p>
    <w:p>
      <w:pPr>
        <w:ind w:firstLine="640" w:firstLineChars="200"/>
        <w:rPr>
          <w:rFonts w:ascii="仿宋_GB2312" w:eastAsia="仿宋_GB2312" w:hAnsiTheme="minorEastAsia"/>
          <w:sz w:val="32"/>
          <w:szCs w:val="32"/>
        </w:rPr>
      </w:pPr>
      <w:r>
        <w:rPr>
          <w:rFonts w:hint="eastAsia" w:ascii="黑体" w:hAnsi="黑体" w:eastAsia="黑体"/>
          <w:sz w:val="32"/>
          <w:szCs w:val="32"/>
        </w:rPr>
        <w:t>第九条【评价方法】</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工程建设单位（合同签订的发包人）对与其有直接合同关系的代建、勘察、设计、施工、监理等承包商，按照附件中的履约评分标准表进行评分，并结合本</w:t>
      </w:r>
      <w:r>
        <w:rPr>
          <w:rFonts w:ascii="仿宋_GB2312" w:eastAsia="仿宋_GB2312" w:hAnsiTheme="minorEastAsia"/>
          <w:sz w:val="32"/>
          <w:szCs w:val="32"/>
        </w:rPr>
        <w:t>办法</w:t>
      </w:r>
      <w:r>
        <w:rPr>
          <w:rFonts w:hint="eastAsia" w:ascii="仿宋_GB2312" w:eastAsia="仿宋_GB2312" w:hAnsiTheme="minorEastAsia"/>
          <w:sz w:val="32"/>
          <w:szCs w:val="32"/>
        </w:rPr>
        <w:t>第十二条、第十三条的规定得到单项工程定期履约评价结果。</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单项工程最终履约评价应当结合定期履约评价情况，对承包商的履约行为进行综合评分，并结合本</w:t>
      </w:r>
      <w:r>
        <w:rPr>
          <w:rFonts w:ascii="仿宋_GB2312" w:eastAsia="仿宋_GB2312" w:hAnsiTheme="minorEastAsia"/>
          <w:sz w:val="32"/>
          <w:szCs w:val="32"/>
        </w:rPr>
        <w:t>办法</w:t>
      </w:r>
      <w:r>
        <w:rPr>
          <w:rFonts w:hint="eastAsia" w:ascii="仿宋_GB2312" w:eastAsia="仿宋_GB2312" w:hAnsiTheme="minorEastAsia"/>
          <w:sz w:val="32"/>
          <w:szCs w:val="32"/>
        </w:rPr>
        <w:t>第十二条、第十三条的</w:t>
      </w:r>
      <w:r>
        <w:rPr>
          <w:rFonts w:ascii="仿宋_GB2312" w:eastAsia="仿宋_GB2312" w:hAnsiTheme="minorEastAsia"/>
          <w:sz w:val="32"/>
          <w:szCs w:val="32"/>
        </w:rPr>
        <w:t>规定</w:t>
      </w:r>
      <w:r>
        <w:rPr>
          <w:rFonts w:hint="eastAsia" w:ascii="仿宋_GB2312" w:eastAsia="仿宋_GB2312" w:hAnsiTheme="minorEastAsia"/>
          <w:sz w:val="32"/>
          <w:szCs w:val="32"/>
        </w:rPr>
        <w:t>得到评价结果。</w:t>
      </w:r>
    </w:p>
    <w:p>
      <w:pPr>
        <w:ind w:firstLine="640" w:firstLineChars="200"/>
        <w:rPr>
          <w:rFonts w:ascii="仿宋_GB2312" w:hAnsi="仿宋_GB2312" w:eastAsia="仿宋_GB2312" w:cs="仿宋_GB2312"/>
          <w:color w:val="000000"/>
          <w:sz w:val="32"/>
          <w:szCs w:val="32"/>
        </w:rPr>
      </w:pPr>
      <w:r>
        <w:rPr>
          <w:rFonts w:hint="eastAsia" w:ascii="黑体" w:hAnsi="黑体" w:eastAsia="黑体"/>
          <w:sz w:val="32"/>
          <w:szCs w:val="32"/>
        </w:rPr>
        <w:t>第十条【评价时间】</w:t>
      </w:r>
      <w:r>
        <w:rPr>
          <w:rFonts w:hint="eastAsia" w:ascii="仿宋_GB2312" w:hAnsi="宋体" w:eastAsia="仿宋_GB2312" w:cs="Arial"/>
          <w:kern w:val="0"/>
          <w:sz w:val="32"/>
          <w:szCs w:val="32"/>
        </w:rPr>
        <w:t> </w:t>
      </w:r>
      <w:r>
        <w:rPr>
          <w:rFonts w:hint="eastAsia" w:ascii="仿宋_GB2312" w:hAnsi="仿宋_GB2312" w:eastAsia="仿宋_GB2312" w:cs="仿宋_GB2312"/>
          <w:color w:val="000000"/>
          <w:sz w:val="32"/>
          <w:szCs w:val="32"/>
        </w:rPr>
        <w:t>工程建设单位应当在每季度第一个月完成上个季度的定期履约评价，在项目完成竣工验收后3个月内完成代建、监理、施工等合同的最终履约评价，在产权移交后5个工作日内完成勘察、设计等服务合同的最终履约评价，并将评分表和评价结果书面告知履约评价对象，同时</w:t>
      </w:r>
      <w:r>
        <w:rPr>
          <w:rFonts w:hint="eastAsia" w:ascii="仿宋_GB2312" w:eastAsia="仿宋_GB2312" w:hAnsiTheme="minorEastAsia"/>
          <w:sz w:val="32"/>
          <w:szCs w:val="32"/>
        </w:rPr>
        <w:t>在“坪山区建设工程履约评价共享平台”上</w:t>
      </w:r>
      <w:r>
        <w:rPr>
          <w:rFonts w:ascii="仿宋_GB2312" w:eastAsia="仿宋_GB2312" w:hAnsiTheme="minorEastAsia"/>
          <w:sz w:val="32"/>
          <w:szCs w:val="32"/>
        </w:rPr>
        <w:t>填报</w:t>
      </w:r>
      <w:r>
        <w:rPr>
          <w:rFonts w:hint="eastAsia" w:ascii="仿宋_GB2312" w:hAnsi="仿宋_GB2312" w:eastAsia="仿宋_GB2312" w:cs="仿宋_GB2312"/>
          <w:color w:val="000000"/>
          <w:sz w:val="32"/>
          <w:szCs w:val="32"/>
        </w:rPr>
        <w:t>。</w:t>
      </w:r>
    </w:p>
    <w:p>
      <w:pPr>
        <w:widowControl/>
        <w:shd w:val="clear" w:color="auto" w:fill="FFFFFF"/>
        <w:ind w:firstLine="675"/>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工程建设单位在年度定期履约评价规定时间前合同已履行完毕并完成最终履约评价或者双方已解除合同的，不再进行当期的定期履约评价。</w:t>
      </w:r>
    </w:p>
    <w:p>
      <w:pPr>
        <w:widowControl/>
        <w:shd w:val="clear" w:color="auto" w:fill="FFFFFF"/>
        <w:ind w:firstLine="645"/>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合同工期3个月及以内的，可不进行定期履约评价，只进行最终履约评价；合同工期超过3个月的需按季度进行定期履约评价。</w:t>
      </w:r>
    </w:p>
    <w:p>
      <w:pPr>
        <w:ind w:firstLine="640" w:firstLineChars="200"/>
        <w:rPr>
          <w:rFonts w:ascii="仿宋_GB2312" w:eastAsia="仿宋_GB2312" w:hAnsiTheme="minorEastAsia"/>
          <w:sz w:val="32"/>
          <w:szCs w:val="32"/>
        </w:rPr>
      </w:pPr>
      <w:r>
        <w:rPr>
          <w:rFonts w:hint="eastAsia" w:ascii="黑体" w:hAnsi="黑体" w:eastAsia="黑体"/>
          <w:sz w:val="32"/>
          <w:szCs w:val="32"/>
        </w:rPr>
        <w:t>第十一条【评价结论】</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单项工程定期履约评价和最终履约评价的结果，分为优秀、良好、一般、不合格四个等级。</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（一）优秀：承包商的履约表现达到合同约定的标准且大部分履约水平高于合同约定的标准，评价得分在90分以上100分以下；</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（二）良好：承包商的履约表现达到合同约定的标准且部分履约水平高于合同约定的标准，评价得分在75分以上90分以下；</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（三）一般：承包商的履约表现达到合同约定的标准，评价得分在60以上75分以下；</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（四）不合格：承包商的履约表现低于合同约定的标准，或者需要有关单位重复发出指令、反复整改，才能达到满意水平，评价得分在60分以下。</w:t>
      </w:r>
    </w:p>
    <w:p>
      <w:pPr>
        <w:ind w:firstLine="640" w:firstLineChars="200"/>
        <w:rPr>
          <w:rFonts w:ascii="仿宋_GB2312" w:eastAsia="仿宋_GB2312" w:hAnsiTheme="minorEastAsia"/>
          <w:sz w:val="32"/>
          <w:szCs w:val="32"/>
        </w:rPr>
      </w:pPr>
      <w:r>
        <w:rPr>
          <w:rFonts w:hint="eastAsia" w:ascii="黑体" w:hAnsi="黑体" w:eastAsia="黑体"/>
          <w:sz w:val="32"/>
          <w:szCs w:val="32"/>
        </w:rPr>
        <w:t>第十二条【不得评为“优秀”情形】</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承包商有下列情形之一的，其单项工程履约评价结果不得评为“优秀”等级，履约评价得分在</w:t>
      </w:r>
      <w:r>
        <w:rPr>
          <w:rFonts w:ascii="仿宋_GB2312" w:eastAsia="仿宋_GB2312" w:hAnsiTheme="minorEastAsia"/>
          <w:sz w:val="32"/>
          <w:szCs w:val="32"/>
        </w:rPr>
        <w:t>90</w:t>
      </w:r>
      <w:r>
        <w:rPr>
          <w:rFonts w:hint="eastAsia" w:ascii="仿宋_GB2312" w:eastAsia="仿宋_GB2312" w:hAnsiTheme="minorEastAsia"/>
          <w:sz w:val="32"/>
          <w:szCs w:val="32"/>
        </w:rPr>
        <w:t>分以上的，以</w:t>
      </w:r>
      <w:r>
        <w:rPr>
          <w:rFonts w:ascii="仿宋_GB2312" w:eastAsia="仿宋_GB2312" w:hAnsiTheme="minorEastAsia"/>
          <w:sz w:val="32"/>
          <w:szCs w:val="32"/>
        </w:rPr>
        <w:t>89</w:t>
      </w:r>
      <w:r>
        <w:rPr>
          <w:rFonts w:hint="eastAsia" w:ascii="仿宋_GB2312" w:eastAsia="仿宋_GB2312" w:hAnsiTheme="minorEastAsia"/>
          <w:sz w:val="32"/>
          <w:szCs w:val="32"/>
        </w:rPr>
        <w:t>分计：</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（一）因自身原因造成工程发生一般事故的；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（二）因自身原因导致实际履约时间超过合同约定履约时间的（滞后时间不超过合同约定履约时间20%）；</w:t>
      </w:r>
      <w:r>
        <w:rPr>
          <w:rFonts w:ascii="仿宋_GB2312" w:eastAsia="仿宋_GB2312" w:hAnsiTheme="minorEastAsia"/>
          <w:sz w:val="32"/>
          <w:szCs w:val="32"/>
        </w:rPr>
        <w:t xml:space="preserve"> </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（三）在合同履行过程中受到区住房和建设局、区水务局</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统称“</w:t>
      </w:r>
      <w:r>
        <w:rPr>
          <w:rFonts w:hint="eastAsia" w:ascii="仿宋_GB2312" w:hAnsi="宋体" w:eastAsia="仿宋_GB2312" w:cs="Arial"/>
          <w:kern w:val="0"/>
          <w:sz w:val="32"/>
          <w:szCs w:val="32"/>
        </w:rPr>
        <w:t>区工程行政主管部门</w:t>
      </w:r>
      <w:r>
        <w:rPr>
          <w:rFonts w:ascii="仿宋_GB2312" w:hAnsi="宋体" w:eastAsia="仿宋_GB2312" w:cs="Arial"/>
          <w:kern w:val="0"/>
          <w:sz w:val="32"/>
          <w:szCs w:val="32"/>
        </w:rPr>
        <w:t>”</w:t>
      </w:r>
      <w:r>
        <w:rPr>
          <w:rFonts w:hint="eastAsia" w:ascii="仿宋_GB2312" w:hAnsi="宋体" w:eastAsia="仿宋_GB2312" w:cs="Arial"/>
          <w:kern w:val="0"/>
          <w:sz w:val="32"/>
          <w:szCs w:val="32"/>
        </w:rPr>
        <w:t>）</w:t>
      </w:r>
      <w:r>
        <w:rPr>
          <w:rFonts w:hint="eastAsia" w:ascii="仿宋_GB2312" w:eastAsia="仿宋_GB2312" w:hAnsiTheme="minorEastAsia"/>
          <w:sz w:val="32"/>
          <w:szCs w:val="32"/>
        </w:rPr>
        <w:t>行政处罚的；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（四）项目管理团队和</w:t>
      </w:r>
      <w:r>
        <w:rPr>
          <w:rFonts w:ascii="仿宋_GB2312" w:eastAsia="仿宋_GB2312" w:hAnsiTheme="minorEastAsia"/>
          <w:sz w:val="32"/>
          <w:szCs w:val="32"/>
        </w:rPr>
        <w:t>主要技术</w:t>
      </w:r>
      <w:r>
        <w:rPr>
          <w:rFonts w:hint="eastAsia" w:ascii="仿宋_GB2312" w:eastAsia="仿宋_GB2312" w:hAnsiTheme="minorEastAsia"/>
          <w:sz w:val="32"/>
          <w:szCs w:val="32"/>
        </w:rPr>
        <w:t>人员未按合同</w:t>
      </w:r>
      <w:r>
        <w:rPr>
          <w:rFonts w:ascii="仿宋_GB2312" w:eastAsia="仿宋_GB2312" w:hAnsiTheme="minorEastAsia"/>
          <w:sz w:val="32"/>
          <w:szCs w:val="32"/>
        </w:rPr>
        <w:t>约定</w:t>
      </w:r>
      <w:r>
        <w:rPr>
          <w:rFonts w:hint="eastAsia" w:ascii="仿宋_GB2312" w:eastAsia="仿宋_GB2312" w:hAnsiTheme="minorEastAsia"/>
          <w:sz w:val="32"/>
          <w:szCs w:val="32"/>
        </w:rPr>
        <w:t>（或者投标承诺）配备或者不到位的（经招标人</w:t>
      </w:r>
      <w:r>
        <w:rPr>
          <w:rFonts w:ascii="仿宋_GB2312" w:eastAsia="仿宋_GB2312" w:hAnsiTheme="minorEastAsia"/>
          <w:sz w:val="32"/>
          <w:szCs w:val="32"/>
        </w:rPr>
        <w:t>同意的除外</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（五）项目负责人无正当理由年度累计3次以上不在岗的；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（六）在招标文件中或者合同中列明的其他情形。</w:t>
      </w:r>
    </w:p>
    <w:p>
      <w:pPr>
        <w:ind w:firstLine="640" w:firstLineChars="200"/>
        <w:rPr>
          <w:rFonts w:ascii="仿宋_GB2312" w:eastAsia="仿宋_GB2312" w:hAnsiTheme="minorEastAsia"/>
          <w:sz w:val="32"/>
          <w:szCs w:val="32"/>
        </w:rPr>
      </w:pPr>
      <w:r>
        <w:rPr>
          <w:rFonts w:hint="eastAsia" w:ascii="黑体" w:hAnsi="黑体" w:eastAsia="黑体"/>
          <w:sz w:val="32"/>
          <w:szCs w:val="32"/>
        </w:rPr>
        <w:t>第十三条【直接评为“不合格”情形】</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承包商有下列情形之一的，其单项工程履约评价结果直接评为“不合格”等级，履约评价得分在60分以上的，以59分计：</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（一）因自身原因造成工程发生较大或者</w:t>
      </w:r>
      <w:r>
        <w:rPr>
          <w:rFonts w:ascii="仿宋_GB2312" w:eastAsia="仿宋_GB2312" w:hAnsiTheme="minorEastAsia"/>
          <w:sz w:val="32"/>
          <w:szCs w:val="32"/>
        </w:rPr>
        <w:t>较大</w:t>
      </w:r>
      <w:r>
        <w:rPr>
          <w:rFonts w:hint="eastAsia" w:ascii="仿宋_GB2312" w:eastAsia="仿宋_GB2312" w:hAnsiTheme="minorEastAsia"/>
          <w:sz w:val="32"/>
          <w:szCs w:val="32"/>
        </w:rPr>
        <w:t>以上事故的；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（二）因自身原因造成履约时间严重滞后（滞后时间超过合同约定履约时间20%）的；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（三）被区工程行政主管部门认定存在转包、挂靠或者违法分包工程行为的；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（四）在定期飞行检查、质量安全大评比中不及格或者排名倒数后</w:t>
      </w:r>
      <w:r>
        <w:rPr>
          <w:rFonts w:ascii="仿宋_GB2312" w:eastAsia="仿宋_GB2312" w:hAnsiTheme="minorEastAsia"/>
          <w:sz w:val="32"/>
          <w:szCs w:val="32"/>
        </w:rPr>
        <w:t>三位的；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（五）无正当理由不履行合同的；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（六）因拖欠工人工资或者分包商工程款而发生纠纷逾期未整改或者引发群体性（5人以上）上访事件的；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（七）经纪检监察及有关部门认定行贿政府部门公职人员的；</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（八）在招标文件中或者合同中列明的其他情形。</w:t>
      </w:r>
    </w:p>
    <w:p>
      <w:pPr>
        <w:ind w:firstLine="640" w:firstLineChars="200"/>
        <w:rPr>
          <w:rFonts w:ascii="仿宋_GB2312" w:eastAsia="仿宋_GB2312" w:hAnsiTheme="minorEastAsia"/>
          <w:sz w:val="32"/>
          <w:szCs w:val="32"/>
        </w:rPr>
      </w:pPr>
      <w:r>
        <w:rPr>
          <w:rFonts w:hint="eastAsia" w:ascii="黑体" w:hAnsi="黑体" w:eastAsia="黑体"/>
          <w:sz w:val="32"/>
          <w:szCs w:val="32"/>
        </w:rPr>
        <w:t>第十四条【异议处理】</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承包商对单项工程履约评价结果有异议的，应当在工程建设单位评价之日起</w:t>
      </w:r>
      <w:r>
        <w:rPr>
          <w:rFonts w:ascii="仿宋_GB2312" w:eastAsia="仿宋_GB2312" w:hAnsiTheme="minorEastAsia"/>
          <w:sz w:val="32"/>
          <w:szCs w:val="32"/>
        </w:rPr>
        <w:t>5</w:t>
      </w:r>
      <w:r>
        <w:rPr>
          <w:rFonts w:hint="eastAsia" w:ascii="仿宋_GB2312" w:eastAsia="仿宋_GB2312" w:hAnsiTheme="minorEastAsia"/>
          <w:sz w:val="32"/>
          <w:szCs w:val="32"/>
        </w:rPr>
        <w:t>个工作日内向工程建设单位提出申辩，逾期视为无异议，不再受理。</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工程建设单位应当在承包商申辩后5个工作日内调查处理并答复承包商。</w:t>
      </w:r>
    </w:p>
    <w:p>
      <w:pPr>
        <w:ind w:firstLine="640" w:firstLineChars="200"/>
        <w:rPr>
          <w:rFonts w:ascii="仿宋_GB2312" w:eastAsia="仿宋_GB2312" w:hAnsiTheme="minorEastAsia"/>
          <w:sz w:val="32"/>
          <w:szCs w:val="32"/>
        </w:rPr>
      </w:pPr>
      <w:r>
        <w:rPr>
          <w:rFonts w:hint="eastAsia" w:ascii="黑体" w:hAnsi="黑体" w:eastAsia="黑体"/>
          <w:sz w:val="32"/>
          <w:szCs w:val="32"/>
        </w:rPr>
        <w:t>第十五条【年度履约评价】</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区住房和建设局在每年年末对本年度各市场主体的履约评价结果进行统计，综合得出各承包商的年度履约得分，计算方法如下：</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每份合同的年度履约评价得分=当年定期履约评价得分的平均分×p+最终履约评价得分×f。若本年度同时有定期履约评价和最终评价的，p=0.3，f=0.7；若本年度没有进行合同最终履约评价的，p=1，f=0；若本年度没有进行过定期履约评价，只有最终履约评价的，p=0，f=1。</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同一单位同一年度仅有一份合同进行履约评价的，该份合同的年度履约评价结果为单位年度履约评价结果。同一单位同一年度有一份及以上合同进行履约评价的，如履约单位所有合同年度履约评价都为合格以上的，单位年度履约评价得分为所有合同的年度履约评价得分平均值，再根据此分值进行评级。</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如履约单位有1份以上的合同年度履约评价或者最终履约评价为不合格，则该单位年度履约评价最高只能为74 分。</w:t>
      </w:r>
    </w:p>
    <w:p>
      <w:pPr>
        <w:ind w:firstLine="640" w:firstLineChars="200"/>
        <w:rPr>
          <w:rFonts w:ascii="仿宋_GB2312" w:eastAsia="仿宋_GB2312" w:hAnsiTheme="minorEastAsia"/>
          <w:sz w:val="32"/>
          <w:szCs w:val="32"/>
        </w:rPr>
      </w:pPr>
      <w:r>
        <w:rPr>
          <w:rFonts w:hint="eastAsia" w:ascii="黑体" w:hAnsi="黑体" w:eastAsia="黑体"/>
          <w:sz w:val="32"/>
          <w:szCs w:val="32"/>
        </w:rPr>
        <w:t>第十六条【结果公布与应用】</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区住房和建设局应当在每个季度对申报的履约评价结果进行汇总，并将结果在区住房和建设局官网等媒体予以公布。每年底，区住房和建设局将承包商的年度履约评价情况通报全区各相关部门，作为坪山区建筑</w:t>
      </w:r>
      <w:r>
        <w:rPr>
          <w:rFonts w:ascii="仿宋_GB2312" w:eastAsia="仿宋_GB2312" w:hAnsiTheme="minorEastAsia"/>
          <w:sz w:val="32"/>
          <w:szCs w:val="32"/>
        </w:rPr>
        <w:t>市场主体</w:t>
      </w:r>
      <w:r>
        <w:rPr>
          <w:rFonts w:hint="eastAsia" w:ascii="仿宋_GB2312" w:eastAsia="仿宋_GB2312" w:hAnsiTheme="minorEastAsia"/>
          <w:sz w:val="32"/>
          <w:szCs w:val="32"/>
        </w:rPr>
        <w:t>信用管理的重要组成部分，为政府投资工程评标等提供重要参考。</w:t>
      </w:r>
    </w:p>
    <w:p>
      <w:pPr>
        <w:ind w:firstLine="640" w:firstLineChars="200"/>
        <w:rPr>
          <w:rFonts w:ascii="仿宋_GB2312" w:eastAsia="仿宋_GB2312" w:hAnsiTheme="minorEastAsia"/>
          <w:sz w:val="32"/>
          <w:szCs w:val="32"/>
        </w:rPr>
      </w:pPr>
      <w:r>
        <w:rPr>
          <w:rFonts w:hint="eastAsia" w:ascii="黑体" w:hAnsi="黑体" w:eastAsia="黑体"/>
          <w:sz w:val="32"/>
          <w:szCs w:val="32"/>
        </w:rPr>
        <w:t>第十七条【奖励与惩罚】</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每年度对所有参与评价的承包商，根据履约评价结果采取奖惩激励措施。</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年度履约评价、单项工程最终履约评价为优秀的，区住房和建设局发文予以通报表扬，并通过区住房和建设局官网公开通报表扬。对代建、勘察、设计、施工、监理单份合同年度履约评价、单项工程最终履约评价为优秀的，经公示后，由坪山区授予“坪山区建设工程履约优秀团队”称号；对代建、勘察、设计、施工、监理类履约单位年度履约评价、最终履约评价为优秀的，经公示后，授予“坪山区建设工程履约优秀单位”称号。</w:t>
      </w:r>
    </w:p>
    <w:p>
      <w:pPr>
        <w:ind w:firstLine="640" w:firstLineChars="200"/>
        <w:rPr>
          <w:rFonts w:ascii="仿宋_GB2312" w:hAnsi="仿宋_GB2312" w:eastAsia="仿宋_GB2312" w:cs="仿宋_GB2312"/>
          <w:color w:val="000000"/>
          <w:sz w:val="32"/>
          <w:szCs w:val="32"/>
        </w:rPr>
      </w:pPr>
      <w:r>
        <w:rPr>
          <w:rFonts w:hint="eastAsia" w:ascii="仿宋_GB2312" w:eastAsia="仿宋_GB2312" w:hAnsiTheme="minorEastAsia"/>
          <w:sz w:val="32"/>
          <w:szCs w:val="32"/>
        </w:rPr>
        <w:t>（二）对于单项工程定期履约评价或者最终履约评价为“不合格”的承包商，</w:t>
      </w:r>
      <w:r>
        <w:rPr>
          <w:rFonts w:hint="eastAsia" w:ascii="仿宋_GB2312" w:hAnsi="仿宋_GB2312" w:eastAsia="仿宋_GB2312" w:cs="仿宋_GB2312"/>
          <w:color w:val="000000"/>
          <w:sz w:val="32"/>
          <w:szCs w:val="32"/>
        </w:rPr>
        <w:t>给予通报，并采取下列处理措施：</w:t>
      </w:r>
    </w:p>
    <w:p>
      <w:pPr>
        <w:widowControl/>
        <w:shd w:val="clear" w:color="auto" w:fill="FFFFFF"/>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1.约谈、训诫其相关负责人或者责任人；</w:t>
      </w:r>
    </w:p>
    <w:p>
      <w:pPr>
        <w:widowControl/>
        <w:shd w:val="clear" w:color="auto" w:fill="FFFFFF"/>
        <w:ind w:firstLine="645"/>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2.列入重点监管名录，加大监管力度和检查频率；</w:t>
      </w:r>
    </w:p>
    <w:p>
      <w:pPr>
        <w:widowControl/>
        <w:shd w:val="clear" w:color="auto" w:fill="FFFFFF"/>
        <w:ind w:firstLine="645"/>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sz w:val="32"/>
          <w:szCs w:val="32"/>
        </w:rPr>
        <w:t>列入坪山区建筑市场主体“黑名单”；</w:t>
      </w:r>
    </w:p>
    <w:p>
      <w:pPr>
        <w:widowControl/>
        <w:shd w:val="clear" w:color="auto" w:fill="FFFFFF"/>
        <w:ind w:firstLine="645"/>
        <w:rPr>
          <w:rFonts w:ascii="仿宋_GB2312" w:eastAsia="仿宋_GB2312" w:hAnsiTheme="minorEastAsia"/>
          <w:sz w:val="32"/>
          <w:szCs w:val="32"/>
        </w:rPr>
      </w:pPr>
      <w:r>
        <w:rPr>
          <w:rFonts w:ascii="仿宋_GB2312" w:hAnsi="仿宋_GB2312" w:eastAsia="仿宋_GB2312" w:cs="仿宋_GB2312"/>
          <w:sz w:val="32"/>
          <w:szCs w:val="32"/>
        </w:rPr>
        <w:t>4.</w:t>
      </w:r>
      <w:r>
        <w:rPr>
          <w:rFonts w:hint="eastAsia" w:ascii="仿宋_GB2312" w:eastAsia="仿宋_GB2312" w:hAnsiTheme="minorEastAsia"/>
          <w:sz w:val="32"/>
          <w:szCs w:val="32"/>
        </w:rPr>
        <w:t>工程建设</w:t>
      </w:r>
      <w:r>
        <w:rPr>
          <w:rFonts w:ascii="仿宋_GB2312" w:eastAsia="仿宋_GB2312" w:hAnsiTheme="minorEastAsia"/>
          <w:sz w:val="32"/>
          <w:szCs w:val="32"/>
        </w:rPr>
        <w:t>单位</w:t>
      </w:r>
      <w:r>
        <w:rPr>
          <w:rFonts w:hint="eastAsia" w:ascii="仿宋_GB2312" w:eastAsia="仿宋_GB2312" w:hAnsiTheme="minorEastAsia"/>
          <w:sz w:val="32"/>
          <w:szCs w:val="32"/>
        </w:rPr>
        <w:t>可以</w:t>
      </w:r>
      <w:r>
        <w:rPr>
          <w:rFonts w:ascii="仿宋_GB2312" w:eastAsia="仿宋_GB2312" w:hAnsiTheme="minorEastAsia"/>
          <w:sz w:val="32"/>
          <w:szCs w:val="32"/>
        </w:rPr>
        <w:t>根据</w:t>
      </w:r>
      <w:r>
        <w:rPr>
          <w:rFonts w:hint="eastAsia" w:ascii="仿宋_GB2312" w:eastAsia="仿宋_GB2312" w:hAnsiTheme="minorEastAsia"/>
          <w:sz w:val="32"/>
          <w:szCs w:val="32"/>
        </w:rPr>
        <w:t>《</w:t>
      </w:r>
      <w:r>
        <w:rPr>
          <w:rFonts w:hint="eastAsia" w:ascii="仿宋_GB2312" w:hAnsi="仿宋_GB2312" w:eastAsia="仿宋_GB2312" w:cs="仿宋_GB2312"/>
          <w:sz w:val="32"/>
          <w:szCs w:val="32"/>
        </w:rPr>
        <w:t>深圳市人民政府关于建设工程招标投标改革的若干规</w:t>
      </w:r>
      <w:r>
        <w:rPr>
          <w:rFonts w:hint="eastAsia" w:ascii="仿宋_GB2312" w:eastAsia="仿宋_GB2312" w:hAnsiTheme="minorEastAsia"/>
          <w:sz w:val="32"/>
          <w:szCs w:val="32"/>
        </w:rPr>
        <w:t>定》（深</w:t>
      </w:r>
      <w:r>
        <w:rPr>
          <w:rFonts w:hint="eastAsia" w:ascii="仿宋_GB2312" w:hAnsi="仿宋_GB2312" w:eastAsia="仿宋_GB2312" w:cs="仿宋_GB2312"/>
          <w:sz w:val="32"/>
          <w:szCs w:val="32"/>
        </w:rPr>
        <w:t>府〔2015〕73号）第三十四条第二项规定，拒绝承包商或者其从业人员参与投标</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（三）对于年度履约评价为“不合格”的承包商，区住房和建设局应当向全区相关单位及市住房建设部门予以通报，区工程行政主管部门可以采取</w:t>
      </w:r>
      <w:r>
        <w:rPr>
          <w:rFonts w:hint="eastAsia" w:ascii="仿宋_GB2312" w:hAnsi="仿宋_GB2312" w:eastAsia="仿宋_GB2312" w:cs="仿宋_GB2312"/>
          <w:color w:val="000000"/>
          <w:sz w:val="32"/>
          <w:szCs w:val="32"/>
        </w:rPr>
        <w:t>下列处理措施</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1.约谈、训诫其相关负责人或者责任人；</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2.列入重点监管名录，在下一年度加大辖区内所有该承包商承接项目的监管力度和检查频率；</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3.未来三年内可以拒绝其参与坪山政府投资工程投标。</w:t>
      </w:r>
    </w:p>
    <w:p>
      <w:pPr>
        <w:ind w:firstLine="640" w:firstLineChars="200"/>
        <w:rPr>
          <w:rFonts w:ascii="仿宋_GB2312" w:eastAsia="仿宋_GB2312" w:hAnsiTheme="minorEastAsia"/>
          <w:sz w:val="32"/>
          <w:szCs w:val="32"/>
        </w:rPr>
      </w:pPr>
      <w:r>
        <w:rPr>
          <w:rFonts w:hint="eastAsia" w:ascii="黑体" w:hAnsi="黑体" w:eastAsia="黑体"/>
          <w:sz w:val="32"/>
          <w:szCs w:val="32"/>
        </w:rPr>
        <w:t xml:space="preserve">第十八条【影响评价的处理】 </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承包商以不正当行为影响评价工作的，一经查实，其评价结果将降低一个评价等级，履约评价得分以该等级区间最低分计；情节严重的，直接评为“不合格”，并由相关部门介入调查。</w:t>
      </w:r>
    </w:p>
    <w:p>
      <w:pPr>
        <w:ind w:firstLine="640" w:firstLineChars="200"/>
        <w:rPr>
          <w:rFonts w:ascii="仿宋_GB2312" w:eastAsia="仿宋_GB2312" w:hAnsiTheme="minorEastAsia"/>
          <w:sz w:val="32"/>
          <w:szCs w:val="32"/>
        </w:rPr>
      </w:pPr>
      <w:r>
        <w:rPr>
          <w:rFonts w:hint="eastAsia" w:ascii="黑体" w:hAnsi="黑体" w:eastAsia="黑体"/>
          <w:sz w:val="32"/>
          <w:szCs w:val="32"/>
        </w:rPr>
        <w:t xml:space="preserve">第十九条【工程建设单位评价责任】 </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工程建设单位未按照规定要求对承包商进行履约评价并申报履约评价信息，或者履约评价显失公平的，将视情节轻重，给予其限期整改、全区通报批评的处理，区住房和建设局将严格审查其下一个项目的招投标备案，同时清查该建设单位在定标过程中是否严格考虑投标人的履约评价情况并作出公正投票。</w:t>
      </w:r>
    </w:p>
    <w:p>
      <w:pPr>
        <w:ind w:firstLine="640" w:firstLineChars="200"/>
        <w:rPr>
          <w:rFonts w:ascii="仿宋_GB2312" w:eastAsia="仿宋_GB2312" w:hAnsiTheme="minorEastAsia"/>
          <w:sz w:val="32"/>
          <w:szCs w:val="32"/>
        </w:rPr>
      </w:pPr>
      <w:r>
        <w:rPr>
          <w:rFonts w:hint="eastAsia" w:ascii="黑体" w:hAnsi="黑体" w:eastAsia="黑体"/>
          <w:sz w:val="32"/>
          <w:szCs w:val="32"/>
        </w:rPr>
        <w:t>第二十条【分包商履约评价】</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专业工程施工分包商单项工程履约评价由施工总承包商负责，参照本办法执行。</w:t>
      </w:r>
    </w:p>
    <w:p>
      <w:pPr>
        <w:ind w:firstLine="640" w:firstLineChars="200"/>
        <w:rPr>
          <w:rFonts w:ascii="仿宋_GB2312" w:eastAsia="仿宋_GB2312" w:hAnsiTheme="minorEastAsia"/>
          <w:sz w:val="32"/>
          <w:szCs w:val="32"/>
        </w:rPr>
      </w:pPr>
      <w:r>
        <w:rPr>
          <w:rFonts w:hint="eastAsia" w:ascii="黑体" w:hAnsi="黑体" w:eastAsia="黑体"/>
          <w:sz w:val="32"/>
          <w:szCs w:val="32"/>
        </w:rPr>
        <w:t>第二十一条【解释权】</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本办法由坪山区人民政府负责解释。</w:t>
      </w:r>
    </w:p>
    <w:p>
      <w:pPr>
        <w:ind w:firstLine="640" w:firstLineChars="200"/>
        <w:rPr>
          <w:rFonts w:ascii="仿宋_GB2312" w:eastAsia="仿宋_GB2312" w:hAnsiTheme="minorEastAsia"/>
          <w:sz w:val="32"/>
          <w:szCs w:val="32"/>
        </w:rPr>
      </w:pPr>
      <w:r>
        <w:rPr>
          <w:rFonts w:hint="eastAsia" w:ascii="黑体" w:hAnsi="黑体" w:eastAsia="黑体"/>
          <w:sz w:val="32"/>
          <w:szCs w:val="32"/>
        </w:rPr>
        <w:t>第二十二条【实施日期】</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本办法自发布之日起施行。</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凡未完工的工程均须按照本办法实行单项工程定期履约评价和最终履约评价。</w:t>
      </w:r>
    </w:p>
    <w:p>
      <w:pPr>
        <w:ind w:firstLine="640" w:firstLineChars="200"/>
        <w:rPr>
          <w:rFonts w:ascii="仿宋_GB2312" w:eastAsia="仿宋_GB2312" w:hAnsiTheme="minorEastAsia"/>
          <w:sz w:val="32"/>
          <w:szCs w:val="32"/>
        </w:rPr>
      </w:pPr>
      <w:r>
        <w:rPr>
          <w:rFonts w:hint="eastAsia" w:ascii="黑体" w:hAnsi="黑体" w:eastAsia="黑体"/>
          <w:sz w:val="32"/>
          <w:szCs w:val="32"/>
        </w:rPr>
        <w:t>第二十三条【有效期】</w:t>
      </w:r>
      <w:r>
        <w:rPr>
          <w:rFonts w:hint="eastAsia" w:ascii="仿宋_GB2312" w:hAnsi="宋体" w:eastAsia="仿宋_GB2312" w:cs="Arial"/>
          <w:kern w:val="0"/>
          <w:sz w:val="32"/>
          <w:szCs w:val="32"/>
        </w:rPr>
        <w:t> </w:t>
      </w:r>
      <w:r>
        <w:rPr>
          <w:rFonts w:hint="eastAsia" w:ascii="仿宋_GB2312" w:eastAsia="仿宋_GB2312" w:hAnsiTheme="minorEastAsia"/>
          <w:sz w:val="32"/>
          <w:szCs w:val="32"/>
        </w:rPr>
        <w:t>本办法试行3年。</w:t>
      </w:r>
    </w:p>
    <w:p>
      <w:pPr>
        <w:widowControl/>
        <w:jc w:val="left"/>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asciiTheme="minorEastAsia" w:hAnsiTheme="minorEastAsia"/>
          <w:sz w:val="28"/>
          <w:szCs w:val="28"/>
        </w:rPr>
      </w:pPr>
      <w:r>
        <w:rPr>
          <w:rFonts w:hint="eastAsia" w:asciiTheme="minorEastAsia" w:hAnsiTheme="minorEastAsia"/>
          <w:sz w:val="28"/>
          <w:szCs w:val="28"/>
        </w:rPr>
        <w:t>附件1：</w:t>
      </w:r>
    </w:p>
    <w:p>
      <w:pPr>
        <w:jc w:val="center"/>
        <w:rPr>
          <w:rFonts w:ascii="黑体" w:hAnsi="黑体" w:eastAsia="黑体"/>
          <w:sz w:val="28"/>
          <w:szCs w:val="28"/>
        </w:rPr>
      </w:pPr>
      <w:r>
        <w:rPr>
          <w:rFonts w:hint="eastAsia" w:ascii="黑体" w:hAnsi="黑体" w:eastAsia="黑体"/>
          <w:sz w:val="28"/>
          <w:szCs w:val="28"/>
        </w:rPr>
        <w:t>坪山区建设工程承包商（代建）履约评分标准表</w:t>
      </w:r>
    </w:p>
    <w:tbl>
      <w:tblPr>
        <w:tblStyle w:val="7"/>
        <w:tblW w:w="8500" w:type="dxa"/>
        <w:tblInd w:w="0" w:type="dxa"/>
        <w:tblLayout w:type="fixed"/>
        <w:tblCellMar>
          <w:top w:w="0" w:type="dxa"/>
          <w:left w:w="108" w:type="dxa"/>
          <w:bottom w:w="0" w:type="dxa"/>
          <w:right w:w="108" w:type="dxa"/>
        </w:tblCellMar>
      </w:tblPr>
      <w:tblGrid>
        <w:gridCol w:w="579"/>
        <w:gridCol w:w="1107"/>
        <w:gridCol w:w="1024"/>
        <w:gridCol w:w="749"/>
        <w:gridCol w:w="1069"/>
        <w:gridCol w:w="1075"/>
        <w:gridCol w:w="1480"/>
        <w:gridCol w:w="709"/>
        <w:gridCol w:w="708"/>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4" w:type="dxa"/>
            <w:gridSpan w:val="7"/>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□单项工程定期履约评价    □单项工程最终履约评价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   项   内   容</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   价   标   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ascii="宋体" w:hAnsi="宋体" w:eastAsia="宋体" w:cs="宋体"/>
                <w:kern w:val="0"/>
                <w:sz w:val="18"/>
                <w:szCs w:val="18"/>
              </w:rPr>
              <w:t>扣分标准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391"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一</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人员配备与履职</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r>
              <w:rPr>
                <w:rFonts w:ascii="宋体" w:hAnsi="宋体" w:eastAsia="宋体" w:cs="宋体"/>
                <w:kern w:val="0"/>
                <w:sz w:val="18"/>
                <w:szCs w:val="18"/>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55"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首席责任人</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与投标承诺或者合同是否一致</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是否按合同约定履行职责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是否有未经批准擅自更换项目首席责任人</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是否有仅在项目挂名不实际履行职责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其他人员（包括管理人员与技术人员）</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与投标承诺或者合同是否相符</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到位是否良好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专业、数量是否满足代建工作的实际要求</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是否具有相应的工作能力</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是否保持相对稳定</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是否有仅在项目挂名不实际履行职责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355"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二</w:t>
            </w:r>
          </w:p>
        </w:tc>
        <w:tc>
          <w:tcPr>
            <w:tcW w:w="2131" w:type="dxa"/>
            <w:gridSpan w:val="2"/>
            <w:tcBorders>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质量控制</w:t>
            </w:r>
          </w:p>
        </w:tc>
        <w:tc>
          <w:tcPr>
            <w:tcW w:w="749" w:type="dxa"/>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设计阶段</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是否按国家、地方、行业规范和标准完成设计工作</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是否按委托单位书面要求完成设计工作</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设计文件是否报委托人审查同意</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是否提出针对设计工作的良好建议及措施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施工阶段</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8</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是否对工程材料进行质量检查检验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是否对工程设备进行检查检验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是否对施工工艺进行全过程检查</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是否对施工关键工序检查到位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是否编制工程质量报表</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工程质量不符合标准或者约定的，是否按要求整改</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三</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安全管理</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20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5</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安全文明施工</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制定了针对合同项目的安全文明施工制度，并严格按制度执行的，得1</w:t>
            </w:r>
            <w:r>
              <w:rPr>
                <w:rFonts w:asciiTheme="minorEastAsia" w:hAnsiTheme="minorEastAsia"/>
                <w:szCs w:val="21"/>
              </w:rPr>
              <w:t>2</w:t>
            </w:r>
            <w:r>
              <w:rPr>
                <w:rFonts w:hint="eastAsia" w:asciiTheme="minorEastAsia" w:hAnsiTheme="minorEastAsia"/>
                <w:szCs w:val="21"/>
              </w:rPr>
              <w:t>分</w:t>
            </w:r>
          </w:p>
        </w:tc>
        <w:tc>
          <w:tcPr>
            <w:tcW w:w="70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制定了针对合同项目的安全文明施工制度，基本按制度执行的，得</w:t>
            </w:r>
            <w:r>
              <w:rPr>
                <w:rFonts w:asciiTheme="minorEastAsia" w:hAnsiTheme="minorEastAsia"/>
                <w:szCs w:val="21"/>
              </w:rPr>
              <w:t>6</w:t>
            </w:r>
            <w:r>
              <w:rPr>
                <w:rFonts w:hint="eastAsia" w:asciiTheme="minorEastAsia" w:hAnsiTheme="minorEastAsia"/>
                <w:szCs w:val="21"/>
              </w:rPr>
              <w:t>分</w:t>
            </w:r>
          </w:p>
        </w:tc>
        <w:tc>
          <w:tcPr>
            <w:tcW w:w="70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未制定针对合同项目的安全文明施工制度，得0分</w:t>
            </w:r>
          </w:p>
        </w:tc>
        <w:tc>
          <w:tcPr>
            <w:tcW w:w="70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对违规施工以及安全隐患是否有采取有效措施制止、纠正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事故应急</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是否制定了应对各类事故的应急预案</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发生应急事故时，是否及时采取有效措施防止事故扩大</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四</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进度控制</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20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工期控制</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20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是否有主动控制工程的各阶段工期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总体及阶段性工期计划以及控制措施是否科学合理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发现工程进度有落后时是否及时采取补救措施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是否有代建单位原因导致实际工期超过合同工期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五</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成本与资金管理</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成本控制</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工程核减率小于5%的，得7分；5%~10%的，得6分，10%~15%的，得5分，15%~20%的，得4分，20%~25%的，得3分，25~30的，得2分，超出30%的，得0分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9</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设计变更</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是否按审批手续报审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是否主动控制变更成本</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六</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配合与服务</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10</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履约准备</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是否能够按照要求签订合同及补充协议</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1</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Theme="minorEastAsia" w:hAnsiTheme="minorEastAsia"/>
                <w:szCs w:val="21"/>
              </w:rPr>
            </w:pPr>
          </w:p>
          <w:p>
            <w:pPr>
              <w:widowControl/>
              <w:jc w:val="center"/>
              <w:rPr>
                <w:rFonts w:cs="宋体" w:asciiTheme="minorEastAsia" w:hAnsiTheme="minorEastAsia"/>
                <w:kern w:val="0"/>
                <w:szCs w:val="21"/>
              </w:rPr>
            </w:pPr>
            <w:r>
              <w:rPr>
                <w:rFonts w:hint="eastAsia" w:asciiTheme="minorEastAsia" w:hAnsiTheme="minorEastAsia"/>
                <w:szCs w:val="21"/>
              </w:rPr>
              <w:t>竣工移交</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是否能够按合同要求办理工程竣工移交手续</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是否能够向委托单位提交完整的工程档案资料</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12</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配合情况</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rPr>
                <w:rFonts w:asciiTheme="minorEastAsia" w:hAnsiTheme="minorEastAsia"/>
                <w:szCs w:val="21"/>
              </w:rPr>
            </w:pPr>
            <w:r>
              <w:rPr>
                <w:rFonts w:hint="eastAsia" w:asciiTheme="minorEastAsia" w:hAnsiTheme="minorEastAsia"/>
                <w:szCs w:val="21"/>
              </w:rPr>
              <w:t>对委托单位交办的工作积极完成的，得3分；</w:t>
            </w:r>
          </w:p>
          <w:p>
            <w:pPr>
              <w:rPr>
                <w:rFonts w:asciiTheme="minorEastAsia" w:hAnsiTheme="minorEastAsia"/>
                <w:szCs w:val="21"/>
              </w:rPr>
            </w:pPr>
            <w:r>
              <w:rPr>
                <w:rFonts w:hint="eastAsia" w:asciiTheme="minorEastAsia" w:hAnsiTheme="minorEastAsia"/>
                <w:szCs w:val="21"/>
              </w:rPr>
              <w:t>对委托单位交办的工作能完成但态度不积极的，得2~1分；</w:t>
            </w:r>
          </w:p>
          <w:p>
            <w:pPr>
              <w:rPr>
                <w:rFonts w:asciiTheme="minorEastAsia" w:hAnsiTheme="minorEastAsia"/>
                <w:szCs w:val="21"/>
              </w:rPr>
            </w:pPr>
            <w:r>
              <w:rPr>
                <w:rFonts w:hint="eastAsia" w:asciiTheme="minorEastAsia" w:hAnsiTheme="minorEastAsia"/>
                <w:szCs w:val="21"/>
              </w:rPr>
              <w:t>对委托单位交办的工作拒不完成的，得0分。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13</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诚信情况</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是否有在没有得到相应许可的情况下，对外公开涉及任何机密资料</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是否有串通相关单位弄虚作假现象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是否有对违法违规行为隐瞒不报情况</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148"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14</w:t>
            </w:r>
          </w:p>
        </w:tc>
        <w:tc>
          <w:tcPr>
            <w:tcW w:w="2131" w:type="dxa"/>
            <w:gridSpan w:val="2"/>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合计</w:t>
            </w:r>
          </w:p>
        </w:tc>
        <w:tc>
          <w:tcPr>
            <w:tcW w:w="749" w:type="dxa"/>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100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2、规定的评分指标中，招标文件或者合同无委托实施的内容，或者在定期履约评价时尚不具备评价条件的，不计入评分，对总得分按百分制进行折算。</w:t>
            </w:r>
          </w:p>
          <w:p>
            <w:pPr>
              <w:widowControl/>
              <w:ind w:firstLine="420" w:firstLineChars="200"/>
              <w:rPr>
                <w:rFonts w:ascii="宋体" w:hAnsi="宋体" w:eastAsia="宋体" w:cs="宋体"/>
                <w:kern w:val="0"/>
                <w:sz w:val="18"/>
                <w:szCs w:val="18"/>
              </w:rPr>
            </w:pPr>
            <w:r>
              <w:rPr>
                <w:rFonts w:hint="eastAsia" w:asciiTheme="minorEastAsia" w:hAnsiTheme="minorEastAsia"/>
                <w:szCs w:val="21"/>
              </w:rPr>
              <w:t>3、每一评价指标的量化分值为最高分，建设单位可根据承包商的履约情况在最高分基础上扣分，扣分精确至0.5分。</w:t>
            </w: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p>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rPr>
          <w:rFonts w:asciiTheme="minorEastAsia" w:hAnsiTheme="minorEastAsia"/>
          <w:sz w:val="28"/>
          <w:szCs w:val="28"/>
        </w:rPr>
      </w:pPr>
      <w:r>
        <w:rPr>
          <w:rFonts w:hint="eastAsia" w:asciiTheme="minorEastAsia" w:hAnsiTheme="minorEastAsia"/>
          <w:sz w:val="28"/>
          <w:szCs w:val="28"/>
        </w:rPr>
        <w:t>附件</w:t>
      </w:r>
      <w:r>
        <w:rPr>
          <w:rFonts w:asciiTheme="minorEastAsia" w:hAnsiTheme="minorEastAsia"/>
          <w:sz w:val="28"/>
          <w:szCs w:val="28"/>
        </w:rPr>
        <w:t>2</w:t>
      </w:r>
      <w:r>
        <w:rPr>
          <w:rFonts w:hint="eastAsia" w:asciiTheme="minorEastAsia" w:hAnsiTheme="minorEastAsia"/>
          <w:sz w:val="28"/>
          <w:szCs w:val="28"/>
        </w:rPr>
        <w:t>：</w:t>
      </w:r>
    </w:p>
    <w:p>
      <w:pPr>
        <w:jc w:val="center"/>
        <w:rPr>
          <w:rFonts w:ascii="黑体" w:hAnsi="黑体" w:eastAsia="黑体"/>
          <w:sz w:val="28"/>
          <w:szCs w:val="28"/>
        </w:rPr>
      </w:pPr>
      <w:r>
        <w:rPr>
          <w:rFonts w:hint="eastAsia" w:ascii="黑体" w:hAnsi="黑体" w:eastAsia="黑体"/>
          <w:sz w:val="28"/>
          <w:szCs w:val="28"/>
        </w:rPr>
        <w:t>坪山区建设工程承包商（勘察）履约评分标准表</w:t>
      </w:r>
    </w:p>
    <w:tbl>
      <w:tblPr>
        <w:tblStyle w:val="7"/>
        <w:tblW w:w="8500" w:type="dxa"/>
        <w:tblInd w:w="0" w:type="dxa"/>
        <w:tblLayout w:type="fixed"/>
        <w:tblCellMar>
          <w:top w:w="0" w:type="dxa"/>
          <w:left w:w="108" w:type="dxa"/>
          <w:bottom w:w="0" w:type="dxa"/>
          <w:right w:w="108" w:type="dxa"/>
        </w:tblCellMar>
      </w:tblPr>
      <w:tblGrid>
        <w:gridCol w:w="579"/>
        <w:gridCol w:w="1107"/>
        <w:gridCol w:w="577"/>
        <w:gridCol w:w="709"/>
        <w:gridCol w:w="1556"/>
        <w:gridCol w:w="854"/>
        <w:gridCol w:w="221"/>
        <w:gridCol w:w="2189"/>
        <w:gridCol w:w="708"/>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4" w:type="dxa"/>
            <w:gridSpan w:val="7"/>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□单项工程定期履约评价    □单项工程最终履约评价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分项内容</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评价标准</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评分</w:t>
            </w:r>
            <w:r>
              <w:rPr>
                <w:rFonts w:ascii="宋体" w:hAnsi="宋体" w:eastAsia="宋体" w:cs="宋体"/>
                <w:kern w:val="0"/>
                <w:sz w:val="18"/>
                <w:szCs w:val="18"/>
              </w:rPr>
              <w:t>标准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9"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一</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人员设备配置</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30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4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1684"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主要人员</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Theme="minorEastAsia" w:hAnsiTheme="minorEastAsia"/>
                <w:szCs w:val="21"/>
              </w:rPr>
              <w:t>项目负责人是否按合同到位</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r>
              <w:rPr>
                <w:rFonts w:hint="eastAsia" w:asciiTheme="minorEastAsia" w:hAnsiTheme="minorEastAsia"/>
                <w:szCs w:val="21"/>
              </w:rPr>
              <w:t>未按合同到位扣5分。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ascii="黑体" w:hAnsi="黑体" w:eastAsia="黑体" w:cs="宋体"/>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10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Theme="minorEastAsia" w:hAnsiTheme="minorEastAsia"/>
                <w:szCs w:val="21"/>
              </w:rPr>
              <w:t>项目技术负责人以及观测员、记录员、安全员、机长等技术人员是否按合同到位</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r>
              <w:rPr>
                <w:rFonts w:hint="eastAsia" w:asciiTheme="minorEastAsia" w:hAnsiTheme="minorEastAsia"/>
                <w:szCs w:val="21"/>
              </w:rPr>
              <w:t>项目技术负责人、技术人员未按合同到位，擅自更换人员，每人次扣3-5分，扣完为止。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1"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1684"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r>
              <w:rPr>
                <w:rFonts w:hint="eastAsia" w:asciiTheme="minorEastAsia" w:hAnsiTheme="minorEastAsia"/>
                <w:szCs w:val="21"/>
              </w:rPr>
              <w:t>特殊工种人员是否持证上岗</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Theme="minorEastAsia" w:hAnsiTheme="minorEastAsia"/>
                <w:szCs w:val="21"/>
              </w:rPr>
            </w:pPr>
            <w:r>
              <w:rPr>
                <w:rFonts w:hint="eastAsia" w:asciiTheme="minorEastAsia" w:hAnsiTheme="minorEastAsia"/>
                <w:szCs w:val="21"/>
              </w:rPr>
              <w:t>不持证上岗的，每人次扣</w:t>
            </w:r>
            <w:r>
              <w:rPr>
                <w:rFonts w:asciiTheme="minorEastAsia" w:hAnsiTheme="minorEastAsia"/>
                <w:szCs w:val="21"/>
              </w:rPr>
              <w:t>2</w:t>
            </w:r>
            <w:r>
              <w:rPr>
                <w:rFonts w:hint="eastAsia" w:asciiTheme="minorEastAsia" w:hAnsiTheme="minorEastAsia"/>
                <w:szCs w:val="21"/>
              </w:rPr>
              <w:t>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1"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1684" w:type="dxa"/>
            <w:gridSpan w:val="2"/>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主要设备</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r>
              <w:rPr>
                <w:rFonts w:hint="eastAsia" w:asciiTheme="minorEastAsia" w:hAnsiTheme="minorEastAsia"/>
                <w:szCs w:val="21"/>
              </w:rPr>
              <w:t>主要设备是否按合同到位</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Theme="minorEastAsia" w:hAnsiTheme="minorEastAsia"/>
                <w:szCs w:val="21"/>
              </w:rPr>
            </w:pPr>
            <w:r>
              <w:rPr>
                <w:rFonts w:hint="eastAsia" w:asciiTheme="minorEastAsia" w:hAnsiTheme="minorEastAsia"/>
                <w:szCs w:val="21"/>
              </w:rPr>
              <w:t>未按合同到位的每台设备扣5分，扣完为止。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 w:val="18"/>
                <w:szCs w:val="18"/>
              </w:rPr>
            </w:pPr>
          </w:p>
        </w:tc>
      </w:tr>
      <w:tr>
        <w:tblPrEx>
          <w:tblLayout w:type="fixed"/>
          <w:tblCellMar>
            <w:top w:w="0" w:type="dxa"/>
            <w:left w:w="108" w:type="dxa"/>
            <w:bottom w:w="0" w:type="dxa"/>
            <w:right w:w="108" w:type="dxa"/>
          </w:tblCellMar>
        </w:tblPrEx>
        <w:trPr>
          <w:trHeight w:val="284"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二</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勘察质量</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40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3</w:t>
            </w:r>
          </w:p>
        </w:tc>
        <w:tc>
          <w:tcPr>
            <w:tcW w:w="1684"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质量控制</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5</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是否严格执行规范和技术标准</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每存在一处不严格执行规范和强制性标准的扣2分，扣完为止。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6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5</w:t>
            </w:r>
          </w:p>
        </w:tc>
        <w:tc>
          <w:tcPr>
            <w:tcW w:w="2410" w:type="dxa"/>
            <w:gridSpan w:val="2"/>
            <w:tcBorders>
              <w:top w:val="single" w:color="auto" w:sz="4" w:space="0"/>
              <w:left w:val="nil"/>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是否有缺项、漏项</w:t>
            </w:r>
          </w:p>
        </w:tc>
        <w:tc>
          <w:tcPr>
            <w:tcW w:w="2410" w:type="dxa"/>
            <w:gridSpan w:val="2"/>
            <w:tcBorders>
              <w:top w:val="single" w:color="auto" w:sz="4" w:space="0"/>
              <w:left w:val="nil"/>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发现缺项、漏项的，每处扣1-</w:t>
            </w:r>
            <w:r>
              <w:rPr>
                <w:rFonts w:asciiTheme="minorEastAsia" w:hAnsiTheme="minorEastAsia"/>
                <w:szCs w:val="21"/>
              </w:rPr>
              <w:t>3</w:t>
            </w:r>
            <w:r>
              <w:rPr>
                <w:rFonts w:hint="eastAsia" w:asciiTheme="minorEastAsia" w:hAnsiTheme="minorEastAsia"/>
                <w:szCs w:val="21"/>
              </w:rPr>
              <w:t>分，扣完为止。</w:t>
            </w:r>
          </w:p>
        </w:tc>
        <w:tc>
          <w:tcPr>
            <w:tcW w:w="708" w:type="dxa"/>
            <w:tcBorders>
              <w:top w:val="single" w:color="auto" w:sz="4" w:space="0"/>
              <w:left w:val="nil"/>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4</w:t>
            </w:r>
          </w:p>
        </w:tc>
        <w:tc>
          <w:tcPr>
            <w:tcW w:w="1684"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勘察文件</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在工程勘察前，是否提出勘察纲要或者勘察组织设计</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cs="宋体" w:asciiTheme="minorEastAsia" w:hAnsiTheme="minorEastAsia"/>
                <w:kern w:val="0"/>
                <w:szCs w:val="21"/>
              </w:rPr>
              <w:t>没有提出的，扣3分。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勘察成果是否翔实可信</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cs="宋体" w:asciiTheme="minorEastAsia" w:hAnsiTheme="minorEastAsia"/>
                <w:kern w:val="0"/>
                <w:szCs w:val="21"/>
              </w:rPr>
              <w:t>勘察成果不翔实可信的，扣3-</w:t>
            </w:r>
            <w:r>
              <w:rPr>
                <w:rFonts w:cs="宋体" w:asciiTheme="minorEastAsia" w:hAnsiTheme="minorEastAsia"/>
                <w:kern w:val="0"/>
                <w:szCs w:val="21"/>
              </w:rPr>
              <w:t>5分</w:t>
            </w:r>
            <w:r>
              <w:rPr>
                <w:rFonts w:hint="eastAsia" w:cs="宋体" w:asciiTheme="minorEastAsia" w:hAnsiTheme="minorEastAsia"/>
                <w:kern w:val="0"/>
                <w:szCs w:val="21"/>
              </w:rPr>
              <w:t>。</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是否一次性提供完整的勘察文件资料</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cs="宋体" w:asciiTheme="minorEastAsia" w:hAnsiTheme="minorEastAsia"/>
                <w:kern w:val="0"/>
                <w:szCs w:val="21"/>
              </w:rPr>
              <w:t>资料不全的，每缺1项</w:t>
            </w:r>
            <w:r>
              <w:rPr>
                <w:rFonts w:hint="eastAsia" w:asciiTheme="minorEastAsia" w:hAnsiTheme="minorEastAsia"/>
                <w:szCs w:val="21"/>
              </w:rPr>
              <w:t>扣1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是否达到勘察深度要求</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cs="宋体" w:asciiTheme="minorEastAsia" w:hAnsiTheme="minorEastAsia"/>
                <w:kern w:val="0"/>
                <w:szCs w:val="21"/>
              </w:rPr>
              <w:t>达不到勘察深度要求的扣5分。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是否一次性通过勘察文件审查</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b/>
                <w:kern w:val="0"/>
                <w:szCs w:val="21"/>
              </w:rPr>
            </w:pPr>
            <w:r>
              <w:rPr>
                <w:rFonts w:hint="eastAsia" w:cs="宋体" w:asciiTheme="minorEastAsia" w:hAnsiTheme="minorEastAsia"/>
                <w:kern w:val="0"/>
                <w:szCs w:val="21"/>
              </w:rPr>
              <w:t>未能一次性通过审查的，每增加一次审查扣2分，</w:t>
            </w:r>
            <w:r>
              <w:rPr>
                <w:rFonts w:hint="eastAsia" w:asciiTheme="minorEastAsia" w:hAnsiTheme="minorEastAsia"/>
                <w:szCs w:val="21"/>
              </w:rPr>
              <w:t>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5</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工程变更</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是否有因勘察不准而使工程费用增加</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造成工程费用增加，每变动1%扣3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三</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进度与配合</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Theme="minorEastAsia" w:hAnsiTheme="minorEastAsia"/>
                <w:szCs w:val="21"/>
              </w:rPr>
              <w:t>3</w:t>
            </w:r>
            <w:r>
              <w:rPr>
                <w:rFonts w:asciiTheme="minorEastAsia" w:hAnsiTheme="minorEastAsia"/>
                <w:szCs w:val="21"/>
              </w:rPr>
              <w:t>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6</w:t>
            </w:r>
          </w:p>
        </w:tc>
        <w:tc>
          <w:tcPr>
            <w:tcW w:w="16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勘察进度</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是否按约定时间及时提交勘察报告等文件</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超过约定时间一周以内提交的扣2分，超过规定时间一周以上两周以内提交的扣</w:t>
            </w:r>
            <w:r>
              <w:rPr>
                <w:rFonts w:asciiTheme="minorEastAsia" w:hAnsiTheme="minorEastAsia"/>
                <w:szCs w:val="21"/>
              </w:rPr>
              <w:t>5</w:t>
            </w:r>
            <w:r>
              <w:rPr>
                <w:rFonts w:hint="eastAsia" w:asciiTheme="minorEastAsia" w:hAnsiTheme="minorEastAsia"/>
                <w:szCs w:val="21"/>
              </w:rPr>
              <w:t>分，超过规定时间两周以上提交的扣8分。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7</w:t>
            </w:r>
          </w:p>
        </w:tc>
        <w:tc>
          <w:tcPr>
            <w:tcW w:w="1684"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配合</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是否参加业主组织的施工验槽及图纸审查、施工图设计交底会议</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不参加的，发生一次扣2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4</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是否参加业主组织的工程技术难点处理工作会议</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不参加的，发生一次扣2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是否听取、采纳业主、施工、监理等单位的合理化建议</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不听取、不采纳合理化建议的，发生一次扣1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4</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是否遵守勘察现场作业安全制度</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不遵守的，发生一次扣2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是否配合调查建设工程质量安全事故</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不配合的，发生一次扣1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是否配合地方政府及相关部门检查</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不配合的，发生一次扣1 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684"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是否响应、配合业主的其它要求</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不响应、配合的，发生一次扣1分，扣完为止。</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684" w:type="dxa"/>
            <w:gridSpan w:val="2"/>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100</w:t>
            </w: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2410"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Theme="minorEastAsia" w:hAnsiTheme="minorEastAsia"/>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注：1、工程建设单位可结合其工程特点和具体要求，增加和量化具体评分指标，制定评分表，并按百分制将分项分值进行折算调整。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2、规定的评分指标中，招标文件或者合同无委托实施的内容，不计入评分，其分值按百分制折算后计入其他指标中或者对总得分按百分制进行折算。</w:t>
            </w: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p>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p>
      <w:pPr>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rPr>
          <w:rFonts w:asciiTheme="minorEastAsia" w:hAnsiTheme="minorEastAsia"/>
          <w:sz w:val="28"/>
          <w:szCs w:val="28"/>
        </w:rPr>
      </w:pPr>
      <w:r>
        <w:rPr>
          <w:rFonts w:hint="eastAsia" w:asciiTheme="minorEastAsia" w:hAnsiTheme="minorEastAsia"/>
          <w:sz w:val="28"/>
          <w:szCs w:val="28"/>
        </w:rPr>
        <w:t>附件</w:t>
      </w:r>
      <w:r>
        <w:rPr>
          <w:rFonts w:asciiTheme="minorEastAsia" w:hAnsiTheme="minorEastAsia"/>
          <w:sz w:val="28"/>
          <w:szCs w:val="28"/>
        </w:rPr>
        <w:t>3</w:t>
      </w:r>
      <w:r>
        <w:rPr>
          <w:rFonts w:hint="eastAsia" w:asciiTheme="minorEastAsia" w:hAnsiTheme="minorEastAsia"/>
          <w:sz w:val="28"/>
          <w:szCs w:val="28"/>
        </w:rPr>
        <w:t>：</w:t>
      </w:r>
    </w:p>
    <w:p>
      <w:pPr>
        <w:jc w:val="center"/>
        <w:rPr>
          <w:rFonts w:ascii="黑体" w:hAnsi="黑体" w:eastAsia="黑体"/>
          <w:sz w:val="28"/>
          <w:szCs w:val="28"/>
        </w:rPr>
      </w:pPr>
      <w:r>
        <w:rPr>
          <w:rFonts w:hint="eastAsia" w:ascii="黑体" w:hAnsi="黑体" w:eastAsia="黑体"/>
          <w:sz w:val="28"/>
          <w:szCs w:val="28"/>
        </w:rPr>
        <w:t>坪山区建设工程承包商（设计）履约评分标准表</w:t>
      </w:r>
    </w:p>
    <w:tbl>
      <w:tblPr>
        <w:tblStyle w:val="7"/>
        <w:tblW w:w="8500" w:type="dxa"/>
        <w:tblInd w:w="0" w:type="dxa"/>
        <w:tblLayout w:type="fixed"/>
        <w:tblCellMar>
          <w:top w:w="0" w:type="dxa"/>
          <w:left w:w="108" w:type="dxa"/>
          <w:bottom w:w="0" w:type="dxa"/>
          <w:right w:w="108" w:type="dxa"/>
        </w:tblCellMar>
      </w:tblPr>
      <w:tblGrid>
        <w:gridCol w:w="579"/>
        <w:gridCol w:w="1107"/>
        <w:gridCol w:w="436"/>
        <w:gridCol w:w="708"/>
        <w:gridCol w:w="1698"/>
        <w:gridCol w:w="854"/>
        <w:gridCol w:w="221"/>
        <w:gridCol w:w="2330"/>
        <w:gridCol w:w="567"/>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4" w:type="dxa"/>
            <w:gridSpan w:val="7"/>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□单项工程定期履约评价    □单项工程最终履约评价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8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分项内容</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评价标准</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评分</w:t>
            </w:r>
            <w:r>
              <w:rPr>
                <w:rFonts w:ascii="宋体" w:hAnsi="宋体" w:eastAsia="宋体" w:cs="宋体"/>
                <w:kern w:val="0"/>
                <w:sz w:val="18"/>
                <w:szCs w:val="18"/>
              </w:rPr>
              <w:t>标准</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9"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一</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人员配置</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4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主要人员</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Theme="minorEastAsia" w:hAnsiTheme="minorEastAsia"/>
                <w:szCs w:val="21"/>
              </w:rPr>
              <w:t>项目负责人是否按合同到位</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r>
              <w:rPr>
                <w:rFonts w:hint="eastAsia" w:asciiTheme="minorEastAsia" w:hAnsiTheme="minorEastAsia"/>
                <w:szCs w:val="21"/>
              </w:rPr>
              <w:t>未按合同到位扣5分。</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1"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1543"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Theme="minorEastAsia" w:hAnsiTheme="minorEastAsia"/>
                <w:szCs w:val="21"/>
              </w:rPr>
              <w:t>项目技术负责人以及设计人</w:t>
            </w:r>
            <w:r>
              <w:rPr>
                <w:rFonts w:asciiTheme="minorEastAsia" w:hAnsiTheme="minorEastAsia"/>
                <w:szCs w:val="21"/>
              </w:rPr>
              <w:t>、审核人、审定人</w:t>
            </w:r>
            <w:r>
              <w:rPr>
                <w:rFonts w:hint="eastAsia" w:asciiTheme="minorEastAsia" w:hAnsiTheme="minorEastAsia"/>
                <w:szCs w:val="21"/>
              </w:rPr>
              <w:t>和</w:t>
            </w:r>
            <w:r>
              <w:rPr>
                <w:rFonts w:asciiTheme="minorEastAsia" w:hAnsiTheme="minorEastAsia"/>
                <w:szCs w:val="21"/>
              </w:rPr>
              <w:t>专业负责人</w:t>
            </w:r>
            <w:r>
              <w:rPr>
                <w:rFonts w:hint="eastAsia" w:asciiTheme="minorEastAsia" w:hAnsiTheme="minorEastAsia"/>
                <w:szCs w:val="21"/>
              </w:rPr>
              <w:t>等主要技术人员是否按合同到位</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r>
              <w:rPr>
                <w:rFonts w:hint="eastAsia" w:asciiTheme="minorEastAsia" w:hAnsiTheme="minorEastAsia"/>
                <w:szCs w:val="21"/>
              </w:rPr>
              <w:t>项目技术负责人、主要技术人员未按合同到位，擅自更换人员，每人次扣3-5分，扣完为止。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84"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二</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设计质量</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r>
              <w:rPr>
                <w:rFonts w:ascii="宋体" w:hAnsi="宋体" w:eastAsia="宋体" w:cs="宋体"/>
                <w:kern w:val="0"/>
                <w:szCs w:val="21"/>
              </w:rPr>
              <w:t>5</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48"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质量控制</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是否符合规范和技术标准</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每存在一处不符合规范和强制性标准的扣2 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6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552" w:type="dxa"/>
            <w:gridSpan w:val="2"/>
            <w:tcBorders>
              <w:top w:val="single" w:color="auto" w:sz="4" w:space="0"/>
              <w:left w:val="nil"/>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是否有缺项、漏项</w:t>
            </w:r>
          </w:p>
        </w:tc>
        <w:tc>
          <w:tcPr>
            <w:tcW w:w="2551" w:type="dxa"/>
            <w:gridSpan w:val="2"/>
            <w:tcBorders>
              <w:top w:val="single" w:color="auto" w:sz="4" w:space="0"/>
              <w:left w:val="nil"/>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发现缺项、漏项的，每处扣2分，扣完为止。</w:t>
            </w:r>
          </w:p>
        </w:tc>
        <w:tc>
          <w:tcPr>
            <w:tcW w:w="567" w:type="dxa"/>
            <w:tcBorders>
              <w:top w:val="single" w:color="auto" w:sz="4" w:space="0"/>
              <w:left w:val="nil"/>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方案设计</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是否有针对性、对比性，论证是否充分</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没有针对性、对比性，论证不充分，每处扣1 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是否落实建设单位的设计要求</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没有落实建设单位设计要求的，每处扣1分，扣完为止。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是否满足功能需求、运行可靠、技术经济等指标</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未满足功能需求、运行可靠、技术经济等指标，每处扣1分，扣完为止。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初步设计</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是否按照业主</w:t>
            </w:r>
            <w:r>
              <w:rPr>
                <w:rFonts w:asciiTheme="minorEastAsia" w:hAnsiTheme="minorEastAsia"/>
                <w:szCs w:val="21"/>
              </w:rPr>
              <w:t>要求</w:t>
            </w:r>
            <w:r>
              <w:rPr>
                <w:rFonts w:hint="eastAsia" w:asciiTheme="minorEastAsia" w:hAnsiTheme="minorEastAsia"/>
                <w:szCs w:val="21"/>
              </w:rPr>
              <w:t>提供完整的设计文件资料</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资料不全，每缺1项扣1分，扣完为止。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是否达到初步设计深度</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达不到初步设计深度扣3分。</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施工图设计</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是否一次性提供完整的设计文件资料</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资料不全，每缺1项扣1分，扣完为止。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是否达到施工图设计深度</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达不到施工图设计深度扣3分。</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是否达到各专业条件无较大错漏、冲突</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每发现一处各专业错漏、冲突扣2分，扣完为止。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工程变更</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10</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是否有因设计失误</w:t>
            </w:r>
            <w:r>
              <w:rPr>
                <w:rFonts w:asciiTheme="minorEastAsia" w:hAnsiTheme="minorEastAsia"/>
                <w:szCs w:val="21"/>
              </w:rPr>
              <w:t>等</w:t>
            </w:r>
            <w:r>
              <w:rPr>
                <w:rFonts w:hint="eastAsia" w:asciiTheme="minorEastAsia" w:hAnsiTheme="minorEastAsia"/>
                <w:szCs w:val="21"/>
              </w:rPr>
              <w:t>原因而使工程费用变动</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造成工程造价向上或者向下变动，每变动1%扣3分，扣完为止。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三</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进度与配合</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Theme="minorEastAsia" w:hAnsiTheme="minorEastAsia"/>
                <w:szCs w:val="21"/>
              </w:rPr>
              <w:t>35</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15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设计进度</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是否按约定时间提交各种设计文件与资料</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超过约定时间一周以内提交设计文件的扣2分，超过规定时间一周以上两周以内提交设计文件的扣4分，超过规定时间两周以上提交设计文件的扣8分。</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1543"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配合</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是否参加业主组织的图纸审查、施工图设计交底会议</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不参加图纸审查、施工图设计交底的，发生一次扣2分，扣完为止。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是否参加业主组织的工程技术难点处理工作会议</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不参加的，发生一次扣2分，扣完为止。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是否听取、采纳业主、施工、监理等单位的合理化建议</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不听取、不采纳合理化建议的，发生一次扣1分，扣完为止。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是否参加工程各项、各阶段的验收</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不参加工程各项、各阶段验收的，发生一次扣2分，扣完为止。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是否配合调查建设工程质量安全事故</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不配合的，发生一次扣1分，扣完为止。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是否配合地方政府及相关部门检查</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不配合的，发生一次扣1分，扣完为止。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1543"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是否响应、配合业主的其它要求</w:t>
            </w: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cs="宋体" w:asciiTheme="minorEastAsia" w:hAnsiTheme="minorEastAsia"/>
                <w:kern w:val="0"/>
                <w:szCs w:val="21"/>
              </w:rPr>
            </w:pPr>
            <w:r>
              <w:rPr>
                <w:rFonts w:hint="eastAsia" w:asciiTheme="minorEastAsia" w:hAnsiTheme="minorEastAsia"/>
                <w:szCs w:val="21"/>
              </w:rPr>
              <w:t>不响应、配合的，发生一次扣1分，扣完为止。</w:t>
            </w: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80"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9</w:t>
            </w:r>
          </w:p>
        </w:tc>
        <w:tc>
          <w:tcPr>
            <w:tcW w:w="1543" w:type="dxa"/>
            <w:gridSpan w:val="2"/>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合计</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100</w:t>
            </w:r>
          </w:p>
        </w:tc>
        <w:tc>
          <w:tcPr>
            <w:tcW w:w="25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255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Theme="minorEastAsia" w:hAnsiTheme="minorEastAsia"/>
                <w:szCs w:val="21"/>
              </w:rPr>
            </w:pPr>
          </w:p>
        </w:tc>
        <w:tc>
          <w:tcPr>
            <w:tcW w:w="567"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注：1、工程建设单位可结合其工程特点和具体要求，增加和量化具体评分指标，制定评分表，并按百分制将分项分值进行折算调整。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2、规定的评分指标中，招标文件或者合同无委托实施的内容，或者在定期履约评价时尚不具备评价条件的，不计入评分，其分值按百分制折算后计入其他指标中或者对总得分按百分制进行折算。</w:t>
            </w:r>
          </w:p>
          <w:p>
            <w:pPr>
              <w:ind w:firstLine="420" w:firstLineChars="200"/>
              <w:rPr>
                <w:rFonts w:asciiTheme="minorEastAsia" w:hAnsiTheme="minorEastAsia"/>
                <w:szCs w:val="21"/>
              </w:rPr>
            </w:pPr>
            <w:r>
              <w:rPr>
                <w:rFonts w:hint="eastAsia" w:asciiTheme="minorEastAsia" w:hAnsiTheme="minorEastAsia"/>
                <w:szCs w:val="21"/>
              </w:rPr>
              <w:t>3、设计结果存在不符合规范和强制性标准，并导致重大失误的（如因设计变更导致工程造价超出合同价10%，或者100万以上的等情形），设计单位履约评价结果直接为不合格，分数最多为59分。</w:t>
            </w: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rPr>
          <w:rFonts w:asciiTheme="minorEastAsia" w:hAnsiTheme="minorEastAsia"/>
          <w:szCs w:val="21"/>
        </w:rPr>
      </w:pPr>
    </w:p>
    <w:p>
      <w:pPr>
        <w:rPr>
          <w:rFonts w:asciiTheme="minorEastAsia" w:hAnsiTheme="minorEastAsia"/>
          <w:sz w:val="28"/>
          <w:szCs w:val="28"/>
        </w:rPr>
      </w:pPr>
      <w:r>
        <w:rPr>
          <w:rFonts w:hint="eastAsia" w:asciiTheme="minorEastAsia" w:hAnsiTheme="minorEastAsia"/>
          <w:sz w:val="28"/>
          <w:szCs w:val="28"/>
        </w:rPr>
        <w:t>附件</w:t>
      </w:r>
      <w:r>
        <w:rPr>
          <w:rFonts w:asciiTheme="minorEastAsia" w:hAnsiTheme="minorEastAsia"/>
          <w:sz w:val="28"/>
          <w:szCs w:val="28"/>
        </w:rPr>
        <w:t>4</w:t>
      </w:r>
      <w:r>
        <w:rPr>
          <w:rFonts w:hint="eastAsia" w:asciiTheme="minorEastAsia" w:hAnsiTheme="minorEastAsia"/>
          <w:sz w:val="28"/>
          <w:szCs w:val="28"/>
        </w:rPr>
        <w:t>：</w:t>
      </w:r>
    </w:p>
    <w:p>
      <w:pPr>
        <w:jc w:val="center"/>
        <w:rPr>
          <w:rFonts w:ascii="黑体" w:hAnsi="黑体" w:eastAsia="黑体"/>
          <w:sz w:val="28"/>
          <w:szCs w:val="28"/>
        </w:rPr>
      </w:pPr>
      <w:r>
        <w:rPr>
          <w:rFonts w:hint="eastAsia" w:ascii="黑体" w:hAnsi="黑体" w:eastAsia="黑体"/>
          <w:sz w:val="28"/>
          <w:szCs w:val="28"/>
        </w:rPr>
        <w:t>坪山区建设工程承包商（施工）履约评分标准表</w:t>
      </w:r>
    </w:p>
    <w:tbl>
      <w:tblPr>
        <w:tblStyle w:val="7"/>
        <w:tblW w:w="8500" w:type="dxa"/>
        <w:tblInd w:w="0" w:type="dxa"/>
        <w:tblLayout w:type="fixed"/>
        <w:tblCellMar>
          <w:top w:w="0" w:type="dxa"/>
          <w:left w:w="108" w:type="dxa"/>
          <w:bottom w:w="0" w:type="dxa"/>
          <w:right w:w="108" w:type="dxa"/>
        </w:tblCellMar>
      </w:tblPr>
      <w:tblGrid>
        <w:gridCol w:w="579"/>
        <w:gridCol w:w="1107"/>
        <w:gridCol w:w="1024"/>
        <w:gridCol w:w="749"/>
        <w:gridCol w:w="1069"/>
        <w:gridCol w:w="1075"/>
        <w:gridCol w:w="1480"/>
        <w:gridCol w:w="709"/>
        <w:gridCol w:w="708"/>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4" w:type="dxa"/>
            <w:gridSpan w:val="7"/>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□单项工程定期履约评价    □单项工程最终履约评价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   项   内   容</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   价   标   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ascii="宋体" w:hAnsi="宋体" w:eastAsia="宋体" w:cs="宋体"/>
                <w:kern w:val="0"/>
                <w:sz w:val="18"/>
                <w:szCs w:val="18"/>
              </w:rPr>
              <w:t>扣分标准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31"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一</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机构人员配备</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6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项目经理</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与投标承诺或者合同是否一致</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86"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是否有常驻现场</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5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是否称职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13"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是否有未经批准擅自更换项目经理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其他管理人员</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是否按规定到位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人员专业、数量是否满足工程要求</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是否具有相应的管理能力</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工程作业人员</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是否有进行教育培训考核</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特殊工种是否有持证上岗</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业务素质是否良好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二</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技术经济实力</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财务支付</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是否有及时支付各项费用开支</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Theme="minorEastAsia" w:hAnsiTheme="minorEastAsia"/>
                <w:szCs w:val="21"/>
              </w:rPr>
            </w:pPr>
          </w:p>
          <w:p>
            <w:pPr>
              <w:widowControl/>
              <w:jc w:val="center"/>
              <w:rPr>
                <w:rFonts w:cs="宋体" w:asciiTheme="minorEastAsia" w:hAnsiTheme="minorEastAsia"/>
                <w:kern w:val="0"/>
                <w:szCs w:val="21"/>
              </w:rPr>
            </w:pPr>
            <w:r>
              <w:rPr>
                <w:rFonts w:hint="eastAsia" w:asciiTheme="minorEastAsia" w:hAnsiTheme="minorEastAsia"/>
                <w:szCs w:val="21"/>
              </w:rPr>
              <w:t>技术实力</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p>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是否有相应的技术实力履行合同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施工总体部署、方法及程序是否优化合理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施工重点、难点问题是否能有效解决</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是否有进行工程深化设计的能力</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机械、材料</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机械设备是否有按投标承诺或者合同配置</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机械、材料是否有按工程需求及时进出施工现场</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应急处置</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是否有建立应急预案和工作机构</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紧急发生事件是否能高质高效处理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三</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施工过程管理</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施工质量</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3</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是否有使用不合格材料设备或者偷工减料</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是否对工程材料进行质量检查检验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是否将隐蔽工程及时报监理单位验收</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发生质量问题时是否能及时按要求整改</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9</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施工安全</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是否对工程机械设备进行定期维护检查</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施工安全防护设施是否到位</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是否有存在施工安全隐患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文明施工</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施工场地总体布置是否合理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施工现场是否有主动采取环境保护措施（包括噪音、扬尘等）</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1</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成本管控</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是否有合理控制工程成本和主动提出优化节约方案</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是否做到按合同要求办理工程变更（含签证）、工程结算等手续</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工程计量、变更签证和预结算是否准确、实事求是</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四</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进度控制</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2</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工期控制</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是否有主动控制工程的各阶段工期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总体及阶段性工期计划以及控制措施是否科学合理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发现工程进度有落后时是否及时采取补救措施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是否有施工单位原因导致实际工期超过合同工期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五</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配合与服务</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13</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履约准备</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是否能够及时地按照要求提交履约保函、签订合同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14</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工程分包</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劳务、专业工程是否有按规定进行分包</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总包商对分包商是否有进行全面有效的管理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5</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竣工移交</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竣工资料是否齐全、规范</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是否能够按合同要求办理工程竣工验收及移交手续</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竣工结算资料是否按合同要求及时提交</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6</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配合情况</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是否能够配合建设单位、监理单位及其他相关部门的工作</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六</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资金支付</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17</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工资支付</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8</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是否落实农民工实名制</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是否设立专用账户发放农民工工资</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18</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工程款支付</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是否有发生过因拖欠分包商工程款引发投诉上访</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19</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材料款支付</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是否有发生过因拖欠供应商材料款引发投诉上访</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szCs w:val="21"/>
              </w:rPr>
            </w:pPr>
            <w:r>
              <w:rPr>
                <w:rFonts w:hint="eastAsia" w:asciiTheme="minorEastAsia" w:hAnsiTheme="minorEastAsia"/>
                <w:szCs w:val="21"/>
              </w:rPr>
              <w:t>20</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heme="minorEastAsia" w:hAnsiTheme="minorEastAsia"/>
                <w:szCs w:val="21"/>
              </w:rPr>
            </w:pPr>
            <w:r>
              <w:rPr>
                <w:rFonts w:hint="eastAsia" w:asciiTheme="minorEastAsia" w:hAnsiTheme="minorEastAsia"/>
                <w:szCs w:val="21"/>
              </w:rPr>
              <w:t>合计</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100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注：1、工程建设单位可结合其工程特点和具体要求，增加和量化具体评分指标，制定评分表，并按百分制将分项分值进行折算调整。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2、规定的评分指标中，招标文件或者合同无委托实施的内容，或者在定期履约评价时尚不具备评价条件的，不计入评分，对总得分按百分制进行折算。</w:t>
            </w:r>
          </w:p>
          <w:p>
            <w:pPr>
              <w:widowControl/>
              <w:ind w:firstLine="420" w:firstLineChars="200"/>
              <w:rPr>
                <w:rFonts w:ascii="宋体" w:hAnsi="宋体" w:eastAsia="宋体" w:cs="宋体"/>
                <w:kern w:val="0"/>
                <w:sz w:val="18"/>
                <w:szCs w:val="18"/>
              </w:rPr>
            </w:pPr>
            <w:r>
              <w:rPr>
                <w:rFonts w:hint="eastAsia" w:asciiTheme="minorEastAsia" w:hAnsiTheme="minorEastAsia"/>
                <w:szCs w:val="21"/>
              </w:rPr>
              <w:t>3、每一评价指标的量化分值为最高分，建设单位可根据承包商的履约情况在最高分基础上扣分，扣分精确至0.5 分。</w:t>
            </w: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p>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p>
      <w:pPr>
        <w:widowControl/>
        <w:jc w:val="left"/>
        <w:rPr>
          <w:rFonts w:asciiTheme="minorEastAsia" w:hAnsiTheme="minorEastAsia"/>
          <w:szCs w:val="21"/>
        </w:rPr>
      </w:pPr>
      <w:r>
        <w:rPr>
          <w:rFonts w:asciiTheme="minorEastAsia" w:hAnsiTheme="minorEastAsia"/>
          <w:szCs w:val="21"/>
        </w:rPr>
        <w:br w:type="page"/>
      </w:r>
    </w:p>
    <w:p>
      <w:pPr>
        <w:rPr>
          <w:rFonts w:asciiTheme="minorEastAsia" w:hAnsiTheme="minorEastAsia"/>
          <w:sz w:val="28"/>
          <w:szCs w:val="28"/>
        </w:rPr>
      </w:pPr>
      <w:r>
        <w:rPr>
          <w:rFonts w:hint="eastAsia" w:asciiTheme="minorEastAsia" w:hAnsiTheme="minorEastAsia"/>
          <w:sz w:val="28"/>
          <w:szCs w:val="28"/>
        </w:rPr>
        <w:t>附件</w:t>
      </w:r>
      <w:r>
        <w:rPr>
          <w:rFonts w:asciiTheme="minorEastAsia" w:hAnsiTheme="minorEastAsia"/>
          <w:sz w:val="28"/>
          <w:szCs w:val="28"/>
        </w:rPr>
        <w:t>5</w:t>
      </w:r>
      <w:r>
        <w:rPr>
          <w:rFonts w:hint="eastAsia" w:asciiTheme="minorEastAsia" w:hAnsiTheme="minorEastAsia"/>
          <w:sz w:val="28"/>
          <w:szCs w:val="28"/>
        </w:rPr>
        <w:t>：</w:t>
      </w:r>
    </w:p>
    <w:p>
      <w:pPr>
        <w:jc w:val="center"/>
        <w:rPr>
          <w:rFonts w:ascii="黑体" w:hAnsi="黑体" w:eastAsia="黑体"/>
          <w:sz w:val="28"/>
          <w:szCs w:val="28"/>
        </w:rPr>
      </w:pPr>
      <w:r>
        <w:rPr>
          <w:rFonts w:hint="eastAsia" w:ascii="黑体" w:hAnsi="黑体" w:eastAsia="黑体"/>
          <w:sz w:val="28"/>
          <w:szCs w:val="28"/>
        </w:rPr>
        <w:t>坪山区建设工程承包商（监理）履约评分标准表</w:t>
      </w:r>
    </w:p>
    <w:tbl>
      <w:tblPr>
        <w:tblStyle w:val="7"/>
        <w:tblW w:w="8500" w:type="dxa"/>
        <w:tblInd w:w="0" w:type="dxa"/>
        <w:tblLayout w:type="fixed"/>
        <w:tblCellMar>
          <w:top w:w="0" w:type="dxa"/>
          <w:left w:w="108" w:type="dxa"/>
          <w:bottom w:w="0" w:type="dxa"/>
          <w:right w:w="108" w:type="dxa"/>
        </w:tblCellMar>
      </w:tblPr>
      <w:tblGrid>
        <w:gridCol w:w="579"/>
        <w:gridCol w:w="1107"/>
        <w:gridCol w:w="1024"/>
        <w:gridCol w:w="749"/>
        <w:gridCol w:w="1069"/>
        <w:gridCol w:w="1075"/>
        <w:gridCol w:w="1480"/>
        <w:gridCol w:w="709"/>
        <w:gridCol w:w="708"/>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4" w:type="dxa"/>
            <w:gridSpan w:val="7"/>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□单项工程定期履约评价    □单项工程最终履约评价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89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   项   内   容</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   价   标   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ascii="宋体" w:hAnsi="宋体" w:eastAsia="宋体" w:cs="宋体"/>
                <w:kern w:val="0"/>
                <w:sz w:val="18"/>
                <w:szCs w:val="18"/>
              </w:rPr>
              <w:t>扣分标准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31"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一</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黑体" w:hAnsi="黑体" w:eastAsia="黑体" w:cs="宋体"/>
                <w:kern w:val="0"/>
                <w:sz w:val="24"/>
                <w:szCs w:val="24"/>
              </w:rPr>
              <w:t>机构人员配备</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6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项目总监</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7</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与投标承诺或者合同是否一致</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86"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是否有常驻现场</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51"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是否称职</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413"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是否有未经批准擅自更换项目总监</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其他监理人员</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8</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与投标承诺或者合同是否相符</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到位是否良好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专业、数量是否满足监理工作的实际要求</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是否具有相应的监理工作能力</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是否保持相对稳定</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调整变更是否有得到建设单位的认可</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是否有未履行相关手续擅自调整更换监理人员</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是否有仅在项目挂名不实际履行职责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cs="宋体" w:asciiTheme="minorEastAsia" w:hAnsiTheme="minorEastAsia"/>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二</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监理质量</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ascii="宋体" w:hAnsi="宋体" w:eastAsia="宋体" w:cs="宋体"/>
                <w:kern w:val="0"/>
                <w:szCs w:val="21"/>
              </w:rPr>
              <w:t>55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3</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施工准备阶段</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是否有认真主动地配合建设单位完成施工准备阶段各项监理工作</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4</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工程质量控制</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rPr>
                <w:rFonts w:asciiTheme="minorEastAsia" w:hAnsiTheme="minorEastAsia"/>
                <w:szCs w:val="21"/>
              </w:rPr>
            </w:pPr>
            <w:r>
              <w:rPr>
                <w:rFonts w:hint="eastAsia" w:asciiTheme="minorEastAsia" w:hAnsiTheme="minorEastAsia"/>
                <w:szCs w:val="21"/>
              </w:rPr>
              <w:t>制定了针对合同项目的完善的监理方案，并严格执行的，得12 分</w:t>
            </w:r>
          </w:p>
          <w:p>
            <w:pPr>
              <w:rPr>
                <w:rFonts w:asciiTheme="minorEastAsia" w:hAnsiTheme="minorEastAsia"/>
                <w:szCs w:val="21"/>
              </w:rPr>
            </w:pPr>
            <w:r>
              <w:rPr>
                <w:rFonts w:hint="eastAsia" w:asciiTheme="minorEastAsia" w:hAnsiTheme="minorEastAsia"/>
                <w:szCs w:val="21"/>
              </w:rPr>
              <w:t>制定了针对合同项目的完善的监理方案，基本能按方案执行的，得6 分</w:t>
            </w:r>
          </w:p>
          <w:p>
            <w:pPr>
              <w:widowControl/>
              <w:jc w:val="left"/>
              <w:rPr>
                <w:rFonts w:cs="宋体" w:asciiTheme="minorEastAsia" w:hAnsiTheme="minorEastAsia"/>
                <w:kern w:val="0"/>
                <w:szCs w:val="21"/>
              </w:rPr>
            </w:pPr>
            <w:r>
              <w:rPr>
                <w:rFonts w:hint="eastAsia" w:asciiTheme="minorEastAsia" w:hAnsiTheme="minorEastAsia"/>
                <w:szCs w:val="21"/>
              </w:rPr>
              <w:t>未制定针对合同项目的完善的监理方案的，得0 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是否及时组织各项、各阶段工程验收</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5</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安全文明生产</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未制定针对合同项目的安全文明施工制度，得0 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监理工程师是否有严格地依照有关法律、法规对施工安全实施有效监理并承担监理责任</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是否有督促施工企业落实安全生产、文明施工措施</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对违规施工以及安全隐患是否有采取有效措施制止、纠正</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6</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工程投资控制</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10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是否有合理控制工程投资成本和主动提出优化节约方案</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工程计量、变更签证、预结算和工程款支付审核是否准确、实事求是</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7</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工程合同管理</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是否有及时公正地按照监理合同及监理规范的要求执行工程变更、工程延期、费用索赔、工程分包、争端仲裁和确认承包人违约等有关合同管理的工作内容</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asciiTheme="minorEastAsia" w:hAnsiTheme="minorEastAsia"/>
                <w:szCs w:val="21"/>
              </w:rPr>
              <w:t>检验设备配置</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是否有按投标承诺或者合同配置</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kern w:val="0"/>
                <w:szCs w:val="21"/>
              </w:rPr>
            </w:pPr>
            <w:r>
              <w:rPr>
                <w:rFonts w:hint="eastAsia" w:asciiTheme="minorEastAsia" w:hAnsiTheme="minorEastAsia"/>
                <w:szCs w:val="21"/>
              </w:rPr>
              <w:t>是否满足工程监理需求</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三</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进度控制</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9</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工期控制</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是否有主动控制工程的各阶段工期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是否有监理单位原因导致实际工期超过合同工期</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四</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sz w:val="24"/>
                <w:szCs w:val="24"/>
              </w:rPr>
              <w:t>配合与服务</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Theme="minorEastAsia" w:hAnsiTheme="minorEastAsia"/>
                <w:szCs w:val="21"/>
              </w:rPr>
              <w:t>20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10</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竣工移交</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6</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监理资料是否齐全、规范</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是否能够按合同要求办理工程竣工移交手续</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11</w:t>
            </w:r>
          </w:p>
        </w:tc>
        <w:tc>
          <w:tcPr>
            <w:tcW w:w="21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配合情况</w:t>
            </w:r>
          </w:p>
        </w:tc>
        <w:tc>
          <w:tcPr>
            <w:tcW w:w="7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是否能够配合建设单位及其他相关部门的工作和依法推动施工单位的工作</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restart"/>
            <w:tcBorders>
              <w:top w:val="single" w:color="auto" w:sz="4" w:space="0"/>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12</w:t>
            </w:r>
          </w:p>
        </w:tc>
        <w:tc>
          <w:tcPr>
            <w:tcW w:w="2131" w:type="dxa"/>
            <w:gridSpan w:val="2"/>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诚信情况</w:t>
            </w:r>
          </w:p>
        </w:tc>
        <w:tc>
          <w:tcPr>
            <w:tcW w:w="749" w:type="dxa"/>
            <w:vMerge w:val="restart"/>
            <w:tcBorders>
              <w:top w:val="single" w:color="auto" w:sz="4" w:space="0"/>
              <w:left w:val="nil"/>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Theme="minorEastAsia" w:hAnsiTheme="minorEastAsia"/>
                <w:szCs w:val="21"/>
              </w:rPr>
              <w:t>10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是否有在没有得到相应许可的情况下，对外公开涉及任何机密资料</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是否有串通相关单位弄虚作假现象</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vMerge w:val="continue"/>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2131" w:type="dxa"/>
            <w:gridSpan w:val="2"/>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49" w:type="dxa"/>
            <w:vMerge w:val="continue"/>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Theme="minorEastAsia" w:hAnsiTheme="minorEastAsia"/>
                <w:szCs w:val="21"/>
              </w:rPr>
              <w:t>是否有对违法违规行为隐瞒不报情况</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579" w:type="dxa"/>
            <w:tcBorders>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13</w:t>
            </w:r>
          </w:p>
        </w:tc>
        <w:tc>
          <w:tcPr>
            <w:tcW w:w="2131" w:type="dxa"/>
            <w:gridSpan w:val="2"/>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合计</w:t>
            </w:r>
          </w:p>
        </w:tc>
        <w:tc>
          <w:tcPr>
            <w:tcW w:w="749" w:type="dxa"/>
            <w:tcBorders>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100</w:t>
            </w:r>
          </w:p>
        </w:tc>
        <w:tc>
          <w:tcPr>
            <w:tcW w:w="3624"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Theme="minorEastAsia" w:hAnsiTheme="minorEastAsia"/>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注：1、工程建设单位可结合其工程特点和具体要求，增加和量化具体评分指标，制定评分表，并按百分制将分项分值进行折算调整。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2、规定的评分指标中，招标文件或者合同无委托实施的内容，或者在定期履约评价时尚不具备评价条件的，不计入评分，对总得分按百分制进行折算。</w:t>
            </w:r>
          </w:p>
          <w:p>
            <w:pPr>
              <w:widowControl/>
              <w:ind w:firstLine="420" w:firstLineChars="200"/>
              <w:rPr>
                <w:rFonts w:ascii="宋体" w:hAnsi="宋体" w:eastAsia="宋体" w:cs="宋体"/>
                <w:kern w:val="0"/>
                <w:sz w:val="18"/>
                <w:szCs w:val="18"/>
              </w:rPr>
            </w:pPr>
            <w:r>
              <w:rPr>
                <w:rFonts w:hint="eastAsia" w:asciiTheme="minorEastAsia" w:hAnsiTheme="minorEastAsia"/>
                <w:szCs w:val="21"/>
              </w:rPr>
              <w:t>3、每一评价指标的量化分值为最高分，建设单位可根据承包商的履约情况在最高分基础上扣分，扣分精确至0.5 分。</w:t>
            </w:r>
          </w:p>
        </w:tc>
      </w:tr>
      <w:tr>
        <w:tblPrEx>
          <w:tblLayout w:type="fixed"/>
          <w:tblCellMar>
            <w:top w:w="0" w:type="dxa"/>
            <w:left w:w="108" w:type="dxa"/>
            <w:bottom w:w="0" w:type="dxa"/>
            <w:right w:w="108" w:type="dxa"/>
          </w:tblCellMar>
        </w:tblPrEx>
        <w:trPr>
          <w:trHeight w:val="277" w:hRule="atLeast"/>
        </w:trPr>
        <w:tc>
          <w:tcPr>
            <w:tcW w:w="8500" w:type="dxa"/>
            <w:gridSpan w:val="9"/>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p>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 w:val="28"/>
          <w:szCs w:val="28"/>
        </w:rPr>
      </w:pPr>
      <w:r>
        <w:rPr>
          <w:rFonts w:hint="eastAsia" w:asciiTheme="minorEastAsia" w:hAnsiTheme="minorEastAsia"/>
          <w:sz w:val="28"/>
          <w:szCs w:val="28"/>
        </w:rPr>
        <w:t>附件</w:t>
      </w:r>
      <w:r>
        <w:rPr>
          <w:rFonts w:asciiTheme="minorEastAsia" w:hAnsiTheme="minorEastAsia"/>
          <w:sz w:val="28"/>
          <w:szCs w:val="28"/>
        </w:rPr>
        <w:t>6</w:t>
      </w:r>
      <w:r>
        <w:rPr>
          <w:rFonts w:hint="eastAsia" w:asciiTheme="minorEastAsia" w:hAnsiTheme="minorEastAsia"/>
          <w:sz w:val="28"/>
          <w:szCs w:val="28"/>
        </w:rPr>
        <w:t>：</w:t>
      </w:r>
    </w:p>
    <w:p>
      <w:pPr>
        <w:jc w:val="center"/>
        <w:rPr>
          <w:rFonts w:ascii="黑体" w:hAnsi="黑体" w:eastAsia="黑体"/>
          <w:sz w:val="28"/>
          <w:szCs w:val="28"/>
        </w:rPr>
      </w:pPr>
      <w:r>
        <w:rPr>
          <w:rFonts w:hint="eastAsia" w:ascii="黑体" w:hAnsi="黑体" w:eastAsia="黑体"/>
          <w:sz w:val="28"/>
          <w:szCs w:val="28"/>
        </w:rPr>
        <w:t>坪山区建设工程承包商（造价咨询）履约评分标准表</w:t>
      </w:r>
    </w:p>
    <w:tbl>
      <w:tblPr>
        <w:tblStyle w:val="7"/>
        <w:tblW w:w="8505" w:type="dxa"/>
        <w:tblInd w:w="-5" w:type="dxa"/>
        <w:tblLayout w:type="fixed"/>
        <w:tblCellMar>
          <w:top w:w="0" w:type="dxa"/>
          <w:left w:w="108" w:type="dxa"/>
          <w:bottom w:w="0" w:type="dxa"/>
          <w:right w:w="108" w:type="dxa"/>
        </w:tblCellMar>
      </w:tblPr>
      <w:tblGrid>
        <w:gridCol w:w="567"/>
        <w:gridCol w:w="1119"/>
        <w:gridCol w:w="582"/>
        <w:gridCol w:w="851"/>
        <w:gridCol w:w="1409"/>
        <w:gridCol w:w="1075"/>
        <w:gridCol w:w="2194"/>
        <w:gridCol w:w="708"/>
      </w:tblGrid>
      <w:tr>
        <w:tblPrEx>
          <w:tblLayout w:type="fixed"/>
          <w:tblCellMar>
            <w:top w:w="0" w:type="dxa"/>
            <w:left w:w="108" w:type="dxa"/>
            <w:bottom w:w="0" w:type="dxa"/>
            <w:right w:w="108" w:type="dxa"/>
          </w:tblCellMar>
        </w:tblPrEx>
        <w:trPr>
          <w:trHeight w:val="525"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eastAsia="宋体" w:cs="宋体"/>
                <w:b/>
                <w:bCs/>
                <w:color w:val="000000" w:themeColor="text1"/>
                <w:kern w:val="0"/>
                <w:sz w:val="44"/>
                <w:szCs w:val="44"/>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评价形式</w:t>
            </w:r>
          </w:p>
        </w:tc>
        <w:tc>
          <w:tcPr>
            <w:tcW w:w="6819" w:type="dxa"/>
            <w:gridSpan w:val="6"/>
            <w:tcBorders>
              <w:top w:val="single" w:color="auto" w:sz="4" w:space="0"/>
              <w:left w:val="single" w:color="auto" w:sz="4" w:space="0"/>
              <w:bottom w:val="single" w:color="auto" w:sz="4" w:space="0"/>
              <w:right w:val="single" w:color="auto" w:sz="4" w:space="0"/>
            </w:tcBorders>
            <w:shd w:val="clear" w:color="auto" w:fill="auto"/>
          </w:tcPr>
          <w:p>
            <w:pPr>
              <w:widowControl/>
              <w:ind w:firstLine="210" w:firstLineChars="100"/>
              <w:rPr>
                <w:rFonts w:ascii="宋体" w:hAnsi="宋体" w:eastAsia="宋体" w:cs="宋体"/>
                <w:b/>
                <w:bCs/>
                <w:color w:val="000000" w:themeColor="text1"/>
                <w:kern w:val="0"/>
                <w:sz w:val="44"/>
                <w:szCs w:val="44"/>
                <w14:textFill>
                  <w14:solidFill>
                    <w14:schemeClr w14:val="tx1"/>
                  </w14:solidFill>
                </w14:textFill>
              </w:rPr>
            </w:pPr>
            <w:r>
              <w:rPr>
                <w:rFonts w:hint="eastAsia" w:asciiTheme="minorEastAsia" w:hAnsiTheme="minorEastAsia"/>
                <w:szCs w:val="21"/>
              </w:rPr>
              <w:t>单项工程最终履约评价</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工程名称</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承包商</w:t>
            </w:r>
          </w:p>
        </w:tc>
        <w:tc>
          <w:tcPr>
            <w:tcW w:w="29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总得分</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评价等级</w:t>
            </w:r>
          </w:p>
        </w:tc>
        <w:tc>
          <w:tcPr>
            <w:tcW w:w="29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□优秀  □良好</w:t>
            </w:r>
          </w:p>
          <w:p>
            <w:pPr>
              <w:widowControl/>
              <w:jc w:val="center"/>
              <w:rPr>
                <w:rFonts w:ascii="宋体" w:hAnsi="宋体" w:eastAsia="宋体" w:cs="宋体"/>
                <w:color w:val="000000" w:themeColor="text1"/>
                <w:kern w:val="0"/>
                <w:szCs w:val="21"/>
                <w14:textFill>
                  <w14:solidFill>
                    <w14:schemeClr w14:val="tx1"/>
                  </w14:solidFill>
                </w14:textFill>
              </w:rPr>
            </w:pP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一般</w:t>
            </w:r>
            <w:r>
              <w:rPr>
                <w:rFonts w:ascii="宋体" w:hAnsi="宋体" w:eastAsia="宋体" w:cs="宋体"/>
                <w:color w:val="000000" w:themeColor="text1"/>
                <w:kern w:val="0"/>
                <w:szCs w:val="21"/>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□不合格</w:t>
            </w:r>
          </w:p>
        </w:tc>
      </w:tr>
      <w:tr>
        <w:tblPrEx>
          <w:tblLayout w:type="fixed"/>
          <w:tblCellMar>
            <w:top w:w="0" w:type="dxa"/>
            <w:left w:w="108" w:type="dxa"/>
            <w:bottom w:w="0" w:type="dxa"/>
            <w:right w:w="108" w:type="dxa"/>
          </w:tblCellMar>
        </w:tblPrEx>
        <w:trPr>
          <w:trHeight w:val="450" w:hRule="atLeast"/>
        </w:trPr>
        <w:tc>
          <w:tcPr>
            <w:tcW w:w="168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建设单位</w:t>
            </w:r>
          </w:p>
        </w:tc>
        <w:tc>
          <w:tcPr>
            <w:tcW w:w="28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p>
        </w:tc>
        <w:tc>
          <w:tcPr>
            <w:tcW w:w="10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评价时间</w:t>
            </w:r>
          </w:p>
        </w:tc>
        <w:tc>
          <w:tcPr>
            <w:tcW w:w="29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1"/>
                <w14:textFill>
                  <w14:solidFill>
                    <w14:schemeClr w14:val="tx1"/>
                  </w14:solidFill>
                </w14:textFill>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r>
        <w:tblPrEx>
          <w:tblLayout w:type="fixed"/>
          <w:tblCellMar>
            <w:top w:w="0" w:type="dxa"/>
            <w:left w:w="108" w:type="dxa"/>
            <w:bottom w:w="0" w:type="dxa"/>
            <w:right w:w="108" w:type="dxa"/>
          </w:tblCellMar>
        </w:tblPrEx>
        <w:trPr>
          <w:trHeight w:val="570" w:hRule="atLeast"/>
        </w:trPr>
        <w:tc>
          <w:tcPr>
            <w:tcW w:w="567"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18"/>
                <w:szCs w:val="18"/>
              </w:rPr>
            </w:pPr>
            <w:r>
              <w:rPr>
                <w:rFonts w:hint="eastAsia" w:ascii="宋体" w:hAnsi="宋体" w:eastAsia="宋体" w:cs="宋体"/>
                <w:kern w:val="0"/>
                <w:sz w:val="18"/>
                <w:szCs w:val="18"/>
              </w:rPr>
              <w:t>分  项  内  容</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满分分值</w:t>
            </w:r>
          </w:p>
        </w:tc>
        <w:tc>
          <w:tcPr>
            <w:tcW w:w="467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评   价   标   准</w:t>
            </w:r>
          </w:p>
        </w:tc>
        <w:tc>
          <w:tcPr>
            <w:tcW w:w="708" w:type="dxa"/>
            <w:tcBorders>
              <w:top w:val="single" w:color="auto" w:sz="4" w:space="0"/>
              <w:left w:val="nil"/>
              <w:bottom w:val="single" w:color="auto" w:sz="4" w:space="0"/>
              <w:right w:val="single" w:color="auto" w:sz="8"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09"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一</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人员配备</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14</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79"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人员数量要求</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3</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3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分：配备的编制人员的数量满足合同及招标文件的要求；</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分：配备的编制人员的数量不满足合同及招标文件的要求。</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1230"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2</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专业配置要求</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5</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4.5-</w:t>
            </w:r>
            <w:r>
              <w:rPr>
                <w:rFonts w:ascii="新宋体" w:hAnsi="新宋体" w:eastAsia="新宋体" w:cs="仿宋_GB2312"/>
                <w:color w:val="000000" w:themeColor="text1"/>
                <w:kern w:val="0"/>
                <w:sz w:val="18"/>
                <w:szCs w:val="18"/>
                <w:u w:val="single"/>
                <w14:textFill>
                  <w14:solidFill>
                    <w14:schemeClr w14:val="tx1"/>
                  </w14:solidFill>
                </w14:textFill>
              </w:rPr>
              <w:t xml:space="preserve">5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分：配备的编制人员的专业满足合同及招标文件的要求且各专业人员非常稳定；</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3</w:t>
            </w:r>
            <w:r>
              <w:rPr>
                <w:rFonts w:hint="eastAsia" w:ascii="新宋体" w:hAnsi="新宋体" w:eastAsia="新宋体" w:cs="仿宋_GB2312"/>
                <w:color w:val="000000" w:themeColor="text1"/>
                <w:kern w:val="0"/>
                <w:sz w:val="18"/>
                <w:szCs w:val="18"/>
                <w:u w:val="single"/>
                <w14:textFill>
                  <w14:solidFill>
                    <w14:schemeClr w14:val="tx1"/>
                  </w14:solidFill>
                </w14:textFill>
              </w:rPr>
              <w:t>.5-4</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分：配备的编制人员的专业满足合同及招标文件的要求且各专业人员比较稳定；</w:t>
            </w:r>
          </w:p>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2.5-3</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分：配备的编制人员的专业满足合同及招标文件的要求且各专业人员基本稳定；</w:t>
            </w:r>
            <w:r>
              <w:rPr>
                <w:rFonts w:ascii="新宋体" w:hAnsi="新宋体" w:eastAsia="新宋体" w:cs="仿宋_GB2312"/>
                <w:color w:val="000000" w:themeColor="text1"/>
                <w:kern w:val="0"/>
                <w:sz w:val="18"/>
                <w:szCs w:val="18"/>
                <w14:textFill>
                  <w14:solidFill>
                    <w14:schemeClr w14:val="tx1"/>
                  </w14:solidFill>
                </w14:textFill>
              </w:rPr>
              <w:t xml:space="preserve"> </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分：配备的编制人员的专业不满足合同及招标文件的要求或各专业人员不够稳定。</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2025"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3</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项目负责人要求</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6</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5.5-</w:t>
            </w:r>
            <w:r>
              <w:rPr>
                <w:rFonts w:ascii="新宋体" w:hAnsi="新宋体" w:eastAsia="新宋体" w:cs="仿宋_GB2312"/>
                <w:color w:val="000000" w:themeColor="text1"/>
                <w:kern w:val="0"/>
                <w:sz w:val="18"/>
                <w:szCs w:val="18"/>
                <w:u w:val="single"/>
                <w14:textFill>
                  <w14:solidFill>
                    <w14:schemeClr w14:val="tx1"/>
                  </w14:solidFill>
                </w14:textFill>
              </w:rPr>
              <w:t xml:space="preserve">6 </w:t>
            </w:r>
            <w:r>
              <w:rPr>
                <w:rFonts w:hint="eastAsia" w:ascii="新宋体" w:hAnsi="新宋体" w:eastAsia="新宋体" w:cs="仿宋_GB2312"/>
                <w:color w:val="000000" w:themeColor="text1"/>
                <w:kern w:val="0"/>
                <w:sz w:val="18"/>
                <w:szCs w:val="18"/>
                <w14:textFill>
                  <w14:solidFill>
                    <w14:schemeClr w14:val="tx1"/>
                  </w14:solidFill>
                </w14:textFill>
              </w:rPr>
              <w:t>分：配备固定的项目负责人且该负责人具有高度责任心、良好的组织协调能力和专业的业务水平；</w:t>
            </w:r>
            <w:r>
              <w:rPr>
                <w:rFonts w:ascii="新宋体" w:hAnsi="新宋体" w:eastAsia="新宋体"/>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4</w:t>
            </w:r>
            <w:r>
              <w:rPr>
                <w:rFonts w:hint="eastAsia" w:ascii="新宋体" w:hAnsi="新宋体" w:eastAsia="新宋体" w:cs="仿宋_GB2312"/>
                <w:color w:val="000000" w:themeColor="text1"/>
                <w:kern w:val="0"/>
                <w:sz w:val="18"/>
                <w:szCs w:val="18"/>
                <w:u w:val="single"/>
                <w14:textFill>
                  <w14:solidFill>
                    <w14:schemeClr w14:val="tx1"/>
                  </w14:solidFill>
                </w14:textFill>
              </w:rPr>
              <w:t>-</w:t>
            </w:r>
            <w:r>
              <w:rPr>
                <w:rFonts w:ascii="新宋体" w:hAnsi="新宋体" w:eastAsia="新宋体" w:cs="仿宋_GB2312"/>
                <w:color w:val="000000" w:themeColor="text1"/>
                <w:kern w:val="0"/>
                <w:sz w:val="18"/>
                <w:szCs w:val="18"/>
                <w:u w:val="single"/>
                <w14:textFill>
                  <w14:solidFill>
                    <w14:schemeClr w14:val="tx1"/>
                  </w14:solidFill>
                </w14:textFill>
              </w:rPr>
              <w:t xml:space="preserve">5  </w:t>
            </w:r>
            <w:r>
              <w:rPr>
                <w:rFonts w:hint="eastAsia" w:ascii="新宋体" w:hAnsi="新宋体" w:eastAsia="新宋体" w:cs="仿宋_GB2312"/>
                <w:color w:val="000000" w:themeColor="text1"/>
                <w:kern w:val="0"/>
                <w:sz w:val="18"/>
                <w:szCs w:val="18"/>
                <w14:textFill>
                  <w14:solidFill>
                    <w14:schemeClr w14:val="tx1"/>
                  </w14:solidFill>
                </w14:textFill>
              </w:rPr>
              <w:t>分：配备固定的项目负责人且该负责人具有高度责任心、比较良好的组织协调能力和比较专业的业务水平；</w:t>
            </w:r>
            <w:r>
              <w:rPr>
                <w:rFonts w:ascii="新宋体" w:hAnsi="新宋体" w:eastAsia="新宋体"/>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3-3.5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分：配备固定的项目负责人且该负责人具有高度责任心、基本良好的组织协调能力和基本专业的业务水平；</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分：配备的项目负责人不固定或该负责人不具有高度责任心、良好的组织协调能力和专业的业务水平。</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616"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二</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履约质量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olor w:val="000000" w:themeColor="text1"/>
                <w:kern w:val="0"/>
                <w:sz w:val="18"/>
                <w:szCs w:val="18"/>
                <w14:textFill>
                  <w14:solidFill>
                    <w14:schemeClr w14:val="tx1"/>
                  </w14:solidFill>
                </w14:textFill>
              </w:rPr>
              <w:t>61</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515"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4</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概算审核质量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6</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5.5-</w:t>
            </w:r>
            <w:r>
              <w:rPr>
                <w:rFonts w:ascii="新宋体" w:hAnsi="新宋体" w:eastAsia="新宋体" w:cs="仿宋_GB2312"/>
                <w:color w:val="000000" w:themeColor="text1"/>
                <w:kern w:val="0"/>
                <w:sz w:val="18"/>
                <w:szCs w:val="18"/>
                <w:u w:val="single"/>
                <w14:textFill>
                  <w14:solidFill>
                    <w14:schemeClr w14:val="tx1"/>
                  </w14:solidFill>
                </w14:textFill>
              </w:rPr>
              <w:t xml:space="preserve">6 </w:t>
            </w:r>
            <w:r>
              <w:rPr>
                <w:rFonts w:hint="eastAsia" w:ascii="新宋体" w:hAnsi="新宋体" w:eastAsia="新宋体" w:cs="仿宋_GB2312"/>
                <w:color w:val="000000" w:themeColor="text1"/>
                <w:kern w:val="0"/>
                <w:sz w:val="18"/>
                <w:szCs w:val="18"/>
                <w14:textFill>
                  <w14:solidFill>
                    <w14:schemeClr w14:val="tx1"/>
                  </w14:solidFill>
                </w14:textFill>
              </w:rPr>
              <w:t>分：概算审核全面、系统、准确、认真；</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4</w:t>
            </w:r>
            <w:r>
              <w:rPr>
                <w:rFonts w:hint="eastAsia" w:ascii="新宋体" w:hAnsi="新宋体" w:eastAsia="新宋体" w:cs="仿宋_GB2312"/>
                <w:color w:val="000000" w:themeColor="text1"/>
                <w:kern w:val="0"/>
                <w:sz w:val="18"/>
                <w:szCs w:val="18"/>
                <w:u w:val="single"/>
                <w14:textFill>
                  <w14:solidFill>
                    <w14:schemeClr w14:val="tx1"/>
                  </w14:solidFill>
                </w14:textFill>
              </w:rPr>
              <w:t>-</w:t>
            </w:r>
            <w:r>
              <w:rPr>
                <w:rFonts w:ascii="新宋体" w:hAnsi="新宋体" w:eastAsia="新宋体" w:cs="仿宋_GB2312"/>
                <w:color w:val="000000" w:themeColor="text1"/>
                <w:kern w:val="0"/>
                <w:sz w:val="18"/>
                <w:szCs w:val="18"/>
                <w:u w:val="single"/>
                <w14:textFill>
                  <w14:solidFill>
                    <w14:schemeClr w14:val="tx1"/>
                  </w14:solidFill>
                </w14:textFill>
              </w:rPr>
              <w:t xml:space="preserve">5  </w:t>
            </w:r>
            <w:r>
              <w:rPr>
                <w:rFonts w:hint="eastAsia" w:ascii="新宋体" w:hAnsi="新宋体" w:eastAsia="新宋体" w:cs="仿宋_GB2312"/>
                <w:color w:val="000000" w:themeColor="text1"/>
                <w:kern w:val="0"/>
                <w:sz w:val="18"/>
                <w:szCs w:val="18"/>
                <w14:textFill>
                  <w14:solidFill>
                    <w14:schemeClr w14:val="tx1"/>
                  </w14:solidFill>
                </w14:textFill>
              </w:rPr>
              <w:t>分：概算审核比较全面、系统、准确、认真；</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3-3.5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分：概算审核基本全面、系统、准确、认真；</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分：概算审核明显不全面、不系统、不准确、不认真。</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2252"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5</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工程量清单编制质量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10</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9-10</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分：清单项目编制齐全，分类清楚，无漏项，工程量准确率在</w:t>
            </w:r>
            <w:r>
              <w:rPr>
                <w:rFonts w:ascii="新宋体" w:hAnsi="新宋体" w:eastAsia="新宋体" w:cs="仿宋_GB2312"/>
                <w:color w:val="000000" w:themeColor="text1"/>
                <w:kern w:val="0"/>
                <w:sz w:val="18"/>
                <w:szCs w:val="18"/>
                <w14:textFill>
                  <w14:solidFill>
                    <w14:schemeClr w14:val="tx1"/>
                  </w14:solidFill>
                </w14:textFill>
              </w:rPr>
              <w:t>97%</w:t>
            </w:r>
            <w:r>
              <w:rPr>
                <w:rFonts w:hint="eastAsia" w:ascii="新宋体" w:hAnsi="新宋体" w:eastAsia="新宋体" w:cs="仿宋_GB2312"/>
                <w:color w:val="000000" w:themeColor="text1"/>
                <w:kern w:val="0"/>
                <w:sz w:val="18"/>
                <w:szCs w:val="18"/>
                <w14:textFill>
                  <w14:solidFill>
                    <w14:schemeClr w14:val="tx1"/>
                  </w14:solidFill>
                </w14:textFill>
              </w:rPr>
              <w:t>以上（不含</w:t>
            </w:r>
            <w:r>
              <w:rPr>
                <w:rFonts w:ascii="新宋体" w:hAnsi="新宋体" w:eastAsia="新宋体" w:cs="仿宋_GB2312"/>
                <w:color w:val="000000" w:themeColor="text1"/>
                <w:kern w:val="0"/>
                <w:sz w:val="18"/>
                <w:szCs w:val="18"/>
                <w14:textFill>
                  <w14:solidFill>
                    <w14:schemeClr w14:val="tx1"/>
                  </w14:solidFill>
                </w14:textFill>
              </w:rPr>
              <w:t>97%</w:t>
            </w:r>
            <w:r>
              <w:rPr>
                <w:rFonts w:hint="eastAsia" w:ascii="新宋体" w:hAnsi="新宋体" w:eastAsia="新宋体" w:cs="仿宋_GB2312"/>
                <w:color w:val="000000" w:themeColor="text1"/>
                <w:kern w:val="0"/>
                <w:sz w:val="18"/>
                <w:szCs w:val="18"/>
                <w14:textFill>
                  <w14:solidFill>
                    <w14:schemeClr w14:val="tx1"/>
                  </w14:solidFill>
                </w14:textFill>
              </w:rPr>
              <w:t>）；</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7-8 </w:t>
            </w:r>
            <w:r>
              <w:rPr>
                <w:rFonts w:hint="eastAsia" w:ascii="新宋体" w:hAnsi="新宋体" w:eastAsia="新宋体" w:cs="仿宋_GB2312"/>
                <w:color w:val="000000" w:themeColor="text1"/>
                <w:kern w:val="0"/>
                <w:sz w:val="18"/>
                <w:szCs w:val="18"/>
                <w14:textFill>
                  <w14:solidFill>
                    <w14:schemeClr w14:val="tx1"/>
                  </w14:solidFill>
                </w14:textFill>
              </w:rPr>
              <w:t>分：清单项目编制比较齐全，分类比较清楚，无重大漏项，工程量准确率在</w:t>
            </w:r>
            <w:r>
              <w:rPr>
                <w:rFonts w:ascii="新宋体" w:hAnsi="新宋体" w:eastAsia="新宋体" w:cs="仿宋_GB2312"/>
                <w:color w:val="000000" w:themeColor="text1"/>
                <w:kern w:val="0"/>
                <w:sz w:val="18"/>
                <w:szCs w:val="18"/>
                <w14:textFill>
                  <w14:solidFill>
                    <w14:schemeClr w14:val="tx1"/>
                  </w14:solidFill>
                </w14:textFill>
              </w:rPr>
              <w:t>95%-97%</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95%</w:t>
            </w:r>
            <w:r>
              <w:rPr>
                <w:rFonts w:hint="eastAsia" w:ascii="新宋体" w:hAnsi="新宋体" w:eastAsia="新宋体" w:cs="仿宋_GB2312"/>
                <w:color w:val="000000" w:themeColor="text1"/>
                <w:kern w:val="0"/>
                <w:sz w:val="18"/>
                <w:szCs w:val="18"/>
                <w14:textFill>
                  <w14:solidFill>
                    <w14:schemeClr w14:val="tx1"/>
                  </w14:solidFill>
                </w14:textFill>
              </w:rPr>
              <w:t>）；</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5-6</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分：清单项目编制基本齐全，分类基本清楚，无重大漏项，工程量准确率在</w:t>
            </w:r>
            <w:r>
              <w:rPr>
                <w:rFonts w:ascii="新宋体" w:hAnsi="新宋体" w:eastAsia="新宋体" w:cs="仿宋_GB2312"/>
                <w:color w:val="000000" w:themeColor="text1"/>
                <w:kern w:val="0"/>
                <w:sz w:val="18"/>
                <w:szCs w:val="18"/>
                <w14:textFill>
                  <w14:solidFill>
                    <w14:schemeClr w14:val="tx1"/>
                  </w14:solidFill>
                </w14:textFill>
              </w:rPr>
              <w:t>90%-95%</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90%</w:t>
            </w:r>
            <w:r>
              <w:rPr>
                <w:rFonts w:hint="eastAsia" w:ascii="新宋体" w:hAnsi="新宋体" w:eastAsia="新宋体" w:cs="仿宋_GB2312"/>
                <w:color w:val="000000" w:themeColor="text1"/>
                <w:kern w:val="0"/>
                <w:sz w:val="18"/>
                <w:szCs w:val="18"/>
                <w14:textFill>
                  <w14:solidFill>
                    <w14:schemeClr w14:val="tx1"/>
                  </w14:solidFill>
                </w14:textFill>
              </w:rPr>
              <w:t>）；</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分：清单项目编制不够齐全，分类不够清楚，有重大漏项，工程量准确率在</w:t>
            </w:r>
            <w:r>
              <w:rPr>
                <w:rFonts w:ascii="新宋体" w:hAnsi="新宋体" w:eastAsia="新宋体" w:cs="仿宋_GB2312"/>
                <w:color w:val="000000" w:themeColor="text1"/>
                <w:kern w:val="0"/>
                <w:sz w:val="18"/>
                <w:szCs w:val="18"/>
                <w14:textFill>
                  <w14:solidFill>
                    <w14:schemeClr w14:val="tx1"/>
                  </w14:solidFill>
                </w14:textFill>
              </w:rPr>
              <w:t>90%</w:t>
            </w:r>
            <w:r>
              <w:rPr>
                <w:rFonts w:hint="eastAsia" w:ascii="新宋体" w:hAnsi="新宋体" w:eastAsia="新宋体" w:cs="仿宋_GB2312"/>
                <w:color w:val="000000" w:themeColor="text1"/>
                <w:kern w:val="0"/>
                <w:sz w:val="18"/>
                <w:szCs w:val="18"/>
                <w14:textFill>
                  <w14:solidFill>
                    <w14:schemeClr w14:val="tx1"/>
                  </w14:solidFill>
                </w14:textFill>
              </w:rPr>
              <w:t>以下（含</w:t>
            </w:r>
            <w:r>
              <w:rPr>
                <w:rFonts w:ascii="新宋体" w:hAnsi="新宋体" w:eastAsia="新宋体" w:cs="仿宋_GB2312"/>
                <w:color w:val="000000" w:themeColor="text1"/>
                <w:kern w:val="0"/>
                <w:sz w:val="18"/>
                <w:szCs w:val="18"/>
                <w14:textFill>
                  <w14:solidFill>
                    <w14:schemeClr w14:val="tx1"/>
                  </w14:solidFill>
                </w14:textFill>
              </w:rPr>
              <w:t>90%</w:t>
            </w:r>
            <w:r>
              <w:rPr>
                <w:rFonts w:hint="eastAsia" w:ascii="新宋体" w:hAnsi="新宋体" w:eastAsia="新宋体" w:cs="仿宋_GB2312"/>
                <w:color w:val="000000" w:themeColor="text1"/>
                <w:kern w:val="0"/>
                <w:sz w:val="18"/>
                <w:szCs w:val="18"/>
                <w14:textFill>
                  <w14:solidFill>
                    <w14:schemeClr w14:val="tx1"/>
                  </w14:solidFill>
                </w14:textFill>
              </w:rPr>
              <w:t>）。</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664"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6</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标底（预算）编制质量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olor w:val="000000" w:themeColor="text1"/>
                <w:kern w:val="0"/>
                <w:sz w:val="18"/>
                <w:szCs w:val="18"/>
                <w14:textFill>
                  <w14:solidFill>
                    <w14:schemeClr w14:val="tx1"/>
                  </w14:solidFill>
                </w14:textFill>
              </w:rPr>
              <w:t>8</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7-8</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分：报告书造价与第三方审定价（扣除审定价错误或不合理部分）相差应小于</w:t>
            </w:r>
            <w:r>
              <w:rPr>
                <w:rFonts w:ascii="新宋体" w:hAnsi="新宋体" w:eastAsia="新宋体" w:cs="仿宋_GB2312"/>
                <w:color w:val="000000" w:themeColor="text1"/>
                <w:kern w:val="0"/>
                <w:sz w:val="18"/>
                <w:szCs w:val="18"/>
                <w14:textFill>
                  <w14:solidFill>
                    <w14:schemeClr w14:val="tx1"/>
                  </w14:solidFill>
                </w14:textFill>
              </w:rPr>
              <w:t>3%</w:t>
            </w:r>
            <w:r>
              <w:rPr>
                <w:rFonts w:hint="eastAsia" w:ascii="新宋体" w:hAnsi="新宋体" w:eastAsia="新宋体" w:cs="仿宋_GB2312"/>
                <w:color w:val="000000" w:themeColor="text1"/>
                <w:kern w:val="0"/>
                <w:sz w:val="18"/>
                <w:szCs w:val="18"/>
                <w14:textFill>
                  <w14:solidFill>
                    <w14:schemeClr w14:val="tx1"/>
                  </w14:solidFill>
                </w14:textFill>
              </w:rPr>
              <w:t>（不含</w:t>
            </w:r>
            <w:r>
              <w:rPr>
                <w:rFonts w:ascii="新宋体" w:hAnsi="新宋体" w:eastAsia="新宋体" w:cs="仿宋_GB2312"/>
                <w:color w:val="000000" w:themeColor="text1"/>
                <w:kern w:val="0"/>
                <w:sz w:val="18"/>
                <w:szCs w:val="18"/>
                <w14:textFill>
                  <w14:solidFill>
                    <w14:schemeClr w14:val="tx1"/>
                  </w14:solidFill>
                </w14:textFill>
              </w:rPr>
              <w:t>3%</w:t>
            </w:r>
            <w:r>
              <w:rPr>
                <w:rFonts w:hint="eastAsia" w:ascii="新宋体" w:hAnsi="新宋体" w:eastAsia="新宋体" w:cs="仿宋_GB2312"/>
                <w:color w:val="000000" w:themeColor="text1"/>
                <w:kern w:val="0"/>
                <w:sz w:val="18"/>
                <w:szCs w:val="18"/>
                <w14:textFill>
                  <w14:solidFill>
                    <w14:schemeClr w14:val="tx1"/>
                  </w14:solidFill>
                </w14:textFill>
              </w:rPr>
              <w:t xml:space="preserve">），且主材价询价工作非常细致认真全面； </w:t>
            </w:r>
          </w:p>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5-6</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分：报告书造价与第三方审定价（扣除审定价错误或不合理部分）相差在</w:t>
            </w:r>
            <w:r>
              <w:rPr>
                <w:rFonts w:ascii="新宋体" w:hAnsi="新宋体" w:eastAsia="新宋体" w:cs="仿宋_GB2312"/>
                <w:color w:val="000000" w:themeColor="text1"/>
                <w:kern w:val="0"/>
                <w:sz w:val="18"/>
                <w:szCs w:val="18"/>
                <w14:textFill>
                  <w14:solidFill>
                    <w14:schemeClr w14:val="tx1"/>
                  </w14:solidFill>
                </w14:textFill>
              </w:rPr>
              <w:t>3%-5%</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5%</w:t>
            </w:r>
            <w:r>
              <w:rPr>
                <w:rFonts w:hint="eastAsia" w:ascii="新宋体" w:hAnsi="新宋体" w:eastAsia="新宋体" w:cs="仿宋_GB2312"/>
                <w:color w:val="000000" w:themeColor="text1"/>
                <w:kern w:val="0"/>
                <w:sz w:val="18"/>
                <w:szCs w:val="18"/>
                <w14:textFill>
                  <w14:solidFill>
                    <w14:schemeClr w14:val="tx1"/>
                  </w14:solidFill>
                </w14:textFill>
              </w:rPr>
              <w:t>），主材价询价工作比较细致认真全面；</w:t>
            </w:r>
          </w:p>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4-4.5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分：报告书造价与第三方审定价（扣除审定价错误或不合理部分）相差在</w:t>
            </w:r>
            <w:r>
              <w:rPr>
                <w:rFonts w:ascii="新宋体" w:hAnsi="新宋体" w:eastAsia="新宋体" w:cs="仿宋_GB2312"/>
                <w:color w:val="000000" w:themeColor="text1"/>
                <w:kern w:val="0"/>
                <w:sz w:val="18"/>
                <w:szCs w:val="18"/>
                <w14:textFill>
                  <w14:solidFill>
                    <w14:schemeClr w14:val="tx1"/>
                  </w14:solidFill>
                </w14:textFill>
              </w:rPr>
              <w:t>5%-10%</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），主材价询价工作基本细致认真全面；</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分：报告书造价与第三方审定价（扣除审定价错误或不合理部分）相差在</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以上（含</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），主材价询价工作不够细致认真全面。</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2985"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7</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招标文件编制质量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6</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5.5-</w:t>
            </w:r>
            <w:r>
              <w:rPr>
                <w:rFonts w:ascii="新宋体" w:hAnsi="新宋体" w:eastAsia="新宋体" w:cs="仿宋_GB2312"/>
                <w:color w:val="000000" w:themeColor="text1"/>
                <w:kern w:val="0"/>
                <w:sz w:val="18"/>
                <w:szCs w:val="18"/>
                <w:u w:val="single"/>
                <w14:textFill>
                  <w14:solidFill>
                    <w14:schemeClr w14:val="tx1"/>
                  </w14:solidFill>
                </w14:textFill>
              </w:rPr>
              <w:t xml:space="preserve">6 </w:t>
            </w:r>
            <w:r>
              <w:rPr>
                <w:rFonts w:hint="eastAsia" w:ascii="新宋体" w:hAnsi="新宋体" w:eastAsia="新宋体" w:cs="仿宋_GB2312"/>
                <w:color w:val="000000" w:themeColor="text1"/>
                <w:kern w:val="0"/>
                <w:sz w:val="18"/>
                <w:szCs w:val="18"/>
                <w14:textFill>
                  <w14:solidFill>
                    <w14:schemeClr w14:val="tx1"/>
                  </w14:solidFill>
                </w14:textFill>
              </w:rPr>
              <w:t>分：能够认真主动地按合同要求协助发包人编制招标文件，认真、准确地编制工程量清单和有关专用条款，无缺项漏项，合理计算标底，并全面、详尽地提供有关分析表、材料设备清单</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4</w:t>
            </w:r>
            <w:r>
              <w:rPr>
                <w:rFonts w:hint="eastAsia" w:ascii="新宋体" w:hAnsi="新宋体" w:eastAsia="新宋体" w:cs="仿宋_GB2312"/>
                <w:color w:val="000000" w:themeColor="text1"/>
                <w:kern w:val="0"/>
                <w:sz w:val="18"/>
                <w:szCs w:val="18"/>
                <w:u w:val="single"/>
                <w14:textFill>
                  <w14:solidFill>
                    <w14:schemeClr w14:val="tx1"/>
                  </w14:solidFill>
                </w14:textFill>
              </w:rPr>
              <w:t>-</w:t>
            </w:r>
            <w:r>
              <w:rPr>
                <w:rFonts w:ascii="新宋体" w:hAnsi="新宋体" w:eastAsia="新宋体" w:cs="仿宋_GB2312"/>
                <w:color w:val="000000" w:themeColor="text1"/>
                <w:kern w:val="0"/>
                <w:sz w:val="18"/>
                <w:szCs w:val="18"/>
                <w:u w:val="single"/>
                <w14:textFill>
                  <w14:solidFill>
                    <w14:schemeClr w14:val="tx1"/>
                  </w14:solidFill>
                </w14:textFill>
              </w:rPr>
              <w:t xml:space="preserve">5 </w:t>
            </w:r>
            <w:r>
              <w:rPr>
                <w:rFonts w:hint="eastAsia" w:ascii="新宋体" w:hAnsi="新宋体" w:eastAsia="新宋体" w:cs="仿宋_GB2312"/>
                <w:color w:val="000000" w:themeColor="text1"/>
                <w:kern w:val="0"/>
                <w:sz w:val="18"/>
                <w:szCs w:val="18"/>
                <w14:textFill>
                  <w14:solidFill>
                    <w14:schemeClr w14:val="tx1"/>
                  </w14:solidFill>
                </w14:textFill>
              </w:rPr>
              <w:t>分：能够比较认真主动地按合同要求协助发包人编制招标文件，比较认真、准确地编制工程量清单和有关专用条款，无重大缺项漏项，标底价格比较合理，并比较全面、详尽地提供有关分析表、材料设备清单；</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3</w:t>
            </w:r>
            <w:r>
              <w:rPr>
                <w:rFonts w:hint="eastAsia" w:ascii="新宋体" w:hAnsi="新宋体" w:eastAsia="新宋体" w:cs="仿宋_GB2312"/>
                <w:color w:val="000000" w:themeColor="text1"/>
                <w:kern w:val="0"/>
                <w:sz w:val="18"/>
                <w:szCs w:val="18"/>
                <w:u w:val="single"/>
                <w14:textFill>
                  <w14:solidFill>
                    <w14:schemeClr w14:val="tx1"/>
                  </w14:solidFill>
                </w14:textFill>
              </w:rPr>
              <w:t>-3.5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分：能够基本认真主动地按合同要求协助发包人编制招标文件，基本认真、准确地编制工程量清单和有关专用条款，无重大缺项漏项，标底价格基本合理，并基本全面、详尽地提供有关分析表、材料设备清单；</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分：不能够认真主动地按合同要求协助发包人编制招标文件，不认真、准确地编制工程量清单和有关专用条款，有重大缺项漏项，标底价格不够合理，并不能够全面、详尽地提供有关分析表、材料设备清单</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1980" w:hRule="atLeast"/>
        </w:trPr>
        <w:tc>
          <w:tcPr>
            <w:tcW w:w="56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8</w:t>
            </w:r>
          </w:p>
        </w:tc>
        <w:tc>
          <w:tcPr>
            <w:tcW w:w="1701" w:type="dxa"/>
            <w:gridSpan w:val="2"/>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复核投标报价质量</w:t>
            </w:r>
          </w:p>
        </w:tc>
        <w:tc>
          <w:tcPr>
            <w:tcW w:w="85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6</w:t>
            </w:r>
          </w:p>
        </w:tc>
        <w:tc>
          <w:tcPr>
            <w:tcW w:w="4678"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5.5-</w:t>
            </w:r>
            <w:r>
              <w:rPr>
                <w:rFonts w:ascii="新宋体" w:hAnsi="新宋体" w:eastAsia="新宋体" w:cs="仿宋_GB2312"/>
                <w:color w:val="000000" w:themeColor="text1"/>
                <w:kern w:val="0"/>
                <w:sz w:val="18"/>
                <w:szCs w:val="18"/>
                <w:u w:val="single"/>
                <w14:textFill>
                  <w14:solidFill>
                    <w14:schemeClr w14:val="tx1"/>
                  </w14:solidFill>
                </w14:textFill>
              </w:rPr>
              <w:t xml:space="preserve">6 </w:t>
            </w:r>
            <w:r>
              <w:rPr>
                <w:rFonts w:hint="eastAsia" w:ascii="新宋体" w:hAnsi="新宋体" w:eastAsia="新宋体" w:cs="仿宋_GB2312"/>
                <w:color w:val="000000" w:themeColor="text1"/>
                <w:kern w:val="0"/>
                <w:sz w:val="18"/>
                <w:szCs w:val="18"/>
                <w14:textFill>
                  <w14:solidFill>
                    <w14:schemeClr w14:val="tx1"/>
                  </w14:solidFill>
                </w14:textFill>
              </w:rPr>
              <w:t>分：能够认真负责地复核中标候选人的投标报价，分析有无不平衡报价等异常现象，提出详细的造价分析报告；</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4</w:t>
            </w:r>
            <w:r>
              <w:rPr>
                <w:rFonts w:hint="eastAsia" w:ascii="新宋体" w:hAnsi="新宋体" w:eastAsia="新宋体" w:cs="仿宋_GB2312"/>
                <w:color w:val="000000" w:themeColor="text1"/>
                <w:kern w:val="0"/>
                <w:sz w:val="18"/>
                <w:szCs w:val="18"/>
                <w:u w:val="single"/>
                <w14:textFill>
                  <w14:solidFill>
                    <w14:schemeClr w14:val="tx1"/>
                  </w14:solidFill>
                </w14:textFill>
              </w:rPr>
              <w:t>-</w:t>
            </w:r>
            <w:r>
              <w:rPr>
                <w:rFonts w:ascii="新宋体" w:hAnsi="新宋体" w:eastAsia="新宋体" w:cs="仿宋_GB2312"/>
                <w:color w:val="000000" w:themeColor="text1"/>
                <w:kern w:val="0"/>
                <w:sz w:val="18"/>
                <w:szCs w:val="18"/>
                <w:u w:val="single"/>
                <w14:textFill>
                  <w14:solidFill>
                    <w14:schemeClr w14:val="tx1"/>
                  </w14:solidFill>
                </w14:textFill>
              </w:rPr>
              <w:t>5</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分：能够比较认真负责地复核中标候选人的投标报价，分析有无不平衡报价等异常现象，提出比较详细的造价分析报告；</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3</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-3.5 </w:t>
            </w:r>
            <w:r>
              <w:rPr>
                <w:rFonts w:hint="eastAsia" w:ascii="新宋体" w:hAnsi="新宋体" w:eastAsia="新宋体" w:cs="仿宋_GB2312"/>
                <w:color w:val="000000" w:themeColor="text1"/>
                <w:kern w:val="0"/>
                <w:sz w:val="18"/>
                <w:szCs w:val="18"/>
                <w14:textFill>
                  <w14:solidFill>
                    <w14:schemeClr w14:val="tx1"/>
                  </w14:solidFill>
                </w14:textFill>
              </w:rPr>
              <w:t>分：能够基本认真负责地复核中标候选人的投标报价，分析有无</w:t>
            </w:r>
            <w:r>
              <w:rPr>
                <w:rFonts w:ascii="新宋体" w:hAnsi="新宋体" w:eastAsia="新宋体" w:cs="仿宋_GB2312"/>
                <w:color w:val="000000" w:themeColor="text1"/>
                <w:kern w:val="0"/>
                <w:sz w:val="18"/>
                <w:szCs w:val="18"/>
                <w14:textFill>
                  <w14:solidFill>
                    <w14:schemeClr w14:val="tx1"/>
                  </w14:solidFill>
                </w14:textFill>
              </w:rPr>
              <w:t>.</w:t>
            </w:r>
            <w:r>
              <w:rPr>
                <w:rFonts w:hint="eastAsia" w:ascii="新宋体" w:hAnsi="新宋体" w:eastAsia="新宋体" w:cs="仿宋_GB2312"/>
                <w:color w:val="000000" w:themeColor="text1"/>
                <w:kern w:val="0"/>
                <w:sz w:val="18"/>
                <w:szCs w:val="18"/>
                <w14:textFill>
                  <w14:solidFill>
                    <w14:schemeClr w14:val="tx1"/>
                  </w14:solidFill>
                </w14:textFill>
              </w:rPr>
              <w:t>不平衡报价等异常现象，提出基本详细的造价分析报告；</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分：不能够认真负责地复核中标候选人的投标报价，分析有无不平衡报价等异常现象，提出的造价分析报告很不详细。</w:t>
            </w:r>
          </w:p>
        </w:tc>
        <w:tc>
          <w:tcPr>
            <w:tcW w:w="708" w:type="dxa"/>
            <w:tcBorders>
              <w:top w:val="single" w:color="auto" w:sz="4" w:space="0"/>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2760"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9</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施工过程造价控制</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10</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9-10</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及时主动认真地按甲方要求复核计量支付申请、编制工程变更估算、审核工程变更预算、现场签证，认真地编制投资控制形象进度表，能及时、主动地发现并向发包人汇报任何可能影响成本的事项并提出相关改善建议；</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7-8</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基本能够及时主动认真地按甲方要求复核计量支付申请、编制工程变更估算、审核工程变更预算、现场签证，比较认真地编制投资控制形象进度表，能够比较及时、主动地发现并向发包人汇报任何可能影响成本的事项并提出相关改善建议；</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5-6</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基本能够按甲方要求复核计量支付申请、编制工程变更估算、审核工程变更预算、现场签证，基本认真地编制投资控制形象进度表，不能及时、主动地发现并向发包人汇报任何可能影响成本的事项并提出相关改善建议；</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不能够按甲方要求复核计量支付申请、编制工程变更估算、审核工程变更预算、现场签证，不认真地编制投资控制形象进度表，不能及时、主动地发现并向发包人汇报任何可能影响成本的事项并提出相关改善建议。</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975"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10</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结算的审核质量</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10</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9-</w:t>
            </w:r>
            <w:r>
              <w:rPr>
                <w:rFonts w:ascii="新宋体" w:hAnsi="新宋体" w:eastAsia="新宋体" w:cs="仿宋_GB2312"/>
                <w:color w:val="000000" w:themeColor="text1"/>
                <w:kern w:val="0"/>
                <w:sz w:val="18"/>
                <w:szCs w:val="18"/>
                <w:u w:val="single"/>
                <w14:textFill>
                  <w14:solidFill>
                    <w14:schemeClr w14:val="tx1"/>
                  </w14:solidFill>
                </w14:textFill>
              </w:rPr>
              <w:t xml:space="preserve">10 </w:t>
            </w:r>
            <w:r>
              <w:rPr>
                <w:rFonts w:hint="eastAsia" w:ascii="新宋体" w:hAnsi="新宋体" w:eastAsia="新宋体" w:cs="仿宋_GB2312"/>
                <w:color w:val="000000" w:themeColor="text1"/>
                <w:kern w:val="0"/>
                <w:sz w:val="18"/>
                <w:szCs w:val="18"/>
                <w14:textFill>
                  <w14:solidFill>
                    <w14:schemeClr w14:val="tx1"/>
                  </w14:solidFill>
                </w14:textFill>
              </w:rPr>
              <w:t>分：结算造价与第三方审定价相差应小于</w:t>
            </w:r>
            <w:r>
              <w:rPr>
                <w:rFonts w:ascii="新宋体" w:hAnsi="新宋体" w:eastAsia="新宋体" w:cs="仿宋_GB2312"/>
                <w:color w:val="000000" w:themeColor="text1"/>
                <w:kern w:val="0"/>
                <w:sz w:val="18"/>
                <w:szCs w:val="18"/>
                <w14:textFill>
                  <w14:solidFill>
                    <w14:schemeClr w14:val="tx1"/>
                  </w14:solidFill>
                </w14:textFill>
              </w:rPr>
              <w:t>3%</w:t>
            </w:r>
            <w:r>
              <w:rPr>
                <w:rFonts w:hint="eastAsia" w:ascii="新宋体" w:hAnsi="新宋体" w:eastAsia="新宋体" w:cs="仿宋_GB2312"/>
                <w:color w:val="000000" w:themeColor="text1"/>
                <w:kern w:val="0"/>
                <w:sz w:val="18"/>
                <w:szCs w:val="18"/>
                <w14:textFill>
                  <w14:solidFill>
                    <w14:schemeClr w14:val="tx1"/>
                  </w14:solidFill>
                </w14:textFill>
              </w:rPr>
              <w:t>（不含</w:t>
            </w:r>
            <w:r>
              <w:rPr>
                <w:rFonts w:ascii="新宋体" w:hAnsi="新宋体" w:eastAsia="新宋体" w:cs="仿宋_GB2312"/>
                <w:color w:val="000000" w:themeColor="text1"/>
                <w:kern w:val="0"/>
                <w:sz w:val="18"/>
                <w:szCs w:val="18"/>
                <w14:textFill>
                  <w14:solidFill>
                    <w14:schemeClr w14:val="tx1"/>
                  </w14:solidFill>
                </w14:textFill>
              </w:rPr>
              <w:t>3%</w:t>
            </w:r>
            <w:r>
              <w:rPr>
                <w:rFonts w:hint="eastAsia" w:ascii="新宋体" w:hAnsi="新宋体" w:eastAsia="新宋体" w:cs="仿宋_GB2312"/>
                <w:color w:val="000000" w:themeColor="text1"/>
                <w:kern w:val="0"/>
                <w:sz w:val="18"/>
                <w:szCs w:val="18"/>
                <w14:textFill>
                  <w14:solidFill>
                    <w14:schemeClr w14:val="tx1"/>
                  </w14:solidFill>
                </w14:textFill>
              </w:rPr>
              <w:t>）；</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t xml:space="preserve">  </w:t>
            </w:r>
          </w:p>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7-8 </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分：结算造价与第三方审定价相差在</w:t>
            </w:r>
            <w:r>
              <w:rPr>
                <w:rFonts w:ascii="新宋体" w:hAnsi="新宋体" w:eastAsia="新宋体" w:cs="仿宋_GB2312"/>
                <w:color w:val="000000" w:themeColor="text1"/>
                <w:kern w:val="0"/>
                <w:sz w:val="18"/>
                <w:szCs w:val="18"/>
                <w14:textFill>
                  <w14:solidFill>
                    <w14:schemeClr w14:val="tx1"/>
                  </w14:solidFill>
                </w14:textFill>
              </w:rPr>
              <w:t>3%--5%</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5%</w:t>
            </w:r>
            <w:r>
              <w:rPr>
                <w:rFonts w:hint="eastAsia" w:ascii="新宋体" w:hAnsi="新宋体" w:eastAsia="新宋体" w:cs="仿宋_GB2312"/>
                <w:color w:val="000000" w:themeColor="text1"/>
                <w:kern w:val="0"/>
                <w:sz w:val="18"/>
                <w:szCs w:val="18"/>
                <w14:textFill>
                  <w14:solidFill>
                    <w14:schemeClr w14:val="tx1"/>
                  </w14:solidFill>
                </w14:textFill>
              </w:rPr>
              <w:t>）；</w:t>
            </w:r>
          </w:p>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5-6 </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分：结算造价与第三方审定价相差在</w:t>
            </w:r>
            <w:r>
              <w:rPr>
                <w:rFonts w:ascii="新宋体" w:hAnsi="新宋体" w:eastAsia="新宋体" w:cs="仿宋_GB2312"/>
                <w:color w:val="000000" w:themeColor="text1"/>
                <w:kern w:val="0"/>
                <w:sz w:val="18"/>
                <w:szCs w:val="18"/>
                <w14:textFill>
                  <w14:solidFill>
                    <w14:schemeClr w14:val="tx1"/>
                  </w14:solidFill>
                </w14:textFill>
              </w:rPr>
              <w:t>5%--10%</w:t>
            </w:r>
            <w:r>
              <w:rPr>
                <w:rFonts w:hint="eastAsia" w:ascii="新宋体" w:hAnsi="新宋体" w:eastAsia="新宋体" w:cs="仿宋_GB2312"/>
                <w:color w:val="000000" w:themeColor="text1"/>
                <w:kern w:val="0"/>
                <w:sz w:val="18"/>
                <w:szCs w:val="18"/>
                <w14:textFill>
                  <w14:solidFill>
                    <w14:schemeClr w14:val="tx1"/>
                  </w14:solidFill>
                </w14:textFill>
              </w:rPr>
              <w:t>之间（不含</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w:t>
            </w:r>
          </w:p>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分：结算造价与第三方审定价相差在</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以上（含</w:t>
            </w:r>
            <w:r>
              <w:rPr>
                <w:rFonts w:ascii="新宋体" w:hAnsi="新宋体" w:eastAsia="新宋体" w:cs="仿宋_GB2312"/>
                <w:color w:val="000000" w:themeColor="text1"/>
                <w:kern w:val="0"/>
                <w:sz w:val="18"/>
                <w:szCs w:val="18"/>
                <w14:textFill>
                  <w14:solidFill>
                    <w14:schemeClr w14:val="tx1"/>
                  </w14:solidFill>
                </w14:textFill>
              </w:rPr>
              <w:t>10%</w:t>
            </w:r>
            <w:r>
              <w:rPr>
                <w:rFonts w:hint="eastAsia" w:ascii="新宋体" w:hAnsi="新宋体" w:eastAsia="新宋体" w:cs="仿宋_GB2312"/>
                <w:color w:val="000000" w:themeColor="text1"/>
                <w:kern w:val="0"/>
                <w:sz w:val="18"/>
                <w:szCs w:val="18"/>
                <w14:textFill>
                  <w14:solidFill>
                    <w14:schemeClr w14:val="tx1"/>
                  </w14:solidFill>
                </w14:textFill>
              </w:rPr>
              <w:t>）。</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555"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w:t>
            </w:r>
            <w:r>
              <w:rPr>
                <w:rFonts w:hint="eastAsia" w:ascii="新宋体" w:hAnsi="新宋体" w:eastAsia="新宋体" w:cs="仿宋_GB2312"/>
                <w:color w:val="000000" w:themeColor="text1"/>
                <w:kern w:val="0"/>
                <w:sz w:val="18"/>
                <w:szCs w:val="18"/>
                <w14:textFill>
                  <w14:solidFill>
                    <w14:schemeClr w14:val="tx1"/>
                  </w14:solidFill>
                </w14:textFill>
              </w:rPr>
              <w:t>1</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造价文件</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5</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5</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分：能够按照合同要求提交完整的资料；</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分：不能够按照合同要求提交完整的资料。</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531"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三</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center"/>
              <w:rPr>
                <w:rFonts w:ascii="黑体" w:hAnsi="黑体" w:eastAsia="黑体"/>
                <w:color w:val="000000" w:themeColor="text1"/>
                <w:kern w:val="0"/>
                <w:sz w:val="24"/>
                <w:szCs w:val="24"/>
                <w14:textFill>
                  <w14:solidFill>
                    <w14:schemeClr w14:val="tx1"/>
                  </w14:solidFill>
                </w14:textFill>
              </w:rPr>
            </w:pPr>
            <w:r>
              <w:rPr>
                <w:rFonts w:hint="eastAsia" w:ascii="黑体" w:hAnsi="黑体" w:eastAsia="黑体" w:cs="黑体"/>
                <w:color w:val="000000" w:themeColor="text1"/>
                <w:kern w:val="0"/>
                <w:sz w:val="24"/>
                <w:szCs w:val="24"/>
                <w14:textFill>
                  <w14:solidFill>
                    <w14:schemeClr w14:val="tx1"/>
                  </w14:solidFill>
                </w14:textFill>
              </w:rPr>
              <w:t>履约时间</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8</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363"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w:t>
            </w:r>
            <w:r>
              <w:rPr>
                <w:rFonts w:hint="eastAsia" w:ascii="新宋体" w:hAnsi="新宋体" w:eastAsia="新宋体" w:cs="仿宋_GB2312"/>
                <w:color w:val="000000" w:themeColor="text1"/>
                <w:kern w:val="0"/>
                <w:sz w:val="18"/>
                <w:szCs w:val="18"/>
                <w14:textFill>
                  <w14:solidFill>
                    <w14:schemeClr w14:val="tx1"/>
                  </w14:solidFill>
                </w14:textFill>
              </w:rPr>
              <w:t>2</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工作时间</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8</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 7-8</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分：能够及时地按照合同要求完成各阶段的工作；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5-6</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分：能够比较及时地按照合同要求完成各阶段的工作；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4-4.5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分：能够基本及时地按照合同要求完成各阶段的工作；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分：不能够及时按照合同要求完成各阶段的工作。</w:t>
            </w:r>
            <w:r>
              <w:rPr>
                <w:rFonts w:ascii="新宋体" w:hAnsi="新宋体" w:eastAsia="新宋体" w:cs="仿宋_GB2312"/>
                <w:color w:val="000000" w:themeColor="text1"/>
                <w:kern w:val="0"/>
                <w:sz w:val="18"/>
                <w:szCs w:val="18"/>
                <w14:textFill>
                  <w14:solidFill>
                    <w14:schemeClr w14:val="tx1"/>
                  </w14:solidFill>
                </w14:textFill>
              </w:rPr>
              <w:t xml:space="preserve">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606" w:hRule="atLeast"/>
        </w:trPr>
        <w:tc>
          <w:tcPr>
            <w:tcW w:w="567" w:type="dxa"/>
            <w:tcBorders>
              <w:top w:val="nil"/>
              <w:left w:val="single" w:color="auto" w:sz="8" w:space="0"/>
              <w:bottom w:val="single" w:color="auto" w:sz="4" w:space="0"/>
              <w:right w:val="single" w:color="auto" w:sz="4" w:space="0"/>
            </w:tcBorders>
            <w:vAlign w:val="center"/>
          </w:tcPr>
          <w:p>
            <w:pPr>
              <w:widowControl/>
              <w:jc w:val="center"/>
              <w:rPr>
                <w:rFonts w:ascii="黑体" w:hAnsi="黑体" w:eastAsia="黑体" w:cs="宋体"/>
                <w:color w:val="000000" w:themeColor="text1"/>
                <w:kern w:val="0"/>
                <w:sz w:val="24"/>
                <w:szCs w:val="24"/>
                <w14:textFill>
                  <w14:solidFill>
                    <w14:schemeClr w14:val="tx1"/>
                  </w14:solidFill>
                </w14:textFill>
              </w:rPr>
            </w:pPr>
            <w:r>
              <w:rPr>
                <w:rFonts w:hint="eastAsia" w:ascii="黑体" w:hAnsi="黑体" w:eastAsia="黑体" w:cs="宋体"/>
                <w:color w:val="000000" w:themeColor="text1"/>
                <w:kern w:val="0"/>
                <w:sz w:val="24"/>
                <w:szCs w:val="24"/>
                <w14:textFill>
                  <w14:solidFill>
                    <w14:schemeClr w14:val="tx1"/>
                  </w14:solidFill>
                </w14:textFill>
              </w:rPr>
              <w:t>四</w:t>
            </w:r>
          </w:p>
        </w:tc>
        <w:tc>
          <w:tcPr>
            <w:tcW w:w="1701" w:type="dxa"/>
            <w:gridSpan w:val="2"/>
            <w:tcBorders>
              <w:top w:val="nil"/>
              <w:left w:val="nil"/>
              <w:bottom w:val="single" w:color="auto" w:sz="4" w:space="0"/>
              <w:right w:val="single" w:color="auto" w:sz="4" w:space="0"/>
            </w:tcBorders>
            <w:vAlign w:val="center"/>
          </w:tcPr>
          <w:p>
            <w:pPr>
              <w:widowControl/>
              <w:jc w:val="center"/>
              <w:rPr>
                <w:rFonts w:ascii="黑体" w:hAnsi="黑体" w:eastAsia="黑体" w:cs="宋体"/>
                <w:color w:val="000000" w:themeColor="text1"/>
                <w:kern w:val="0"/>
                <w:sz w:val="24"/>
                <w:szCs w:val="24"/>
                <w14:textFill>
                  <w14:solidFill>
                    <w14:schemeClr w14:val="tx1"/>
                  </w14:solidFill>
                </w14:textFill>
              </w:rPr>
            </w:pPr>
            <w:r>
              <w:rPr>
                <w:rFonts w:hint="eastAsia" w:ascii="黑体" w:hAnsi="黑体" w:eastAsia="黑体" w:cs="宋体"/>
                <w:color w:val="000000" w:themeColor="text1"/>
                <w:kern w:val="0"/>
                <w:sz w:val="24"/>
                <w:szCs w:val="24"/>
                <w14:textFill>
                  <w14:solidFill>
                    <w14:schemeClr w14:val="tx1"/>
                  </w14:solidFill>
                </w14:textFill>
              </w:rPr>
              <w:t>履约配合</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olor w:val="000000" w:themeColor="text1"/>
                <w:kern w:val="0"/>
                <w:sz w:val="18"/>
                <w:szCs w:val="18"/>
                <w14:textFill>
                  <w14:solidFill>
                    <w14:schemeClr w14:val="tx1"/>
                  </w14:solidFill>
                </w14:textFill>
              </w:rPr>
              <w:t>17</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1266"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w:t>
            </w:r>
            <w:r>
              <w:rPr>
                <w:rFonts w:hint="eastAsia" w:ascii="新宋体" w:hAnsi="新宋体" w:eastAsia="新宋体" w:cs="仿宋_GB2312"/>
                <w:color w:val="000000" w:themeColor="text1"/>
                <w:kern w:val="0"/>
                <w:sz w:val="18"/>
                <w:szCs w:val="18"/>
                <w14:textFill>
                  <w14:solidFill>
                    <w14:schemeClr w14:val="tx1"/>
                  </w14:solidFill>
                </w14:textFill>
              </w:rPr>
              <w:t>3</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配合情况</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10</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9-</w:t>
            </w:r>
            <w:r>
              <w:rPr>
                <w:rFonts w:ascii="新宋体" w:hAnsi="新宋体" w:eastAsia="新宋体" w:cs="仿宋_GB2312"/>
                <w:color w:val="000000" w:themeColor="text1"/>
                <w:kern w:val="0"/>
                <w:sz w:val="18"/>
                <w:szCs w:val="18"/>
                <w:u w:val="single"/>
                <w14:textFill>
                  <w14:solidFill>
                    <w14:schemeClr w14:val="tx1"/>
                  </w14:solidFill>
                </w14:textFill>
              </w:rPr>
              <w:t xml:space="preserve">10 </w:t>
            </w:r>
            <w:r>
              <w:rPr>
                <w:rFonts w:hint="eastAsia" w:ascii="新宋体" w:hAnsi="新宋体" w:eastAsia="新宋体" w:cs="仿宋_GB2312"/>
                <w:color w:val="000000" w:themeColor="text1"/>
                <w:kern w:val="0"/>
                <w:sz w:val="18"/>
                <w:szCs w:val="18"/>
                <w14:textFill>
                  <w14:solidFill>
                    <w14:schemeClr w14:val="tx1"/>
                  </w14:solidFill>
                </w14:textFill>
              </w:rPr>
              <w:t>分：项目负责人能够认真主动地按合同要求到工地现场解决有关造价事宜、派人参加招标答疑会、积极配合专业审计局审计工作、结算完成后主动地协助本署进行经济技术指标分析、认真地完成发包人交办的其它工程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7-8 </w:t>
            </w:r>
            <w:r>
              <w:rPr>
                <w:rFonts w:hint="eastAsia" w:ascii="新宋体" w:hAnsi="新宋体" w:eastAsia="新宋体" w:cs="仿宋_GB2312"/>
                <w:color w:val="000000" w:themeColor="text1"/>
                <w:kern w:val="0"/>
                <w:sz w:val="18"/>
                <w:szCs w:val="18"/>
                <w14:textFill>
                  <w14:solidFill>
                    <w14:schemeClr w14:val="tx1"/>
                  </w14:solidFill>
                </w14:textFill>
              </w:rPr>
              <w:t>分：项目负责人能够比较认真主动地按合同要求到工地现场解决有关造价事宜、派人参加招标答疑会、比较积极配合专业审计局审计工作、结算完成后比较主动地协助本署进行经济技术指标分析、比较认真地完成发包人交办的其它工程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5-6</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项目负责人基本能够认真主动地按合同要求到工地现场解决有关造价事宜、派人参加招标答疑会、配合专业审计局审计工作、结算完成后基本主动地协助本署进行经济技术指标分析、基本认真地完成发包人交办的其它工程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项目负责人不能够认真主动地按合同要求到工地现场解决有关造价事宜、派人参加招标答疑会、不积极配合专业审计局审计工作、结算完成后不够主动地协助本署进行经济技术指标分析、不能认真地完成发包人交办的其它工程造价咨询工作。</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750"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14</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驻场服务情况</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5</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s="仿宋_GB2312"/>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优秀</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4.5-5</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分：驻现场代表能够积极主动、认真廉洁地办理现场变更签证、进度款审核、设计变更的估算编制或预算审核、变更台账的建立与管理等造价咨询工作；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ascii="新宋体" w:hAnsi="新宋体" w:eastAsia="新宋体" w:cs="仿宋_GB2312"/>
                <w:color w:val="000000" w:themeColor="text1"/>
                <w:kern w:val="0"/>
                <w:sz w:val="18"/>
                <w:szCs w:val="18"/>
                <w14:textFill>
                  <w14:solidFill>
                    <w14:schemeClr w14:val="tx1"/>
                  </w14:solidFill>
                </w14:textFill>
              </w:rPr>
              <w:br w:type="textWrapping"/>
            </w:r>
            <w:r>
              <w:rPr>
                <w:rFonts w:hint="eastAsia" w:ascii="新宋体" w:hAnsi="新宋体" w:eastAsia="新宋体" w:cs="仿宋_GB2312"/>
                <w:color w:val="000000" w:themeColor="text1"/>
                <w:kern w:val="0"/>
                <w:sz w:val="18"/>
                <w:szCs w:val="18"/>
                <w14:textFill>
                  <w14:solidFill>
                    <w14:schemeClr w14:val="tx1"/>
                  </w14:solidFill>
                </w14:textFill>
              </w:rPr>
              <w:t>良好</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3.5-4 </w:t>
            </w:r>
            <w:r>
              <w:rPr>
                <w:rFonts w:hint="eastAsia" w:ascii="新宋体" w:hAnsi="新宋体" w:eastAsia="新宋体" w:cs="仿宋_GB2312"/>
                <w:color w:val="000000" w:themeColor="text1"/>
                <w:kern w:val="0"/>
                <w:sz w:val="18"/>
                <w:szCs w:val="18"/>
                <w14:textFill>
                  <w14:solidFill>
                    <w14:schemeClr w14:val="tx1"/>
                  </w14:solidFill>
                </w14:textFill>
              </w:rPr>
              <w:t>分：驻现场代表能够比较积极主动、认真廉洁地办理现场变更签证、进度款审核、设计变更的估算编制或预算审核、变更台账的建立与管理等造价咨询工作；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2.5-3</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分：驻现场代表能够基本积极主动、认真廉洁地办理现场变更签证、进度款审核、设计变更的估算编制或预算审核、变更台账的建立与管理等造价咨询工作；</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分：驻现场代表不能够积极主动、认真廉洁地办理现场变更签证、进度款审核、设计变更的估算编制或预算审核、变更台账的建立与管理等造价咨询工作。</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750"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w:t>
            </w:r>
            <w:r>
              <w:rPr>
                <w:rFonts w:hint="eastAsia" w:ascii="新宋体" w:hAnsi="新宋体" w:eastAsia="新宋体" w:cs="仿宋_GB2312"/>
                <w:color w:val="000000" w:themeColor="text1"/>
                <w:kern w:val="0"/>
                <w:sz w:val="18"/>
                <w:szCs w:val="18"/>
                <w14:textFill>
                  <w14:solidFill>
                    <w14:schemeClr w14:val="tx1"/>
                  </w14:solidFill>
                </w14:textFill>
              </w:rPr>
              <w:t>5</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保密工作</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olor w:val="000000" w:themeColor="text1"/>
                <w:kern w:val="0"/>
                <w:sz w:val="18"/>
                <w:szCs w:val="18"/>
                <w14:textFill>
                  <w14:solidFill>
                    <w14:schemeClr w14:val="tx1"/>
                  </w14:solidFill>
                </w14:textFill>
              </w:rPr>
              <w:t>2</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合格</w:t>
            </w:r>
            <w:r>
              <w:rPr>
                <w:rFonts w:hint="eastAsia" w:ascii="新宋体" w:hAnsi="新宋体" w:eastAsia="新宋体" w:cs="仿宋_GB2312"/>
                <w:color w:val="000000" w:themeColor="text1"/>
                <w:kern w:val="0"/>
                <w:sz w:val="18"/>
                <w:szCs w:val="18"/>
                <w:u w:val="single"/>
                <w14:textFill>
                  <w14:solidFill>
                    <w14:schemeClr w14:val="tx1"/>
                  </w14:solidFill>
                </w14:textFill>
              </w:rPr>
              <w:t xml:space="preserve"> </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u w:val="single"/>
                <w14:textFill>
                  <w14:solidFill>
                    <w14:schemeClr w14:val="tx1"/>
                  </w14:solidFill>
                </w14:textFill>
              </w:rPr>
              <w:t>2</w:t>
            </w:r>
            <w:r>
              <w:rPr>
                <w:rFonts w:ascii="新宋体" w:hAnsi="新宋体" w:eastAsia="新宋体" w:cs="仿宋_GB2312"/>
                <w:color w:val="000000" w:themeColor="text1"/>
                <w:kern w:val="0"/>
                <w:sz w:val="18"/>
                <w:szCs w:val="18"/>
                <w:u w:val="single"/>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分：在没有得到相应许可的情况下，不对外公开涉及任何机密的资料；</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不合格</w:t>
            </w:r>
            <w:r>
              <w:rPr>
                <w:rFonts w:ascii="新宋体" w:hAnsi="新宋体" w:eastAsia="新宋体" w:cs="仿宋_GB2312"/>
                <w:color w:val="000000" w:themeColor="text1"/>
                <w:kern w:val="0"/>
                <w:sz w:val="18"/>
                <w:szCs w:val="18"/>
                <w:u w:val="single"/>
                <w14:textFill>
                  <w14:solidFill>
                    <w14:schemeClr w14:val="tx1"/>
                  </w14:solidFill>
                </w14:textFill>
              </w:rPr>
              <w:t xml:space="preserve"> 0 </w:t>
            </w:r>
            <w:r>
              <w:rPr>
                <w:rFonts w:hint="eastAsia" w:ascii="新宋体" w:hAnsi="新宋体" w:eastAsia="新宋体" w:cs="仿宋_GB2312"/>
                <w:color w:val="000000" w:themeColor="text1"/>
                <w:kern w:val="0"/>
                <w:sz w:val="18"/>
                <w:szCs w:val="18"/>
                <w14:textFill>
                  <w14:solidFill>
                    <w14:schemeClr w14:val="tx1"/>
                  </w14:solidFill>
                </w14:textFill>
              </w:rPr>
              <w:t>分：在没有得到相应许可的情况下，对外公开涉及任何机密的资料但未造成不良影响或严重后果。</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413" w:hRule="atLeast"/>
        </w:trPr>
        <w:tc>
          <w:tcPr>
            <w:tcW w:w="567" w:type="dxa"/>
            <w:tcBorders>
              <w:top w:val="nil"/>
              <w:left w:val="single" w:color="auto" w:sz="8" w:space="0"/>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 xml:space="preserve">  </w:t>
            </w:r>
          </w:p>
        </w:tc>
        <w:tc>
          <w:tcPr>
            <w:tcW w:w="1701" w:type="dxa"/>
            <w:gridSpan w:val="2"/>
            <w:tcBorders>
              <w:top w:val="nil"/>
              <w:left w:val="nil"/>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合</w:t>
            </w:r>
            <w:r>
              <w:rPr>
                <w:rFonts w:ascii="新宋体" w:hAnsi="新宋体" w:eastAsia="新宋体" w:cs="仿宋_GB2312"/>
                <w:color w:val="000000" w:themeColor="text1"/>
                <w:kern w:val="0"/>
                <w:sz w:val="18"/>
                <w:szCs w:val="18"/>
                <w14:textFill>
                  <w14:solidFill>
                    <w14:schemeClr w14:val="tx1"/>
                  </w14:solidFill>
                </w14:textFill>
              </w:rPr>
              <w:t xml:space="preserve">  </w:t>
            </w:r>
            <w:r>
              <w:rPr>
                <w:rFonts w:hint="eastAsia" w:ascii="新宋体" w:hAnsi="新宋体" w:eastAsia="新宋体" w:cs="仿宋_GB2312"/>
                <w:color w:val="000000" w:themeColor="text1"/>
                <w:kern w:val="0"/>
                <w:sz w:val="18"/>
                <w:szCs w:val="18"/>
                <w14:textFill>
                  <w14:solidFill>
                    <w14:schemeClr w14:val="tx1"/>
                  </w14:solidFill>
                </w14:textFill>
              </w:rPr>
              <w:t>计</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ascii="新宋体" w:hAnsi="新宋体" w:eastAsia="新宋体" w:cs="仿宋_GB2312"/>
                <w:color w:val="000000" w:themeColor="text1"/>
                <w:kern w:val="0"/>
                <w:sz w:val="18"/>
                <w:szCs w:val="18"/>
                <w14:textFill>
                  <w14:solidFill>
                    <w14:schemeClr w14:val="tx1"/>
                  </w14:solidFill>
                </w14:textFill>
              </w:rPr>
            </w:pPr>
            <w:r>
              <w:rPr>
                <w:rFonts w:ascii="新宋体" w:hAnsi="新宋体" w:eastAsia="新宋体" w:cs="仿宋_GB2312"/>
                <w:color w:val="000000" w:themeColor="text1"/>
                <w:kern w:val="0"/>
                <w:sz w:val="18"/>
                <w:szCs w:val="18"/>
                <w14:textFill>
                  <w14:solidFill>
                    <w14:schemeClr w14:val="tx1"/>
                  </w14:solidFill>
                </w14:textFill>
              </w:rPr>
              <w:t>100</w:t>
            </w:r>
          </w:p>
        </w:tc>
        <w:tc>
          <w:tcPr>
            <w:tcW w:w="4678" w:type="dxa"/>
            <w:gridSpan w:val="3"/>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新宋体" w:hAnsi="新宋体" w:eastAsia="新宋体"/>
                <w:color w:val="000000" w:themeColor="text1"/>
                <w:kern w:val="0"/>
                <w:sz w:val="18"/>
                <w:szCs w:val="18"/>
                <w14:textFill>
                  <w14:solidFill>
                    <w14:schemeClr w14:val="tx1"/>
                  </w14:solidFill>
                </w14:textFill>
              </w:rPr>
            </w:pPr>
            <w:r>
              <w:rPr>
                <w:rFonts w:hint="eastAsia" w:ascii="新宋体" w:hAnsi="新宋体" w:eastAsia="新宋体" w:cs="仿宋_GB2312"/>
                <w:color w:val="000000" w:themeColor="text1"/>
                <w:kern w:val="0"/>
                <w:sz w:val="18"/>
                <w:szCs w:val="18"/>
                <w14:textFill>
                  <w14:solidFill>
                    <w14:schemeClr w14:val="tx1"/>
                  </w14:solidFill>
                </w14:textFill>
              </w:rPr>
              <w:t>　</w:t>
            </w:r>
          </w:p>
        </w:tc>
        <w:tc>
          <w:tcPr>
            <w:tcW w:w="708" w:type="dxa"/>
            <w:tcBorders>
              <w:top w:val="nil"/>
              <w:left w:val="single" w:color="auto" w:sz="4" w:space="0"/>
              <w:bottom w:val="single" w:color="auto" w:sz="4" w:space="0"/>
              <w:right w:val="single" w:color="auto" w:sz="4" w:space="0"/>
            </w:tcBorders>
          </w:tcPr>
          <w:p>
            <w:pPr>
              <w:widowControl/>
              <w:adjustRightInd w:val="0"/>
              <w:snapToGrid w:val="0"/>
              <w:ind w:right="4070" w:rightChars="1938"/>
              <w:jc w:val="left"/>
              <w:rPr>
                <w:rFonts w:ascii="新宋体" w:hAnsi="新宋体" w:eastAsia="新宋体" w:cs="仿宋_GB2312"/>
                <w:color w:val="000000" w:themeColor="text1"/>
                <w:kern w:val="0"/>
                <w:sz w:val="18"/>
                <w:szCs w:val="18"/>
                <w14:textFill>
                  <w14:solidFill>
                    <w14:schemeClr w14:val="tx1"/>
                  </w14:solidFill>
                </w14:textFill>
              </w:rPr>
            </w:pPr>
          </w:p>
        </w:tc>
      </w:tr>
      <w:tr>
        <w:tblPrEx>
          <w:tblLayout w:type="fixed"/>
          <w:tblCellMar>
            <w:top w:w="0" w:type="dxa"/>
            <w:left w:w="108" w:type="dxa"/>
            <w:bottom w:w="0" w:type="dxa"/>
            <w:right w:w="108" w:type="dxa"/>
          </w:tblCellMar>
        </w:tblPrEx>
        <w:trPr>
          <w:trHeight w:val="277" w:hRule="atLeast"/>
        </w:trPr>
        <w:tc>
          <w:tcPr>
            <w:tcW w:w="8505"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r>
              <w:rPr>
                <w:rFonts w:hint="eastAsia" w:asciiTheme="minorEastAsia" w:hAnsiTheme="minorEastAsia"/>
                <w:szCs w:val="21"/>
              </w:rPr>
              <w:t>注：1、工程建设单位可结合其工程特点和具体要求，增加和量化具体评分指标，制定评分表，并按百分制将分项分值进行折算调整。</w:t>
            </w:r>
          </w:p>
          <w:p>
            <w:pPr>
              <w:ind w:firstLine="420" w:firstLineChars="200"/>
              <w:rPr>
                <w:rFonts w:asciiTheme="minorEastAsia" w:hAnsiTheme="minorEastAsia"/>
                <w:szCs w:val="21"/>
              </w:rPr>
            </w:pPr>
            <w:r>
              <w:rPr>
                <w:rFonts w:hint="eastAsia" w:asciiTheme="minorEastAsia" w:hAnsiTheme="minorEastAsia"/>
                <w:szCs w:val="21"/>
              </w:rPr>
              <w:t>2、规定的评分指标中，招标文件或者合同无委托实施的内容的，不计入评分，对总得分按百分制进行折算。</w:t>
            </w:r>
          </w:p>
        </w:tc>
      </w:tr>
      <w:tr>
        <w:tblPrEx>
          <w:tblLayout w:type="fixed"/>
          <w:tblCellMar>
            <w:top w:w="0" w:type="dxa"/>
            <w:left w:w="108" w:type="dxa"/>
            <w:bottom w:w="0" w:type="dxa"/>
            <w:right w:w="108" w:type="dxa"/>
          </w:tblCellMar>
        </w:tblPrEx>
        <w:trPr>
          <w:trHeight w:val="277" w:hRule="atLeast"/>
        </w:trPr>
        <w:tc>
          <w:tcPr>
            <w:tcW w:w="8505"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rPr>
                <w:rFonts w:asciiTheme="minorEastAsia" w:hAnsiTheme="minorEastAsia"/>
                <w:szCs w:val="21"/>
              </w:rPr>
            </w:pPr>
          </w:p>
          <w:p>
            <w:pPr>
              <w:ind w:firstLine="5460" w:firstLineChars="2600"/>
              <w:rPr>
                <w:rFonts w:asciiTheme="minorEastAsia" w:hAnsiTheme="minorEastAsia"/>
                <w:szCs w:val="21"/>
              </w:rPr>
            </w:pPr>
            <w:r>
              <w:rPr>
                <w:rFonts w:hint="eastAsia" w:asciiTheme="minorEastAsia" w:hAnsiTheme="minorEastAsia"/>
                <w:szCs w:val="21"/>
              </w:rPr>
              <w:t>评价人签字：</w:t>
            </w:r>
          </w:p>
          <w:p>
            <w:pPr>
              <w:ind w:firstLine="6930" w:firstLineChars="3300"/>
              <w:rPr>
                <w:rFonts w:ascii="宋体" w:hAnsi="宋体" w:eastAsia="宋体" w:cs="宋体"/>
                <w:kern w:val="0"/>
                <w:sz w:val="18"/>
                <w:szCs w:val="18"/>
              </w:rPr>
            </w:pPr>
            <w:r>
              <w:rPr>
                <w:rFonts w:hint="eastAsia" w:asciiTheme="minorEastAsia" w:hAnsiTheme="minorEastAsia"/>
                <w:szCs w:val="21"/>
              </w:rPr>
              <w:t xml:space="preserve">年 </w:t>
            </w:r>
            <w:r>
              <w:rPr>
                <w:rFonts w:asciiTheme="minorEastAsia" w:hAnsiTheme="minorEastAsia"/>
                <w:szCs w:val="21"/>
              </w:rPr>
              <w:t xml:space="preserve"> </w:t>
            </w:r>
            <w:r>
              <w:rPr>
                <w:rFonts w:hint="eastAsia" w:asciiTheme="minorEastAsia" w:hAnsiTheme="minorEastAsia"/>
                <w:szCs w:val="21"/>
              </w:rPr>
              <w:t xml:space="preserve">月 </w:t>
            </w:r>
            <w:r>
              <w:rPr>
                <w:rFonts w:asciiTheme="minorEastAsia" w:hAnsiTheme="minorEastAsia"/>
                <w:szCs w:val="21"/>
              </w:rPr>
              <w:t xml:space="preserve"> </w:t>
            </w:r>
            <w:r>
              <w:rPr>
                <w:rFonts w:hint="eastAsia" w:asciiTheme="minorEastAsia" w:hAnsiTheme="minorEastAsia"/>
                <w:szCs w:val="21"/>
              </w:rPr>
              <w:t>日</w:t>
            </w:r>
          </w:p>
        </w:tc>
      </w:tr>
    </w:tbl>
    <w:p>
      <w:pPr>
        <w:rPr>
          <w:rFonts w:asciiTheme="minorEastAsia" w:hAnsiTheme="minorEastAsia"/>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7519260"/>
      <w:docPartObj>
        <w:docPartGallery w:val="AutoText"/>
      </w:docPartObj>
    </w:sdtPr>
    <w:sdtContent>
      <w:p>
        <w:pPr>
          <w:pStyle w:val="2"/>
          <w:jc w:val="center"/>
        </w:pPr>
        <w:r>
          <w:fldChar w:fldCharType="begin"/>
        </w:r>
        <w:r>
          <w:instrText xml:space="preserve">PAGE   \* MERGEFORMAT</w:instrText>
        </w:r>
        <w:r>
          <w:fldChar w:fldCharType="separate"/>
        </w:r>
        <w:r>
          <w:rPr>
            <w:lang w:val="zh-CN"/>
          </w:rPr>
          <w:t>23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CF"/>
    <w:rsid w:val="000027FD"/>
    <w:rsid w:val="00021F25"/>
    <w:rsid w:val="00032B99"/>
    <w:rsid w:val="00032EF8"/>
    <w:rsid w:val="00097EAB"/>
    <w:rsid w:val="0012201B"/>
    <w:rsid w:val="00122872"/>
    <w:rsid w:val="00145663"/>
    <w:rsid w:val="00162209"/>
    <w:rsid w:val="00172AE8"/>
    <w:rsid w:val="00227E2A"/>
    <w:rsid w:val="002E7A41"/>
    <w:rsid w:val="002F0471"/>
    <w:rsid w:val="003030E3"/>
    <w:rsid w:val="003147EE"/>
    <w:rsid w:val="003501EC"/>
    <w:rsid w:val="00370E66"/>
    <w:rsid w:val="003A4B36"/>
    <w:rsid w:val="003F6D64"/>
    <w:rsid w:val="004011B9"/>
    <w:rsid w:val="00423D9C"/>
    <w:rsid w:val="004260D8"/>
    <w:rsid w:val="00453971"/>
    <w:rsid w:val="00467850"/>
    <w:rsid w:val="00475377"/>
    <w:rsid w:val="00481FB9"/>
    <w:rsid w:val="004A432C"/>
    <w:rsid w:val="004A7D8A"/>
    <w:rsid w:val="004D73B3"/>
    <w:rsid w:val="004E0E28"/>
    <w:rsid w:val="004E2582"/>
    <w:rsid w:val="00532D54"/>
    <w:rsid w:val="0059093D"/>
    <w:rsid w:val="00595A42"/>
    <w:rsid w:val="00596EC2"/>
    <w:rsid w:val="005C3594"/>
    <w:rsid w:val="005D4E3E"/>
    <w:rsid w:val="005E10DA"/>
    <w:rsid w:val="005E1304"/>
    <w:rsid w:val="005F5B7A"/>
    <w:rsid w:val="006168F0"/>
    <w:rsid w:val="00624EA4"/>
    <w:rsid w:val="00656E8A"/>
    <w:rsid w:val="00712DC1"/>
    <w:rsid w:val="00775435"/>
    <w:rsid w:val="007B2213"/>
    <w:rsid w:val="007C4813"/>
    <w:rsid w:val="007C4D2F"/>
    <w:rsid w:val="007D05AA"/>
    <w:rsid w:val="008308FA"/>
    <w:rsid w:val="0083668D"/>
    <w:rsid w:val="0086105E"/>
    <w:rsid w:val="008F2A38"/>
    <w:rsid w:val="00900443"/>
    <w:rsid w:val="00900CC5"/>
    <w:rsid w:val="00944F7B"/>
    <w:rsid w:val="009520D6"/>
    <w:rsid w:val="00984124"/>
    <w:rsid w:val="009A4FBE"/>
    <w:rsid w:val="009E5483"/>
    <w:rsid w:val="00A13D08"/>
    <w:rsid w:val="00A40330"/>
    <w:rsid w:val="00A6074C"/>
    <w:rsid w:val="00A64BEC"/>
    <w:rsid w:val="00A70EE5"/>
    <w:rsid w:val="00A74E83"/>
    <w:rsid w:val="00A90DF4"/>
    <w:rsid w:val="00AA6EFC"/>
    <w:rsid w:val="00AD6B20"/>
    <w:rsid w:val="00B50947"/>
    <w:rsid w:val="00B965CF"/>
    <w:rsid w:val="00C14043"/>
    <w:rsid w:val="00C85B41"/>
    <w:rsid w:val="00C9397E"/>
    <w:rsid w:val="00CA4676"/>
    <w:rsid w:val="00D02B21"/>
    <w:rsid w:val="00D04E7A"/>
    <w:rsid w:val="00D36B58"/>
    <w:rsid w:val="00D77DF6"/>
    <w:rsid w:val="00DB1479"/>
    <w:rsid w:val="00DE3AE3"/>
    <w:rsid w:val="00DE79DC"/>
    <w:rsid w:val="00E11542"/>
    <w:rsid w:val="00E41BEA"/>
    <w:rsid w:val="00E45E78"/>
    <w:rsid w:val="00E81530"/>
    <w:rsid w:val="00E92AF4"/>
    <w:rsid w:val="00ED14BD"/>
    <w:rsid w:val="00F27388"/>
    <w:rsid w:val="00F373C3"/>
    <w:rsid w:val="00F55BC8"/>
    <w:rsid w:val="00F64E55"/>
    <w:rsid w:val="00FB0A7A"/>
    <w:rsid w:val="00FB4428"/>
    <w:rsid w:val="00FF39AC"/>
    <w:rsid w:val="45CC0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9"/>
    <w:qFormat/>
    <w:uiPriority w:val="10"/>
    <w:pPr>
      <w:spacing w:before="240" w:after="60"/>
      <w:jc w:val="center"/>
      <w:outlineLvl w:val="0"/>
    </w:pPr>
    <w:rPr>
      <w:rFonts w:eastAsia="宋体" w:asciiTheme="majorHAnsi" w:hAnsiTheme="majorHAnsi" w:cstheme="majorBidi"/>
      <w:b/>
      <w:bCs/>
      <w:sz w:val="32"/>
      <w:szCs w:val="32"/>
    </w:rPr>
  </w:style>
  <w:style w:type="character" w:styleId="6">
    <w:name w:val="Strong"/>
    <w:qFormat/>
    <w:uiPriority w:val="0"/>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标题 Char"/>
    <w:basedOn w:val="5"/>
    <w:link w:val="4"/>
    <w:uiPriority w:val="10"/>
    <w:rPr>
      <w:rFonts w:eastAsia="宋体" w:asciiTheme="majorHAnsi" w:hAnsiTheme="majorHAnsi" w:cstheme="majorBidi"/>
      <w:b/>
      <w:bCs/>
      <w:sz w:val="32"/>
      <w:szCs w:val="32"/>
    </w:rPr>
  </w:style>
  <w:style w:type="paragraph" w:styleId="10">
    <w:name w:val="List Paragraph"/>
    <w:basedOn w:val="1"/>
    <w:qFormat/>
    <w:uiPriority w:val="34"/>
    <w:pPr>
      <w:ind w:firstLine="420" w:firstLineChars="200"/>
    </w:pPr>
  </w:style>
  <w:style w:type="character" w:customStyle="1" w:styleId="11">
    <w:name w:val="页眉 Char"/>
    <w:basedOn w:val="5"/>
    <w:link w:val="3"/>
    <w:qFormat/>
    <w:uiPriority w:val="99"/>
    <w:rPr>
      <w:sz w:val="18"/>
      <w:szCs w:val="18"/>
    </w:rPr>
  </w:style>
  <w:style w:type="character" w:customStyle="1" w:styleId="12">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SZU</Company>
  <Pages>25</Pages>
  <Words>2719</Words>
  <Characters>15500</Characters>
  <Lines>129</Lines>
  <Paragraphs>36</Paragraphs>
  <TotalTime>1406</TotalTime>
  <ScaleCrop>false</ScaleCrop>
  <LinksUpToDate>false</LinksUpToDate>
  <CharactersWithSpaces>18183</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2019-08-04T04:25:00Z</dcterms:created>
  <dc:creator>朱湘黔</dc:creator>
  <cp:lastModifiedBy>冯仁楠</cp:lastModifiedBy>
  <dcterms:modified xsi:type="dcterms:W3CDTF">2019-10-28T03:47:01Z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