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</w:rPr>
        <w:t>关于深圳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lang w:eastAsia="zh-CN"/>
        </w:rPr>
        <w:t>市坪山区银岭路市政工程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</w:rPr>
        <w:t>项目房屋征收评估机构名录的公告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坪山区银岭路市政工程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项目征收范围内被征收房屋、构筑（附属）物等评估需要，我局于202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日发布报名公告，经审核，选定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家评估机构，形成深圳市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坪山区银岭路市政工程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项目房屋征收评估机构名录。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鉴于深圳市中项资产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评估房地产土地估价有限公司、深圳市文集土地房地产评估工程咨询有限公司放弃摇号的权利，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现将房屋征收评估机构名录公示如下（排名不分先后）：</w:t>
      </w:r>
    </w:p>
    <w:tbl>
      <w:tblPr>
        <w:tblStyle w:val="4"/>
        <w:tblW w:w="82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656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深圳和达房地产土地资产评估咨询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圳市格衡土地房地产资产评估咨询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懿元百年房地产土地咨询评估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广东国诚土地房地产评估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市国咨土地房地产资产评估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市鹏晨房地产土地资产评估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国策房地产土地资产评估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广东省大周行房地产土地资产评估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广衡房地产土地资产评估顾问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深圳市深信资产评估土地房地产估价有限公司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深圳市凯基源房地产土地评估有限公司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深圳市尊量行土地房地产估价资产评估有限公司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深圳市鹏建土地房地产资产评估咨询有限公司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深圳市鹏信资产评估土地房地产估价有限公司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深圳诚成土地房地产资产评估咨询有限公司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国众联资产评估土地房地产估价有限公司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大成国际资产评估土地房地产估价（深圳）有限公司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深圳市国量行资产评估土地房地产估价顾问有限公司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深圳市国潼联土地房地产资产评估顾问有限公司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深圳市通泰衡房地产估价有限公司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壹级</w:t>
            </w:r>
          </w:p>
        </w:tc>
      </w:tr>
    </w:tbl>
    <w:p>
      <w:pPr>
        <w:widowControl/>
        <w:shd w:val="clear"/>
        <w:wordWrap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/>
        <w:wordWrap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/>
        <w:wordWrap/>
        <w:spacing w:after="0" w:line="560" w:lineRule="exact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深圳市坪山区城市更新和土地整备局</w:t>
      </w:r>
    </w:p>
    <w:p>
      <w:pPr>
        <w:widowControl/>
        <w:shd w:val="clear"/>
        <w:wordWrap/>
        <w:spacing w:after="0" w:line="56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1"/>
    <w:rsid w:val="001537AE"/>
    <w:rsid w:val="00354FD3"/>
    <w:rsid w:val="005153CB"/>
    <w:rsid w:val="00635D03"/>
    <w:rsid w:val="00691891"/>
    <w:rsid w:val="009B5E5C"/>
    <w:rsid w:val="009F7AE6"/>
    <w:rsid w:val="00B972C1"/>
    <w:rsid w:val="00BD2D43"/>
    <w:rsid w:val="00D92420"/>
    <w:rsid w:val="00E75761"/>
    <w:rsid w:val="058A4240"/>
    <w:rsid w:val="2C775EC4"/>
    <w:rsid w:val="2D4B73F7"/>
    <w:rsid w:val="36A87A44"/>
    <w:rsid w:val="3E9D0A5E"/>
    <w:rsid w:val="40F67405"/>
    <w:rsid w:val="4FD2BADF"/>
    <w:rsid w:val="55986F1A"/>
    <w:rsid w:val="5BED5D07"/>
    <w:rsid w:val="63EE1696"/>
    <w:rsid w:val="6D7FB58B"/>
    <w:rsid w:val="6DFFC5D6"/>
    <w:rsid w:val="6FDF05F6"/>
    <w:rsid w:val="70AD6A46"/>
    <w:rsid w:val="77CFF2B2"/>
    <w:rsid w:val="7BBEBDFE"/>
    <w:rsid w:val="7E5D9FC4"/>
    <w:rsid w:val="7F75B66D"/>
    <w:rsid w:val="7F7F87CF"/>
    <w:rsid w:val="9F7FA835"/>
    <w:rsid w:val="CDDE0BBC"/>
    <w:rsid w:val="CFBD7DA0"/>
    <w:rsid w:val="E6FDEEE5"/>
    <w:rsid w:val="E7FFB5C9"/>
    <w:rsid w:val="E9FFA145"/>
    <w:rsid w:val="EFDD791C"/>
    <w:rsid w:val="EFEF481C"/>
    <w:rsid w:val="F6DF5F61"/>
    <w:rsid w:val="FBB71E38"/>
    <w:rsid w:val="FF8B93EA"/>
    <w:rsid w:val="FFCAD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7</TotalTime>
  <ScaleCrop>false</ScaleCrop>
  <LinksUpToDate>false</LinksUpToDate>
  <CharactersWithSpaces>527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2021-05-30T09:24:00Z</dcterms:created>
  <dc:creator>黎彩凤</dc:creator>
  <cp:lastModifiedBy>liujia</cp:lastModifiedBy>
  <dcterms:modified xsi:type="dcterms:W3CDTF">2024-04-11T10:59:56Z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