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4D151">
      <w:pPr>
        <w:pStyle w:val="3"/>
        <w:keepNext/>
        <w:keepLines/>
        <w:pageBreakBefore w:val="0"/>
        <w:widowControl w:val="0"/>
        <w:kinsoku/>
        <w:wordWrap/>
        <w:overflowPunct/>
        <w:topLinePunct w:val="0"/>
        <w:autoSpaceDE/>
        <w:autoSpaceDN/>
        <w:bidi w:val="0"/>
        <w:adjustRightInd w:val="0"/>
        <w:snapToGrid/>
        <w:spacing w:line="560" w:lineRule="exact"/>
        <w:jc w:val="both"/>
        <w:textAlignment w:val="baseline"/>
        <w:rPr>
          <w:rFonts w:hint="eastAsia" w:ascii="仿宋_GB2312" w:hAnsi="仿宋_GB2312" w:eastAsia="仿宋_GB2312" w:cs="仿宋_GB2312"/>
          <w:b w:val="0"/>
          <w:kern w:val="0"/>
          <w:sz w:val="32"/>
          <w:szCs w:val="32"/>
          <w:lang w:val="en-US" w:eastAsia="zh-CN"/>
        </w:rPr>
      </w:pPr>
      <w:r>
        <w:rPr>
          <w:rFonts w:hint="eastAsia" w:ascii="仿宋_GB2312" w:hAnsi="仿宋_GB2312" w:eastAsia="仿宋_GB2312" w:cs="仿宋_GB2312"/>
          <w:b w:val="0"/>
          <w:kern w:val="0"/>
          <w:sz w:val="32"/>
          <w:szCs w:val="32"/>
          <w:lang w:val="en-US" w:eastAsia="zh-CN"/>
        </w:rPr>
        <w:t>附件2</w:t>
      </w:r>
    </w:p>
    <w:p w14:paraId="52BE891F">
      <w:pPr>
        <w:rPr>
          <w:rFonts w:hint="eastAsia"/>
          <w:lang w:val="en-US" w:eastAsia="zh-CN"/>
        </w:rPr>
      </w:pPr>
    </w:p>
    <w:p w14:paraId="5AF2C755">
      <w:pPr>
        <w:pStyle w:val="3"/>
        <w:keepNext/>
        <w:keepLines/>
        <w:pageBreakBefore w:val="0"/>
        <w:widowControl w:val="0"/>
        <w:kinsoku/>
        <w:wordWrap/>
        <w:overflowPunct/>
        <w:topLinePunct w:val="0"/>
        <w:autoSpaceDE/>
        <w:autoSpaceDN/>
        <w:bidi w:val="0"/>
        <w:adjustRightInd w:val="0"/>
        <w:snapToGrid/>
        <w:spacing w:line="560" w:lineRule="exact"/>
        <w:jc w:val="center"/>
        <w:textAlignment w:val="baseline"/>
        <w:rPr>
          <w:rFonts w:hint="eastAsia" w:ascii="方正小标宋简体" w:hAnsi="方正小标宋简体" w:eastAsia="方正小标宋简体" w:cs="方正小标宋简体"/>
          <w:b w:val="0"/>
          <w:kern w:val="0"/>
          <w:sz w:val="44"/>
          <w:szCs w:val="44"/>
          <w:lang w:val="en-US" w:eastAsia="zh-CN"/>
        </w:rPr>
      </w:pPr>
      <w:r>
        <w:rPr>
          <w:rFonts w:hint="eastAsia" w:ascii="方正小标宋简体" w:hAnsi="方正小标宋简体" w:eastAsia="方正小标宋简体" w:cs="方正小标宋简体"/>
          <w:b w:val="0"/>
          <w:kern w:val="0"/>
          <w:sz w:val="44"/>
          <w:szCs w:val="44"/>
          <w:lang w:val="en-US" w:eastAsia="zh-CN"/>
        </w:rPr>
        <w:t>深圳市坪山区科技创新局坪山高新区形象标识提升工程十一块标识牌定期巡视项目</w:t>
      </w:r>
    </w:p>
    <w:p w14:paraId="2AC91F7D">
      <w:pPr>
        <w:pStyle w:val="3"/>
        <w:keepNext/>
        <w:keepLines/>
        <w:pageBreakBefore w:val="0"/>
        <w:widowControl w:val="0"/>
        <w:kinsoku/>
        <w:wordWrap/>
        <w:overflowPunct/>
        <w:topLinePunct w:val="0"/>
        <w:autoSpaceDE/>
        <w:autoSpaceDN/>
        <w:bidi w:val="0"/>
        <w:adjustRightInd w:val="0"/>
        <w:snapToGrid/>
        <w:spacing w:line="560" w:lineRule="exact"/>
        <w:jc w:val="center"/>
        <w:textAlignment w:val="baseline"/>
        <w:rPr>
          <w:rFonts w:hint="eastAsia" w:ascii="方正小标宋简体" w:hAnsi="方正小标宋简体" w:eastAsia="方正小标宋简体" w:cs="方正小标宋简体"/>
          <w:b w:val="0"/>
          <w:kern w:val="0"/>
          <w:sz w:val="44"/>
          <w:szCs w:val="44"/>
          <w:lang w:val="en-US" w:eastAsia="zh-CN"/>
        </w:rPr>
      </w:pPr>
      <w:r>
        <w:rPr>
          <w:rFonts w:hint="eastAsia" w:ascii="方正小标宋简体" w:hAnsi="方正小标宋简体" w:eastAsia="方正小标宋简体" w:cs="方正小标宋简体"/>
          <w:b w:val="0"/>
          <w:kern w:val="0"/>
          <w:sz w:val="44"/>
          <w:szCs w:val="44"/>
          <w:lang w:val="en-US" w:eastAsia="zh-CN"/>
        </w:rPr>
        <w:t>招标方案</w:t>
      </w:r>
    </w:p>
    <w:p w14:paraId="7E6ABAFD">
      <w:pPr>
        <w:pageBreakBefore w:val="0"/>
        <w:overflowPunct/>
        <w:topLinePunct w:val="0"/>
        <w:bidi w:val="0"/>
        <w:spacing w:line="560" w:lineRule="exact"/>
        <w:ind w:left="1600" w:hanging="1600" w:hangingChars="500"/>
        <w:outlineLvl w:val="0"/>
        <w:rPr>
          <w:rFonts w:ascii="仿宋_GB2312" w:hAnsi="仿宋_GB2312" w:eastAsia="仿宋_GB2312" w:cs="仿宋_GB2312"/>
          <w:sz w:val="32"/>
          <w:szCs w:val="32"/>
        </w:rPr>
      </w:pPr>
    </w:p>
    <w:p w14:paraId="775AD433">
      <w:pPr>
        <w:keepNext w:val="0"/>
        <w:keepLines w:val="0"/>
        <w:pageBreakBefore w:val="0"/>
        <w:widowControl w:val="0"/>
        <w:kinsoku/>
        <w:wordWrap/>
        <w:overflowPunct/>
        <w:topLinePunct w:val="0"/>
        <w:autoSpaceDE/>
        <w:autoSpaceDN/>
        <w:bidi w:val="0"/>
        <w:snapToGrid/>
        <w:spacing w:line="560" w:lineRule="exact"/>
        <w:jc w:val="left"/>
        <w:rPr>
          <w:rFonts w:hint="eastAsia" w:ascii="仿宋_GB2312" w:hAnsi="仿宋_GB2312" w:eastAsia="仿宋_GB2312" w:cs="仿宋_GB2312"/>
          <w:sz w:val="32"/>
          <w:szCs w:val="22"/>
        </w:rPr>
      </w:pPr>
      <w:r>
        <w:rPr>
          <w:rFonts w:hint="eastAsia" w:ascii="仿宋_GB2312" w:hAnsi="仿宋_GB2312" w:eastAsia="仿宋_GB2312" w:cs="仿宋_GB2312"/>
          <w:sz w:val="32"/>
          <w:szCs w:val="22"/>
        </w:rPr>
        <w:t>项目名称：坪山高新区形象标识提升工程十一块标识牌定期巡视</w:t>
      </w:r>
    </w:p>
    <w:p w14:paraId="2246E815">
      <w:pPr>
        <w:keepNext w:val="0"/>
        <w:keepLines w:val="0"/>
        <w:pageBreakBefore w:val="0"/>
        <w:widowControl w:val="0"/>
        <w:kinsoku/>
        <w:wordWrap/>
        <w:overflowPunct/>
        <w:topLinePunct w:val="0"/>
        <w:autoSpaceDE/>
        <w:autoSpaceDN/>
        <w:bidi w:val="0"/>
        <w:snapToGrid/>
        <w:spacing w:line="560" w:lineRule="exact"/>
        <w:jc w:val="left"/>
        <w:outlineLvl w:val="9"/>
        <w:rPr>
          <w:rFonts w:ascii="仿宋_GB2312" w:hAnsi="仿宋_GB2312" w:eastAsia="仿宋_GB2312" w:cs="仿宋_GB2312"/>
          <w:sz w:val="32"/>
          <w:szCs w:val="32"/>
        </w:rPr>
      </w:pPr>
      <w:r>
        <w:rPr>
          <w:rFonts w:hint="eastAsia" w:ascii="仿宋_GB2312" w:hAnsi="仿宋_GB2312" w:eastAsia="仿宋_GB2312" w:cs="仿宋_GB2312"/>
          <w:sz w:val="32"/>
          <w:szCs w:val="22"/>
        </w:rPr>
        <w:t>采购人：深圳市坪山区科</w:t>
      </w:r>
      <w:r>
        <w:rPr>
          <w:rFonts w:hint="eastAsia" w:ascii="仿宋_GB2312" w:hAnsi="仿宋_GB2312" w:eastAsia="仿宋_GB2312" w:cs="仿宋_GB2312"/>
          <w:sz w:val="32"/>
          <w:szCs w:val="22"/>
          <w:lang w:eastAsia="zh-CN"/>
        </w:rPr>
        <w:t>技</w:t>
      </w:r>
      <w:r>
        <w:rPr>
          <w:rFonts w:hint="eastAsia" w:ascii="仿宋_GB2312" w:hAnsi="仿宋_GB2312" w:eastAsia="仿宋_GB2312" w:cs="仿宋_GB2312"/>
          <w:sz w:val="32"/>
          <w:szCs w:val="22"/>
        </w:rPr>
        <w:t>创</w:t>
      </w:r>
      <w:r>
        <w:rPr>
          <w:rFonts w:hint="eastAsia" w:ascii="仿宋_GB2312" w:hAnsi="仿宋_GB2312" w:eastAsia="仿宋_GB2312" w:cs="仿宋_GB2312"/>
          <w:sz w:val="32"/>
          <w:szCs w:val="22"/>
          <w:lang w:eastAsia="zh-CN"/>
        </w:rPr>
        <w:t>新</w:t>
      </w:r>
      <w:r>
        <w:rPr>
          <w:rFonts w:hint="eastAsia" w:ascii="仿宋_GB2312" w:hAnsi="仿宋_GB2312" w:eastAsia="仿宋_GB2312" w:cs="仿宋_GB2312"/>
          <w:sz w:val="32"/>
          <w:szCs w:val="22"/>
        </w:rPr>
        <w:t xml:space="preserve">局 </w:t>
      </w:r>
    </w:p>
    <w:p w14:paraId="351D7403">
      <w:pPr>
        <w:pStyle w:val="3"/>
        <w:keepNext w:val="0"/>
        <w:keepLines w:val="0"/>
        <w:pageBreakBefore w:val="0"/>
        <w:widowControl w:val="0"/>
        <w:numPr>
          <w:ilvl w:val="0"/>
          <w:numId w:val="1"/>
        </w:numPr>
        <w:kinsoku/>
        <w:wordWrap/>
        <w:overflowPunct/>
        <w:topLinePunct w:val="0"/>
        <w:autoSpaceDE/>
        <w:autoSpaceDN/>
        <w:bidi w:val="0"/>
        <w:snapToGrid/>
        <w:spacing w:line="560" w:lineRule="exact"/>
        <w:ind w:firstLine="640" w:firstLineChars="200"/>
        <w:jc w:val="both"/>
        <w:rPr>
          <w:rFonts w:ascii="黑体" w:hAnsi="黑体" w:eastAsia="黑体" w:cs="黑体"/>
          <w:bCs/>
          <w:sz w:val="32"/>
          <w:szCs w:val="32"/>
        </w:rPr>
      </w:pPr>
      <w:r>
        <w:rPr>
          <w:rFonts w:hint="eastAsia" w:ascii="黑体" w:hAnsi="黑体" w:eastAsia="黑体" w:cs="黑体"/>
          <w:bCs/>
          <w:sz w:val="32"/>
          <w:szCs w:val="32"/>
        </w:rPr>
        <w:t>采购项目概况</w:t>
      </w:r>
    </w:p>
    <w:p w14:paraId="2F3AE313">
      <w:pPr>
        <w:keepNext w:val="0"/>
        <w:keepLines w:val="0"/>
        <w:pageBreakBefore w:val="0"/>
        <w:widowControl w:val="0"/>
        <w:kinsoku/>
        <w:wordWrap/>
        <w:overflowPunct/>
        <w:topLinePunct w:val="0"/>
        <w:autoSpaceDE/>
        <w:autoSpaceDN/>
        <w:bidi w:val="0"/>
        <w:snapToGrid/>
        <w:spacing w:line="560" w:lineRule="exact"/>
        <w:ind w:firstLine="640" w:firstLineChars="200"/>
        <w:jc w:val="both"/>
      </w:pPr>
      <w:r>
        <w:rPr>
          <w:rFonts w:hint="eastAsia" w:ascii="仿宋_GB2312" w:hAnsi="仿宋_GB2312" w:eastAsia="仿宋_GB2312"/>
          <w:spacing w:val="0"/>
          <w:kern w:val="2"/>
          <w:sz w:val="32"/>
          <w:szCs w:val="32"/>
        </w:rPr>
        <w:t>深圳市坪山区科技创新局管理的园区内共有1块高空广告牌，10块路边广告牌。由于户外广告牌受气候、天气等自然环境因素影响较大，为保障广告牌的安全使用</w:t>
      </w:r>
      <w:r>
        <w:rPr>
          <w:rFonts w:hint="eastAsia" w:ascii="仿宋_GB2312" w:hAnsi="仿宋_GB2312" w:eastAsia="仿宋_GB2312"/>
          <w:spacing w:val="0"/>
          <w:kern w:val="2"/>
          <w:sz w:val="32"/>
          <w:szCs w:val="32"/>
          <w:lang w:eastAsia="zh-CN"/>
        </w:rPr>
        <w:t>，</w:t>
      </w:r>
      <w:r>
        <w:rPr>
          <w:rFonts w:hint="eastAsia" w:ascii="仿宋_GB2312" w:hAnsi="仿宋_GB2312" w:eastAsia="仿宋_GB2312" w:cs="仿宋_GB2312"/>
          <w:sz w:val="32"/>
          <w:szCs w:val="22"/>
        </w:rPr>
        <w:t>我局按照</w:t>
      </w:r>
      <w:r>
        <w:rPr>
          <w:rFonts w:hint="eastAsia" w:ascii="仿宋_GB2312" w:hAnsi="仿宋_GB2312" w:eastAsia="仿宋_GB2312" w:cs="仿宋_GB2312"/>
          <w:sz w:val="32"/>
          <w:szCs w:val="22"/>
          <w:lang w:eastAsia="zh-CN"/>
        </w:rPr>
        <w:t>《深圳经济特区政府采购条例（2019修订）》</w:t>
      </w:r>
      <w:r>
        <w:rPr>
          <w:rFonts w:hint="eastAsia" w:ascii="仿宋_GB2312" w:hAnsi="仿宋_GB2312" w:eastAsia="仿宋_GB2312" w:cs="仿宋_GB2312"/>
          <w:sz w:val="32"/>
          <w:szCs w:val="22"/>
          <w:lang w:val="en-US" w:eastAsia="zh-CN"/>
        </w:rPr>
        <w:t>等法律法规的</w:t>
      </w:r>
      <w:r>
        <w:rPr>
          <w:rFonts w:hint="eastAsia" w:ascii="仿宋_GB2312" w:hAnsi="仿宋_GB2312" w:eastAsia="仿宋_GB2312" w:cs="仿宋_GB2312"/>
          <w:sz w:val="32"/>
          <w:szCs w:val="22"/>
        </w:rPr>
        <w:t>相关要求，</w:t>
      </w:r>
      <w:r>
        <w:rPr>
          <w:rFonts w:hint="eastAsia" w:ascii="仿宋_GB2312" w:hAnsi="仿宋_GB2312" w:eastAsia="仿宋_GB2312"/>
          <w:sz w:val="32"/>
          <w:szCs w:val="32"/>
        </w:rPr>
        <w:t>对</w:t>
      </w:r>
      <w:r>
        <w:rPr>
          <w:rFonts w:hint="eastAsia" w:ascii="仿宋_GB2312" w:hAnsi="仿宋_GB2312" w:eastAsia="仿宋_GB2312" w:cs="仿宋_GB2312"/>
          <w:sz w:val="32"/>
          <w:szCs w:val="22"/>
          <w:lang w:val="en-US" w:eastAsia="zh-CN"/>
        </w:rPr>
        <w:t>上述广告牌定期巡视工作开展采购。</w:t>
      </w:r>
    </w:p>
    <w:p w14:paraId="28CA596C">
      <w:pPr>
        <w:pStyle w:val="3"/>
        <w:keepNext w:val="0"/>
        <w:keepLines w:val="0"/>
        <w:pageBreakBefore w:val="0"/>
        <w:widowControl w:val="0"/>
        <w:numPr>
          <w:ilvl w:val="0"/>
          <w:numId w:val="1"/>
        </w:numPr>
        <w:kinsoku/>
        <w:wordWrap/>
        <w:overflowPunct/>
        <w:topLinePunct w:val="0"/>
        <w:autoSpaceDE/>
        <w:autoSpaceDN/>
        <w:bidi w:val="0"/>
        <w:snapToGrid/>
        <w:spacing w:line="560" w:lineRule="exact"/>
        <w:ind w:firstLine="640" w:firstLineChars="200"/>
        <w:jc w:val="both"/>
        <w:rPr>
          <w:rFonts w:hint="eastAsia" w:ascii="黑体" w:hAnsi="黑体" w:eastAsia="黑体" w:cs="黑体"/>
          <w:bCs/>
          <w:sz w:val="32"/>
          <w:szCs w:val="32"/>
        </w:rPr>
      </w:pPr>
      <w:r>
        <w:rPr>
          <w:rFonts w:hint="eastAsia" w:ascii="黑体" w:hAnsi="黑体" w:eastAsia="黑体" w:cs="黑体"/>
          <w:bCs/>
          <w:sz w:val="32"/>
          <w:szCs w:val="32"/>
        </w:rPr>
        <w:t>采购项目内容</w:t>
      </w:r>
    </w:p>
    <w:p w14:paraId="7CE118DC">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每季度派专人对广告牌构件连接点</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焊缝、螺栓和锚栓</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检查、巡查一次，发现焊缝有裂痕和节点松动，及时通知甲方。</w:t>
      </w:r>
    </w:p>
    <w:p w14:paraId="1714977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在台风后，加强对广告牌结构进行检查，重点是结构强度、刚度，焊缝、广告牌板面连接牢固程度等。（</w:t>
      </w:r>
      <w:r>
        <w:rPr>
          <w:rFonts w:hint="eastAsia" w:ascii="仿宋_GB2312" w:hAnsi="仿宋_GB2312" w:eastAsia="仿宋_GB2312" w:cs="仿宋_GB2312"/>
          <w:spacing w:val="0"/>
          <w:kern w:val="2"/>
          <w:sz w:val="32"/>
          <w:szCs w:val="32"/>
          <w:highlight w:val="none"/>
        </w:rPr>
        <w:t>预计每年</w:t>
      </w:r>
      <w:r>
        <w:rPr>
          <w:rFonts w:hint="eastAsia" w:ascii="仿宋_GB2312" w:hAnsi="仿宋_GB2312" w:eastAsia="仿宋_GB2312" w:cs="仿宋_GB2312"/>
          <w:spacing w:val="0"/>
          <w:kern w:val="2"/>
          <w:sz w:val="32"/>
          <w:szCs w:val="32"/>
          <w:highlight w:val="none"/>
          <w:lang w:val="en-US" w:eastAsia="zh-CN"/>
        </w:rPr>
        <w:t>3</w:t>
      </w:r>
      <w:r>
        <w:rPr>
          <w:rFonts w:hint="eastAsia" w:ascii="仿宋_GB2312" w:hAnsi="仿宋_GB2312" w:eastAsia="仿宋_GB2312" w:cs="仿宋_GB2312"/>
          <w:spacing w:val="0"/>
          <w:kern w:val="2"/>
          <w:sz w:val="32"/>
          <w:szCs w:val="32"/>
          <w:highlight w:val="none"/>
        </w:rPr>
        <w:t>次巡查，按</w:t>
      </w:r>
      <w:r>
        <w:rPr>
          <w:rFonts w:hint="eastAsia" w:ascii="仿宋_GB2312" w:hAnsi="仿宋_GB2312" w:eastAsia="仿宋_GB2312" w:cs="仿宋_GB2312"/>
          <w:spacing w:val="0"/>
          <w:kern w:val="2"/>
          <w:sz w:val="32"/>
          <w:szCs w:val="32"/>
          <w:highlight w:val="none"/>
          <w:lang w:val="en-US" w:eastAsia="zh-CN"/>
        </w:rPr>
        <w:t>3</w:t>
      </w:r>
      <w:r>
        <w:rPr>
          <w:rFonts w:hint="eastAsia" w:ascii="仿宋_GB2312" w:hAnsi="仿宋_GB2312" w:eastAsia="仿宋_GB2312" w:cs="仿宋_GB2312"/>
          <w:spacing w:val="0"/>
          <w:kern w:val="2"/>
          <w:sz w:val="32"/>
          <w:szCs w:val="32"/>
          <w:highlight w:val="none"/>
        </w:rPr>
        <w:t>次/年计费，</w:t>
      </w:r>
      <w:r>
        <w:rPr>
          <w:rFonts w:hint="eastAsia" w:ascii="仿宋_GB2312" w:hAnsi="仿宋_GB2312" w:eastAsia="仿宋_GB2312" w:cs="仿宋_GB2312"/>
          <w:spacing w:val="0"/>
          <w:kern w:val="2"/>
          <w:sz w:val="32"/>
          <w:szCs w:val="32"/>
          <w:highlight w:val="none"/>
          <w:lang w:eastAsia="zh-CN"/>
        </w:rPr>
        <w:t>另若</w:t>
      </w:r>
      <w:r>
        <w:rPr>
          <w:rFonts w:hint="eastAsia" w:ascii="仿宋_GB2312" w:hAnsi="仿宋_GB2312" w:eastAsia="仿宋_GB2312" w:cs="仿宋_GB2312"/>
          <w:spacing w:val="0"/>
          <w:kern w:val="2"/>
          <w:sz w:val="32"/>
          <w:szCs w:val="32"/>
          <w:highlight w:val="none"/>
          <w:lang w:val="en-US" w:eastAsia="zh-CN"/>
        </w:rPr>
        <w:t>30天内两次台风，可视为当季巡查一次。</w:t>
      </w:r>
      <w:r>
        <w:rPr>
          <w:rFonts w:hint="eastAsia" w:ascii="仿宋_GB2312" w:hAnsi="仿宋_GB2312" w:eastAsia="仿宋_GB2312" w:cs="仿宋_GB2312"/>
          <w:spacing w:val="0"/>
          <w:kern w:val="2"/>
          <w:sz w:val="32"/>
          <w:szCs w:val="32"/>
        </w:rPr>
        <w:t>）</w:t>
      </w:r>
    </w:p>
    <w:p w14:paraId="4EE0CDD9">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以上</w:t>
      </w:r>
      <w:r>
        <w:rPr>
          <w:rFonts w:hint="eastAsia" w:ascii="仿宋_GB2312" w:hAnsi="仿宋_GB2312" w:eastAsia="仿宋_GB2312" w:cs="仿宋_GB2312"/>
          <w:spacing w:val="0"/>
          <w:kern w:val="2"/>
          <w:sz w:val="32"/>
          <w:szCs w:val="32"/>
          <w:highlight w:val="none"/>
        </w:rPr>
        <w:t>年度巡查</w:t>
      </w:r>
      <w:r>
        <w:rPr>
          <w:rFonts w:hint="eastAsia" w:ascii="仿宋_GB2312" w:hAnsi="仿宋_GB2312" w:eastAsia="仿宋_GB2312" w:cs="仿宋_GB2312"/>
          <w:spacing w:val="0"/>
          <w:kern w:val="2"/>
          <w:sz w:val="32"/>
          <w:szCs w:val="32"/>
          <w:highlight w:val="none"/>
          <w:lang w:val="en-US" w:eastAsia="zh-CN"/>
        </w:rPr>
        <w:t>7</w:t>
      </w:r>
      <w:r>
        <w:rPr>
          <w:rFonts w:hint="eastAsia" w:ascii="仿宋_GB2312" w:hAnsi="仿宋_GB2312" w:eastAsia="仿宋_GB2312" w:cs="仿宋_GB2312"/>
          <w:spacing w:val="0"/>
          <w:kern w:val="2"/>
          <w:sz w:val="32"/>
          <w:szCs w:val="32"/>
          <w:highlight w:val="none"/>
        </w:rPr>
        <w:t>次/年，</w:t>
      </w:r>
      <w:r>
        <w:rPr>
          <w:rFonts w:hint="eastAsia" w:ascii="仿宋_GB2312" w:hAnsi="仿宋_GB2312" w:eastAsia="仿宋_GB2312" w:cs="仿宋_GB2312"/>
          <w:spacing w:val="0"/>
          <w:kern w:val="2"/>
          <w:sz w:val="32"/>
          <w:szCs w:val="32"/>
        </w:rPr>
        <w:t>如有超出部分，费用另计。</w:t>
      </w:r>
    </w:p>
    <w:p w14:paraId="7D1972D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对路边10块</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高空1块</w:t>
      </w:r>
      <w:r>
        <w:rPr>
          <w:rFonts w:hint="eastAsia" w:ascii="仿宋_GB2312" w:hAnsi="仿宋_GB2312" w:eastAsia="仿宋_GB2312" w:cs="仿宋_GB2312"/>
          <w:spacing w:val="0"/>
          <w:kern w:val="2"/>
          <w:sz w:val="32"/>
          <w:szCs w:val="32"/>
        </w:rPr>
        <w:t>指示牌购买公众责任险</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 w:eastAsia="zh-CN"/>
        </w:rPr>
        <w:t>保额不低于</w:t>
      </w:r>
      <w:r>
        <w:rPr>
          <w:rFonts w:hint="eastAsia" w:ascii="仿宋_GB2312" w:hAnsi="仿宋_GB2312" w:eastAsia="仿宋_GB2312" w:cs="仿宋_GB2312"/>
          <w:spacing w:val="0"/>
          <w:kern w:val="2"/>
          <w:sz w:val="32"/>
          <w:szCs w:val="32"/>
          <w:lang w:val="en-US" w:eastAsia="zh-CN"/>
        </w:rPr>
        <w:t>100万元）</w:t>
      </w:r>
      <w:r>
        <w:rPr>
          <w:rFonts w:hint="eastAsia" w:ascii="仿宋_GB2312" w:hAnsi="仿宋_GB2312" w:eastAsia="仿宋_GB2312" w:cs="仿宋_GB2312"/>
          <w:spacing w:val="0"/>
          <w:kern w:val="2"/>
          <w:sz w:val="32"/>
          <w:szCs w:val="32"/>
        </w:rPr>
        <w:t>。</w:t>
      </w:r>
    </w:p>
    <w:p w14:paraId="11351F23">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spacing w:val="0"/>
          <w:kern w:val="2"/>
          <w:sz w:val="32"/>
          <w:szCs w:val="32"/>
        </w:rPr>
      </w:pPr>
      <w:r>
        <w:rPr>
          <w:rFonts w:hint="eastAsia" w:ascii="仿宋_GB2312" w:hAnsi="仿宋_GB2312" w:eastAsia="仿宋_GB2312" w:cs="仿宋_GB2312"/>
          <w:spacing w:val="0"/>
          <w:kern w:val="2"/>
          <w:sz w:val="32"/>
          <w:szCs w:val="32"/>
        </w:rPr>
        <w:t>如甲方需要对标识牌进行专业鉴定，费用另计。</w:t>
      </w:r>
    </w:p>
    <w:p w14:paraId="3C6D7EEB">
      <w:pPr>
        <w:pStyle w:val="3"/>
        <w:keepNext w:val="0"/>
        <w:keepLines w:val="0"/>
        <w:pageBreakBefore w:val="0"/>
        <w:widowControl w:val="0"/>
        <w:numPr>
          <w:ilvl w:val="0"/>
          <w:numId w:val="1"/>
        </w:numPr>
        <w:kinsoku/>
        <w:wordWrap/>
        <w:overflowPunct/>
        <w:topLinePunct w:val="0"/>
        <w:autoSpaceDE/>
        <w:autoSpaceDN/>
        <w:bidi w:val="0"/>
        <w:snapToGrid/>
        <w:spacing w:line="560" w:lineRule="exact"/>
        <w:ind w:firstLine="640" w:firstLineChars="200"/>
        <w:jc w:val="both"/>
        <w:rPr>
          <w:rFonts w:hint="eastAsia" w:ascii="黑体" w:hAnsi="黑体" w:eastAsia="黑体" w:cs="黑体"/>
          <w:bCs/>
          <w:sz w:val="32"/>
          <w:szCs w:val="32"/>
        </w:rPr>
      </w:pPr>
      <w:r>
        <w:rPr>
          <w:rFonts w:hint="eastAsia" w:ascii="黑体" w:hAnsi="黑体" w:eastAsia="黑体" w:cs="黑体"/>
          <w:bCs/>
          <w:sz w:val="32"/>
          <w:szCs w:val="32"/>
        </w:rPr>
        <w:t>商务需求</w:t>
      </w:r>
    </w:p>
    <w:p w14:paraId="651A9D57">
      <w:pPr>
        <w:keepNext w:val="0"/>
        <w:keepLines w:val="0"/>
        <w:pageBreakBefore w:val="0"/>
        <w:widowControl w:val="0"/>
        <w:numPr>
          <w:ilvl w:val="0"/>
          <w:numId w:val="3"/>
        </w:numPr>
        <w:kinsoku/>
        <w:wordWrap/>
        <w:overflowPunct/>
        <w:topLinePunct w:val="0"/>
        <w:autoSpaceDE/>
        <w:autoSpaceDN/>
        <w:bidi w:val="0"/>
        <w:snapToGrid/>
        <w:spacing w:line="560" w:lineRule="exact"/>
        <w:ind w:left="0" w:leftChars="0" w:firstLine="640" w:firstLineChars="200"/>
        <w:jc w:val="left"/>
        <w:rPr>
          <w:rFonts w:hint="eastAsia" w:ascii="楷体_GB2312" w:hAnsi="楷体_GB2312" w:eastAsia="楷体_GB2312" w:cs="楷体_GB2312"/>
          <w:sz w:val="32"/>
          <w:szCs w:val="22"/>
        </w:rPr>
      </w:pPr>
      <w:r>
        <w:rPr>
          <w:rFonts w:hint="eastAsia" w:ascii="楷体_GB2312" w:hAnsi="楷体_GB2312" w:eastAsia="楷体_GB2312" w:cs="楷体_GB2312"/>
          <w:sz w:val="32"/>
          <w:szCs w:val="22"/>
        </w:rPr>
        <w:t>服务期：</w:t>
      </w:r>
      <w:r>
        <w:rPr>
          <w:rFonts w:hint="eastAsia" w:ascii="楷体_GB2312" w:hAnsi="楷体_GB2312" w:eastAsia="楷体_GB2312" w:cs="楷体_GB2312"/>
          <w:sz w:val="32"/>
          <w:szCs w:val="22"/>
          <w:lang w:eastAsia="zh-CN"/>
        </w:rPr>
        <w:t>自</w:t>
      </w:r>
      <w:r>
        <w:rPr>
          <w:rFonts w:hint="eastAsia" w:ascii="楷体_GB2312" w:hAnsi="楷体_GB2312" w:eastAsia="楷体_GB2312" w:cs="楷体_GB2312"/>
          <w:sz w:val="32"/>
          <w:szCs w:val="22"/>
        </w:rPr>
        <w:t xml:space="preserve">合同签订之日起一年内 </w:t>
      </w:r>
    </w:p>
    <w:p w14:paraId="056DCA7E">
      <w:pPr>
        <w:keepNext w:val="0"/>
        <w:keepLines w:val="0"/>
        <w:pageBreakBefore w:val="0"/>
        <w:widowControl w:val="0"/>
        <w:numPr>
          <w:ilvl w:val="0"/>
          <w:numId w:val="3"/>
        </w:numPr>
        <w:kinsoku/>
        <w:wordWrap/>
        <w:overflowPunct/>
        <w:topLinePunct w:val="0"/>
        <w:autoSpaceDE/>
        <w:autoSpaceDN/>
        <w:bidi w:val="0"/>
        <w:snapToGrid/>
        <w:spacing w:line="560" w:lineRule="exact"/>
        <w:ind w:left="0" w:leftChars="0" w:firstLine="640" w:firstLineChars="200"/>
        <w:jc w:val="left"/>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rPr>
        <w:t>服务地点：</w:t>
      </w:r>
      <w:r>
        <w:rPr>
          <w:rFonts w:hint="eastAsia" w:ascii="楷体_GB2312" w:hAnsi="楷体_GB2312" w:eastAsia="楷体_GB2312" w:cs="楷体_GB2312"/>
          <w:sz w:val="32"/>
          <w:szCs w:val="22"/>
          <w:lang w:val="en-US" w:eastAsia="zh-CN"/>
        </w:rPr>
        <w:t>深圳市坪山高新区内</w:t>
      </w:r>
    </w:p>
    <w:p w14:paraId="4D9DE7AE">
      <w:pPr>
        <w:keepNext w:val="0"/>
        <w:keepLines w:val="0"/>
        <w:pageBreakBefore w:val="0"/>
        <w:widowControl w:val="0"/>
        <w:numPr>
          <w:ilvl w:val="0"/>
          <w:numId w:val="3"/>
        </w:numPr>
        <w:kinsoku/>
        <w:wordWrap/>
        <w:overflowPunct/>
        <w:topLinePunct w:val="0"/>
        <w:autoSpaceDE/>
        <w:autoSpaceDN/>
        <w:bidi w:val="0"/>
        <w:snapToGrid/>
        <w:spacing w:line="560" w:lineRule="exact"/>
        <w:ind w:left="0" w:leftChars="0" w:firstLine="640" w:firstLineChars="200"/>
        <w:jc w:val="left"/>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预算限额：</w:t>
      </w:r>
      <w:r>
        <w:rPr>
          <w:rFonts w:hint="eastAsia" w:ascii="楷体_GB2312" w:hAnsi="楷体_GB2312" w:eastAsia="楷体_GB2312" w:cs="楷体_GB2312"/>
          <w:sz w:val="32"/>
          <w:szCs w:val="22"/>
          <w:lang w:val="en-US" w:eastAsia="zh-CN"/>
        </w:rPr>
        <w:t>人民币5.6万元整</w:t>
      </w:r>
    </w:p>
    <w:p w14:paraId="7405E57A">
      <w:pPr>
        <w:keepNext w:val="0"/>
        <w:keepLines w:val="0"/>
        <w:pageBreakBefore w:val="0"/>
        <w:widowControl w:val="0"/>
        <w:numPr>
          <w:ilvl w:val="0"/>
          <w:numId w:val="3"/>
        </w:numPr>
        <w:kinsoku/>
        <w:wordWrap/>
        <w:overflowPunct/>
        <w:topLinePunct w:val="0"/>
        <w:autoSpaceDE/>
        <w:autoSpaceDN/>
        <w:bidi w:val="0"/>
        <w:snapToGrid/>
        <w:spacing w:line="560" w:lineRule="exact"/>
        <w:ind w:left="0" w:leftChars="0" w:firstLine="640" w:firstLineChars="200"/>
        <w:jc w:val="left"/>
        <w:rPr>
          <w:rFonts w:hint="eastAsia" w:ascii="楷体_GB2312" w:hAnsi="楷体_GB2312" w:eastAsia="楷体_GB2312" w:cs="楷体_GB2312"/>
          <w:sz w:val="32"/>
          <w:szCs w:val="22"/>
        </w:rPr>
      </w:pPr>
      <w:r>
        <w:rPr>
          <w:rFonts w:hint="eastAsia" w:ascii="楷体_GB2312" w:hAnsi="楷体_GB2312" w:eastAsia="楷体_GB2312" w:cs="楷体_GB2312"/>
          <w:sz w:val="32"/>
          <w:szCs w:val="22"/>
        </w:rPr>
        <w:t>截止响应时间：202</w:t>
      </w:r>
      <w:r>
        <w:rPr>
          <w:rFonts w:hint="eastAsia" w:ascii="楷体_GB2312" w:hAnsi="楷体_GB2312" w:eastAsia="楷体_GB2312" w:cs="楷体_GB2312"/>
          <w:sz w:val="32"/>
          <w:szCs w:val="22"/>
          <w:lang w:val="en-US" w:eastAsia="zh-CN"/>
        </w:rPr>
        <w:t>6</w:t>
      </w:r>
      <w:r>
        <w:rPr>
          <w:rFonts w:hint="eastAsia" w:ascii="楷体_GB2312" w:hAnsi="楷体_GB2312" w:eastAsia="楷体_GB2312" w:cs="楷体_GB2312"/>
          <w:sz w:val="32"/>
          <w:szCs w:val="22"/>
        </w:rPr>
        <w:t>年</w:t>
      </w:r>
      <w:r>
        <w:rPr>
          <w:rFonts w:hint="eastAsia" w:ascii="楷体_GB2312" w:hAnsi="楷体_GB2312" w:eastAsia="楷体_GB2312" w:cs="楷体_GB2312"/>
          <w:sz w:val="32"/>
          <w:szCs w:val="22"/>
          <w:lang w:val="en-US" w:eastAsia="zh-CN"/>
        </w:rPr>
        <w:t>7</w:t>
      </w:r>
      <w:r>
        <w:rPr>
          <w:rFonts w:hint="eastAsia" w:ascii="楷体_GB2312" w:hAnsi="楷体_GB2312" w:eastAsia="楷体_GB2312" w:cs="楷体_GB2312"/>
          <w:sz w:val="32"/>
          <w:szCs w:val="22"/>
        </w:rPr>
        <w:t>月</w:t>
      </w:r>
      <w:r>
        <w:rPr>
          <w:rFonts w:hint="eastAsia" w:ascii="楷体_GB2312" w:hAnsi="楷体_GB2312" w:eastAsia="楷体_GB2312" w:cs="楷体_GB2312"/>
          <w:sz w:val="32"/>
          <w:szCs w:val="22"/>
          <w:lang w:val="en-US" w:eastAsia="zh-CN"/>
        </w:rPr>
        <w:t>3</w:t>
      </w:r>
      <w:r>
        <w:rPr>
          <w:rFonts w:hint="eastAsia" w:ascii="楷体_GB2312" w:hAnsi="楷体_GB2312" w:eastAsia="楷体_GB2312" w:cs="楷体_GB2312"/>
          <w:sz w:val="32"/>
          <w:szCs w:val="22"/>
        </w:rPr>
        <w:t>日17时止</w:t>
      </w:r>
    </w:p>
    <w:p w14:paraId="73BA17F1">
      <w:pPr>
        <w:keepNext w:val="0"/>
        <w:keepLines w:val="0"/>
        <w:pageBreakBefore w:val="0"/>
        <w:widowControl w:val="0"/>
        <w:numPr>
          <w:ilvl w:val="0"/>
          <w:numId w:val="3"/>
        </w:numPr>
        <w:kinsoku/>
        <w:wordWrap/>
        <w:overflowPunct/>
        <w:topLinePunct w:val="0"/>
        <w:autoSpaceDE/>
        <w:autoSpaceDN/>
        <w:bidi w:val="0"/>
        <w:snapToGrid/>
        <w:spacing w:line="560" w:lineRule="exact"/>
        <w:ind w:left="0" w:leftChars="0" w:firstLine="640" w:firstLineChars="200"/>
        <w:jc w:val="left"/>
        <w:rPr>
          <w:rFonts w:hint="eastAsia" w:ascii="楷体_GB2312" w:hAnsi="楷体_GB2312" w:eastAsia="楷体_GB2312" w:cs="楷体_GB2312"/>
          <w:sz w:val="32"/>
          <w:szCs w:val="22"/>
        </w:rPr>
      </w:pPr>
      <w:r>
        <w:rPr>
          <w:rFonts w:hint="eastAsia" w:ascii="楷体_GB2312" w:hAnsi="楷体_GB2312" w:eastAsia="楷体_GB2312" w:cs="楷体_GB2312"/>
          <w:sz w:val="32"/>
          <w:szCs w:val="22"/>
        </w:rPr>
        <w:t>报价要求：</w:t>
      </w:r>
    </w:p>
    <w:p w14:paraId="6424DAB7">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ascii="仿宋_GB2312" w:hAnsi="仿宋_GB2312" w:eastAsia="仿宋_GB2312" w:cs="仿宋_GB2312"/>
          <w:sz w:val="32"/>
          <w:szCs w:val="22"/>
        </w:rPr>
      </w:pPr>
      <w:r>
        <w:rPr>
          <w:rFonts w:hint="eastAsia" w:ascii="仿宋_GB2312" w:hAnsi="仿宋_GB2312" w:eastAsia="仿宋_GB2312" w:cs="仿宋_GB2312"/>
          <w:sz w:val="32"/>
          <w:szCs w:val="22"/>
        </w:rPr>
        <w:t>1.本项目服务费采用包干制，应包括服务成本、法定税费和企业的利润。由企业根据采购文件所提供的资料自行测算投标报价；一经中选，报价总价作为中选单位与采购人</w:t>
      </w:r>
      <w:r>
        <w:rPr>
          <w:rFonts w:hint="eastAsia" w:ascii="仿宋_GB2312" w:hAnsi="仿宋_GB2312" w:eastAsia="仿宋_GB2312" w:cs="仿宋_GB2312"/>
          <w:sz w:val="32"/>
          <w:szCs w:val="22"/>
          <w:lang w:eastAsia="zh-CN"/>
        </w:rPr>
        <w:t>签订</w:t>
      </w:r>
      <w:r>
        <w:rPr>
          <w:rFonts w:hint="eastAsia" w:ascii="仿宋_GB2312" w:hAnsi="仿宋_GB2312" w:eastAsia="仿宋_GB2312" w:cs="仿宋_GB2312"/>
          <w:sz w:val="32"/>
          <w:szCs w:val="22"/>
        </w:rPr>
        <w:t>的合同金额，合同期限内不</w:t>
      </w:r>
      <w:r>
        <w:rPr>
          <w:rFonts w:hint="eastAsia" w:ascii="仿宋_GB2312" w:hAnsi="仿宋_GB2312" w:eastAsia="仿宋_GB2312" w:cs="仿宋_GB2312"/>
          <w:sz w:val="32"/>
          <w:szCs w:val="22"/>
          <w:lang w:eastAsia="zh-CN"/>
        </w:rPr>
        <w:t>作</w:t>
      </w:r>
      <w:r>
        <w:rPr>
          <w:rFonts w:hint="eastAsia" w:ascii="仿宋_GB2312" w:hAnsi="仿宋_GB2312" w:eastAsia="仿宋_GB2312" w:cs="仿宋_GB2312"/>
          <w:sz w:val="32"/>
          <w:szCs w:val="22"/>
        </w:rPr>
        <w:t>调整；</w:t>
      </w:r>
    </w:p>
    <w:p w14:paraId="3FCC2A8B">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ascii="仿宋_GB2312" w:hAnsi="仿宋_GB2312" w:eastAsia="仿宋_GB2312" w:cs="仿宋_GB2312"/>
          <w:sz w:val="32"/>
          <w:szCs w:val="22"/>
        </w:rPr>
      </w:pPr>
      <w:r>
        <w:rPr>
          <w:rFonts w:hint="eastAsia" w:ascii="仿宋_GB2312" w:hAnsi="仿宋_GB2312" w:eastAsia="仿宋_GB2312" w:cs="仿宋_GB2312"/>
          <w:sz w:val="32"/>
          <w:szCs w:val="22"/>
        </w:rPr>
        <w:t>2.响应人应根据本企业的成本自行决定报价，但不得以低于其企业成本的报价投标；</w:t>
      </w:r>
    </w:p>
    <w:p w14:paraId="3E4860EE">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ascii="仿宋_GB2312" w:hAnsi="仿宋_GB2312" w:eastAsia="仿宋_GB2312" w:cs="仿宋_GB2312"/>
          <w:sz w:val="32"/>
          <w:szCs w:val="22"/>
        </w:rPr>
      </w:pPr>
      <w:r>
        <w:rPr>
          <w:rFonts w:hint="eastAsia" w:ascii="仿宋_GB2312" w:hAnsi="仿宋_GB2312" w:eastAsia="仿宋_GB2312" w:cs="仿宋_GB2312"/>
          <w:sz w:val="32"/>
          <w:szCs w:val="22"/>
        </w:rPr>
        <w:t>3.响应人的报价不得超过财政预算限额；</w:t>
      </w:r>
    </w:p>
    <w:p w14:paraId="7A8369B4">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ascii="仿宋_GB2312" w:hAnsi="仿宋_GB2312" w:eastAsia="仿宋_GB2312" w:cs="仿宋_GB2312"/>
          <w:sz w:val="32"/>
          <w:szCs w:val="22"/>
        </w:rPr>
      </w:pPr>
      <w:r>
        <w:rPr>
          <w:rFonts w:hint="eastAsia" w:ascii="仿宋_GB2312" w:hAnsi="仿宋_GB2312" w:eastAsia="仿宋_GB2312" w:cs="仿宋_GB2312"/>
          <w:sz w:val="32"/>
          <w:szCs w:val="22"/>
        </w:rPr>
        <w:t>4.响应人的报价，应是本项目采购范围和采购文件及合同条款上所列的各项内容中所述的全部，不得以任何理由予以重复，并以响应人最终提出的综合单价或总价为依据；</w:t>
      </w:r>
    </w:p>
    <w:p w14:paraId="6ADE51FE">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22"/>
        </w:rPr>
        <w:t>5.除非采购人通过修改采购文件予以更正，否则，响应</w:t>
      </w:r>
      <w:r>
        <w:rPr>
          <w:rFonts w:hint="eastAsia" w:ascii="仿宋_GB2312" w:hAnsi="仿宋_GB2312" w:eastAsia="仿宋_GB2312" w:cs="仿宋_GB2312"/>
          <w:sz w:val="32"/>
          <w:szCs w:val="32"/>
        </w:rPr>
        <w:t>人应毫无例外地按响应文件所列的清单中项目和数量填报综合单价和合价。响应人未填综合单价或合价的项目，在实施后，将不得以支付，并视作该项费用已包括在其它有价款的综合单价或合价内；</w:t>
      </w:r>
    </w:p>
    <w:p w14:paraId="1A9BF9B7">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rPr>
        <w:t>6.响应人</w:t>
      </w:r>
      <w:r>
        <w:rPr>
          <w:rFonts w:hint="eastAsia" w:ascii="仿宋_GB2312" w:hAnsi="仿宋_GB2312" w:eastAsia="仿宋_GB2312" w:cs="仿宋_GB2312"/>
          <w:sz w:val="32"/>
          <w:szCs w:val="32"/>
          <w:highlight w:val="none"/>
          <w:lang w:eastAsia="zh-CN"/>
        </w:rPr>
        <w:t>应</w:t>
      </w:r>
      <w:r>
        <w:rPr>
          <w:rFonts w:hint="eastAsia" w:ascii="仿宋_GB2312" w:hAnsi="仿宋_GB2312" w:eastAsia="仿宋_GB2312" w:cs="仿宋_GB2312"/>
          <w:sz w:val="32"/>
          <w:szCs w:val="32"/>
          <w:highlight w:val="none"/>
        </w:rPr>
        <w:t>充分了解项目的位置、情况、道路及任何其它足以影响投标报价的情况，任何因忽视或误解项目情况而导致的索赔或服务期限延长申请将不获批准；</w:t>
      </w:r>
    </w:p>
    <w:p w14:paraId="69634482">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7.响应人不得期望通过索赔等方式获取补偿，否则，除可能遭到拒绝外，还可能将被作为不良行为记录在案，并可能影响其以后参加政府采购的项目投标。各响应人在报价时，应充分考虑报价的风险</w:t>
      </w:r>
      <w:r>
        <w:rPr>
          <w:rFonts w:hint="eastAsia" w:ascii="仿宋_GB2312" w:hAnsi="仿宋_GB2312" w:eastAsia="仿宋_GB2312" w:cs="仿宋_GB2312"/>
          <w:sz w:val="32"/>
          <w:szCs w:val="32"/>
          <w:lang w:eastAsia="zh-CN"/>
        </w:rPr>
        <w:t>；</w:t>
      </w:r>
    </w:p>
    <w:p w14:paraId="472B2E4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pPr>
      <w:r>
        <w:rPr>
          <w:rFonts w:hint="eastAsia" w:ascii="仿宋_GB2312" w:hAnsi="仿宋_GB2312" w:eastAsia="仿宋_GB2312" w:cs="仿宋_GB2312"/>
          <w:sz w:val="32"/>
          <w:szCs w:val="32"/>
        </w:rPr>
        <w:t>8.付款方式：</w:t>
      </w:r>
      <w:r>
        <w:rPr>
          <w:rFonts w:hint="eastAsia" w:ascii="仿宋_GB2312" w:hAnsi="仿宋_GB2312" w:eastAsia="仿宋_GB2312" w:cs="仿宋_GB2312"/>
          <w:b w:val="0"/>
          <w:bCs w:val="0"/>
          <w:kern w:val="2"/>
          <w:sz w:val="32"/>
          <w:szCs w:val="32"/>
          <w:lang w:val="en-US" w:eastAsia="zh-CN"/>
        </w:rPr>
        <w:t>本项目以分期付款方式进行支付，在确定服务机构并签订合同后，收到服务机构开具的合法有效的发票后支</w:t>
      </w:r>
      <w:r>
        <w:rPr>
          <w:rFonts w:hint="eastAsia" w:ascii="仿宋_GB2312" w:hAnsi="仿宋_GB2312" w:eastAsia="仿宋_GB2312" w:cs="仿宋_GB2312"/>
          <w:sz w:val="32"/>
          <w:szCs w:val="32"/>
          <w:lang w:val="en-US" w:eastAsia="zh-CN"/>
        </w:rPr>
        <w:t>付合同总额的70%，剩余的30%</w:t>
      </w:r>
      <w:r>
        <w:rPr>
          <w:rFonts w:hint="eastAsia" w:ascii="仿宋_GB2312" w:hAnsi="仿宋_GB2312" w:eastAsia="仿宋_GB2312" w:cs="仿宋_GB2312"/>
          <w:color w:val="000000"/>
          <w:sz w:val="32"/>
          <w:szCs w:val="32"/>
        </w:rPr>
        <w:t>提交本合同约定</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sz w:val="32"/>
          <w:szCs w:val="32"/>
          <w:lang w:val="en-US" w:eastAsia="zh-CN"/>
        </w:rPr>
        <w:t>巡视检查记录、报告，</w:t>
      </w:r>
      <w:r>
        <w:rPr>
          <w:rFonts w:hint="eastAsia" w:ascii="仿宋_GB2312" w:hAnsi="仿宋_GB2312" w:eastAsia="仿宋_GB2312" w:cs="仿宋_GB2312"/>
          <w:color w:val="000000"/>
          <w:sz w:val="32"/>
          <w:szCs w:val="32"/>
        </w:rPr>
        <w:t>经</w:t>
      </w:r>
      <w:r>
        <w:rPr>
          <w:rFonts w:hint="eastAsia" w:ascii="仿宋_GB2312" w:hAnsi="仿宋_GB2312" w:eastAsia="仿宋_GB2312" w:cs="仿宋_GB2312"/>
          <w:color w:val="000000"/>
          <w:sz w:val="32"/>
          <w:szCs w:val="32"/>
          <w:lang w:eastAsia="zh-CN"/>
        </w:rPr>
        <w:t>科创局</w:t>
      </w:r>
      <w:r>
        <w:rPr>
          <w:rFonts w:hint="eastAsia" w:ascii="仿宋_GB2312" w:hAnsi="仿宋_GB2312" w:eastAsia="仿宋_GB2312" w:cs="仿宋_GB2312"/>
          <w:color w:val="000000"/>
          <w:sz w:val="32"/>
          <w:szCs w:val="32"/>
        </w:rPr>
        <w:t>验收合格确认，并收到</w:t>
      </w:r>
      <w:r>
        <w:rPr>
          <w:rFonts w:hint="eastAsia" w:ascii="仿宋_GB2312" w:hAnsi="仿宋_GB2312" w:eastAsia="仿宋_GB2312" w:cs="仿宋_GB2312"/>
          <w:color w:val="000000"/>
          <w:sz w:val="32"/>
          <w:szCs w:val="32"/>
          <w:lang w:eastAsia="zh-CN"/>
        </w:rPr>
        <w:t>服务机构开具的合法有效的发票</w:t>
      </w:r>
      <w:r>
        <w:rPr>
          <w:rFonts w:hint="eastAsia" w:ascii="仿宋_GB2312" w:hAnsi="仿宋_GB2312" w:eastAsia="仿宋_GB2312" w:cs="仿宋_GB2312"/>
          <w:color w:val="000000"/>
          <w:sz w:val="32"/>
          <w:szCs w:val="32"/>
        </w:rPr>
        <w:t>后付清，税费由</w:t>
      </w:r>
      <w:r>
        <w:rPr>
          <w:rFonts w:hint="eastAsia" w:ascii="仿宋_GB2312" w:hAnsi="仿宋_GB2312" w:eastAsia="仿宋_GB2312" w:cs="仿宋_GB2312"/>
          <w:color w:val="000000"/>
          <w:sz w:val="32"/>
          <w:szCs w:val="32"/>
          <w:lang w:val="en-US" w:eastAsia="zh-CN"/>
        </w:rPr>
        <w:t>服务机构</w:t>
      </w:r>
      <w:r>
        <w:rPr>
          <w:rFonts w:hint="eastAsia" w:ascii="仿宋_GB2312" w:hAnsi="仿宋_GB2312" w:eastAsia="仿宋_GB2312" w:cs="仿宋_GB2312"/>
          <w:color w:val="000000"/>
          <w:sz w:val="32"/>
          <w:szCs w:val="32"/>
        </w:rPr>
        <w:t>承担</w:t>
      </w:r>
      <w:r>
        <w:rPr>
          <w:rFonts w:hint="eastAsia" w:ascii="仿宋_GB2312" w:hAnsi="仿宋_GB2312" w:eastAsia="仿宋_GB2312" w:cs="仿宋_GB2312"/>
          <w:color w:val="000000"/>
          <w:sz w:val="32"/>
          <w:szCs w:val="32"/>
          <w:lang w:eastAsia="zh-CN"/>
        </w:rPr>
        <w:t>；</w:t>
      </w:r>
    </w:p>
    <w:p w14:paraId="31CE401E">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9.违约责任：任何一方违约，均应赔偿守约方全部损失。响应人未按合同要约按时提交巡查记录，且催告两次后仍未提交的，科创局有权单方解除合同，并要求一方承担合同总额20%的违约责任。</w:t>
      </w:r>
    </w:p>
    <w:p w14:paraId="2DFF6D48">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仿宋_GB2312" w:hAnsi="仿宋_GB2312" w:eastAsia="仿宋_GB2312" w:cs="仿宋_GB2312"/>
          <w:b w:val="0"/>
          <w:bCs w:val="0"/>
          <w:kern w:val="2"/>
          <w:sz w:val="32"/>
          <w:szCs w:val="32"/>
          <w:lang w:val="en-US" w:eastAsia="zh-CN"/>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.其他：</w:t>
      </w:r>
      <w:r>
        <w:rPr>
          <w:rFonts w:hint="eastAsia" w:ascii="仿宋_GB2312" w:hAnsi="仿宋_GB2312" w:eastAsia="仿宋_GB2312" w:cs="仿宋_GB2312"/>
          <w:b w:val="0"/>
          <w:bCs w:val="0"/>
          <w:kern w:val="2"/>
          <w:sz w:val="32"/>
          <w:szCs w:val="32"/>
          <w:lang w:val="en-US" w:eastAsia="zh-CN"/>
        </w:rPr>
        <w:t>采购项目响应文件中应包含《深圳市坪山区科技创新局采购项目登记表》（须放首页）、《中小企业声明函》（附件1，若投标供应商为中小企业需填写）、《供应商基本情况表》（附件2）等，应当真实完整填写信息并加盖公章。</w:t>
      </w:r>
    </w:p>
    <w:p w14:paraId="19190F6E">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lang w:val="en-US"/>
        </w:rPr>
      </w:pPr>
      <w:r>
        <w:rPr>
          <w:rFonts w:hint="eastAsia" w:ascii="仿宋_GB2312" w:hAnsi="仿宋_GB2312" w:eastAsia="仿宋_GB2312" w:cs="仿宋_GB2312"/>
          <w:b w:val="0"/>
          <w:bCs w:val="0"/>
          <w:kern w:val="2"/>
          <w:sz w:val="32"/>
          <w:szCs w:val="32"/>
          <w:lang w:val="en-US" w:eastAsia="zh-CN"/>
        </w:rPr>
        <w:t>11.</w:t>
      </w:r>
      <w:r>
        <w:rPr>
          <w:rFonts w:hint="eastAsia" w:ascii="仿宋_GB2312" w:hAnsi="仿宋_GB2312" w:eastAsia="仿宋_GB2312" w:cs="仿宋_GB2312"/>
          <w:sz w:val="32"/>
          <w:szCs w:val="32"/>
          <w:lang w:val="en-US" w:eastAsia="zh-CN"/>
        </w:rPr>
        <w:t>响应供应商IP/MAC地址相同，或者加盖其他供应商签章等情形直接作无效投标处理。</w:t>
      </w:r>
    </w:p>
    <w:p w14:paraId="3FBD96CD">
      <w:pPr>
        <w:pStyle w:val="3"/>
        <w:keepNext w:val="0"/>
        <w:keepLines w:val="0"/>
        <w:pageBreakBefore w:val="0"/>
        <w:widowControl w:val="0"/>
        <w:numPr>
          <w:numId w:val="0"/>
        </w:numPr>
        <w:kinsoku/>
        <w:wordWrap/>
        <w:overflowPunct/>
        <w:topLinePunct w:val="0"/>
        <w:autoSpaceDE/>
        <w:autoSpaceDN/>
        <w:bidi w:val="0"/>
        <w:snapToGrid/>
        <w:spacing w:line="560" w:lineRule="exact"/>
        <w:ind w:firstLine="640" w:firstLineChars="200"/>
        <w:jc w:val="both"/>
        <w:rPr>
          <w:rFonts w:hint="eastAsia" w:ascii="宋体" w:hAnsi="宋体" w:eastAsia="宋体"/>
          <w:b/>
          <w:bCs/>
          <w:color w:val="000000"/>
          <w:szCs w:val="21"/>
        </w:rPr>
      </w:pPr>
      <w:r>
        <w:rPr>
          <w:rFonts w:hint="eastAsia" w:ascii="黑体" w:hAnsi="黑体" w:eastAsia="黑体" w:cs="黑体"/>
          <w:bCs/>
          <w:sz w:val="32"/>
          <w:szCs w:val="32"/>
          <w:lang w:val="en-US" w:eastAsia="zh-CN"/>
        </w:rPr>
        <w:t>四、</w:t>
      </w:r>
      <w:r>
        <w:rPr>
          <w:rFonts w:hint="eastAsia" w:ascii="黑体" w:hAnsi="黑体" w:eastAsia="黑体" w:cs="黑体"/>
          <w:bCs/>
          <w:sz w:val="32"/>
          <w:szCs w:val="32"/>
        </w:rPr>
        <w:t>评标方法</w:t>
      </w:r>
    </w:p>
    <w:p w14:paraId="493BD3B4">
      <w:pPr>
        <w:pageBreakBefore w:val="0"/>
        <w:kinsoku/>
        <w:wordWrap/>
        <w:overflowPunct/>
        <w:topLinePunct w:val="0"/>
        <w:autoSpaceDE/>
        <w:autoSpaceDN/>
        <w:bidi w:val="0"/>
        <w:spacing w:before="156" w:beforeLines="50" w:after="156" w:afterLines="50" w:line="560" w:lineRule="exact"/>
        <w:jc w:val="center"/>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评分细则表</w:t>
      </w:r>
    </w:p>
    <w:tbl>
      <w:tblPr>
        <w:tblStyle w:val="10"/>
        <w:tblW w:w="1021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01"/>
        <w:gridCol w:w="1245"/>
        <w:gridCol w:w="881"/>
        <w:gridCol w:w="6255"/>
        <w:gridCol w:w="1134"/>
      </w:tblGrid>
      <w:tr w14:paraId="5153F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9082" w:type="dxa"/>
            <w:gridSpan w:val="4"/>
            <w:noWrap w:val="0"/>
            <w:vAlign w:val="center"/>
          </w:tcPr>
          <w:p w14:paraId="4B5CC0E1">
            <w:pPr>
              <w:pageBreakBefore w:val="0"/>
              <w:overflowPunct/>
              <w:topLinePunct w:val="0"/>
              <w:autoSpaceDE w:val="0"/>
              <w:autoSpaceDN w:val="0"/>
              <w:bidi w:val="0"/>
              <w:adjustRightInd w:val="0"/>
              <w:spacing w:line="560" w:lineRule="exact"/>
              <w:jc w:val="center"/>
              <w:rPr>
                <w:rFonts w:ascii="宋体" w:hAnsi="宋体" w:eastAsia="宋体"/>
                <w:b/>
                <w:color w:val="000000"/>
                <w:szCs w:val="21"/>
                <w:lang w:val="zh-CN"/>
              </w:rPr>
            </w:pPr>
            <w:r>
              <w:rPr>
                <w:rFonts w:hint="eastAsia" w:ascii="宋体" w:hAnsi="宋体" w:eastAsia="宋体"/>
                <w:b/>
                <w:color w:val="000000"/>
                <w:szCs w:val="21"/>
                <w:lang w:val="zh-CN"/>
              </w:rPr>
              <w:t>评分项及评分规则</w:t>
            </w:r>
          </w:p>
        </w:tc>
        <w:tc>
          <w:tcPr>
            <w:tcW w:w="1134" w:type="dxa"/>
            <w:noWrap w:val="0"/>
            <w:vAlign w:val="center"/>
          </w:tcPr>
          <w:p w14:paraId="13A6C286">
            <w:pPr>
              <w:pageBreakBefore w:val="0"/>
              <w:overflowPunct/>
              <w:topLinePunct w:val="0"/>
              <w:autoSpaceDE w:val="0"/>
              <w:autoSpaceDN w:val="0"/>
              <w:bidi w:val="0"/>
              <w:adjustRightInd w:val="0"/>
              <w:spacing w:line="560" w:lineRule="exact"/>
              <w:jc w:val="center"/>
              <w:rPr>
                <w:rFonts w:hint="eastAsia" w:ascii="宋体" w:hAnsi="宋体" w:eastAsia="宋体"/>
                <w:b/>
                <w:color w:val="000000"/>
                <w:szCs w:val="21"/>
                <w:lang w:val="zh-CN"/>
              </w:rPr>
            </w:pPr>
            <w:r>
              <w:rPr>
                <w:rFonts w:hint="eastAsia" w:ascii="宋体" w:hAnsi="宋体" w:eastAsia="宋体"/>
                <w:b/>
                <w:color w:val="000000"/>
                <w:szCs w:val="21"/>
                <w:lang w:val="zh-CN"/>
              </w:rPr>
              <w:t>权重</w:t>
            </w:r>
          </w:p>
        </w:tc>
      </w:tr>
      <w:tr w14:paraId="2D787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9082" w:type="dxa"/>
            <w:gridSpan w:val="4"/>
            <w:noWrap w:val="0"/>
            <w:vAlign w:val="center"/>
          </w:tcPr>
          <w:p w14:paraId="5B1A9B4C">
            <w:pPr>
              <w:pageBreakBefore w:val="0"/>
              <w:overflowPunct/>
              <w:topLinePunct w:val="0"/>
              <w:autoSpaceDE w:val="0"/>
              <w:autoSpaceDN w:val="0"/>
              <w:bidi w:val="0"/>
              <w:adjustRightInd w:val="0"/>
              <w:spacing w:line="560" w:lineRule="exact"/>
              <w:jc w:val="center"/>
              <w:rPr>
                <w:rFonts w:ascii="宋体" w:hAnsi="宋体" w:eastAsia="宋体"/>
                <w:b/>
                <w:color w:val="000000"/>
                <w:szCs w:val="21"/>
                <w:lang w:val="zh-CN"/>
              </w:rPr>
            </w:pPr>
            <w:r>
              <w:rPr>
                <w:rFonts w:hint="eastAsia" w:ascii="宋体" w:hAnsi="宋体" w:eastAsia="宋体"/>
                <w:b/>
                <w:color w:val="000000"/>
                <w:szCs w:val="21"/>
                <w:lang w:val="zh-CN"/>
              </w:rPr>
              <w:t>一、价格部分</w:t>
            </w:r>
          </w:p>
        </w:tc>
        <w:tc>
          <w:tcPr>
            <w:tcW w:w="1134" w:type="dxa"/>
            <w:noWrap w:val="0"/>
            <w:vAlign w:val="center"/>
          </w:tcPr>
          <w:p w14:paraId="75AD9201">
            <w:pPr>
              <w:pageBreakBefore w:val="0"/>
              <w:overflowPunct/>
              <w:topLinePunct w:val="0"/>
              <w:autoSpaceDE w:val="0"/>
              <w:autoSpaceDN w:val="0"/>
              <w:bidi w:val="0"/>
              <w:adjustRightInd w:val="0"/>
              <w:spacing w:line="560" w:lineRule="exact"/>
              <w:jc w:val="center"/>
              <w:rPr>
                <w:rFonts w:hint="default" w:ascii="宋体" w:hAnsi="宋体" w:eastAsia="宋体"/>
                <w:b/>
                <w:color w:val="000000"/>
                <w:szCs w:val="21"/>
                <w:lang w:val="en-US" w:eastAsia="zh-CN"/>
              </w:rPr>
            </w:pPr>
            <w:r>
              <w:rPr>
                <w:rFonts w:hint="eastAsia" w:ascii="宋体" w:hAnsi="宋体" w:eastAsia="宋体"/>
                <w:b/>
                <w:color w:val="000000"/>
                <w:szCs w:val="21"/>
                <w:lang w:val="en-US" w:eastAsia="zh-CN"/>
              </w:rPr>
              <w:t>20</w:t>
            </w:r>
          </w:p>
        </w:tc>
      </w:tr>
      <w:tr w14:paraId="22689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7" w:hRule="atLeast"/>
          <w:jc w:val="center"/>
        </w:trPr>
        <w:tc>
          <w:tcPr>
            <w:tcW w:w="9082" w:type="dxa"/>
            <w:gridSpan w:val="4"/>
            <w:noWrap w:val="0"/>
            <w:vAlign w:val="center"/>
          </w:tcPr>
          <w:p w14:paraId="2B0C8A38">
            <w:pPr>
              <w:pageBreakBefore w:val="0"/>
              <w:overflowPunct/>
              <w:topLinePunct w:val="0"/>
              <w:autoSpaceDE w:val="0"/>
              <w:autoSpaceDN w:val="0"/>
              <w:bidi w:val="0"/>
              <w:adjustRightInd w:val="0"/>
              <w:spacing w:line="560" w:lineRule="exact"/>
              <w:ind w:firstLine="420" w:firstLineChars="200"/>
              <w:jc w:val="both"/>
              <w:rPr>
                <w:rFonts w:hint="eastAsia" w:ascii="宋体" w:hAnsi="宋体" w:eastAsia="宋体" w:cs="宋体"/>
                <w:color w:val="000000"/>
                <w:szCs w:val="21"/>
              </w:rPr>
            </w:pPr>
            <w:r>
              <w:rPr>
                <w:rFonts w:hint="eastAsia" w:ascii="宋体" w:hAnsi="宋体" w:eastAsia="宋体" w:cs="宋体"/>
                <w:color w:val="000000"/>
                <w:szCs w:val="21"/>
              </w:rPr>
              <w:t>综合评分法中的价格分统一采用低价优先法计算</w:t>
            </w:r>
            <w:r>
              <w:rPr>
                <w:rFonts w:hint="eastAsia" w:ascii="宋体" w:hAnsi="宋体" w:cs="宋体"/>
                <w:color w:val="000000"/>
                <w:szCs w:val="21"/>
                <w:lang w:eastAsia="zh-CN"/>
              </w:rPr>
              <w:t>，</w:t>
            </w:r>
            <w:r>
              <w:rPr>
                <w:rFonts w:hint="eastAsia" w:ascii="宋体" w:hAnsi="宋体" w:eastAsia="宋体" w:cs="宋体"/>
                <w:color w:val="000000"/>
                <w:szCs w:val="21"/>
              </w:rPr>
              <w:t>即满足招标文件要求且投标价格最低的投标报价为评标基准价</w:t>
            </w:r>
            <w:r>
              <w:rPr>
                <w:rFonts w:hint="eastAsia" w:ascii="宋体" w:hAnsi="宋体" w:cs="宋体"/>
                <w:color w:val="000000"/>
                <w:szCs w:val="21"/>
                <w:lang w:eastAsia="zh-CN"/>
              </w:rPr>
              <w:t>，</w:t>
            </w:r>
            <w:r>
              <w:rPr>
                <w:rFonts w:hint="eastAsia" w:ascii="宋体" w:hAnsi="宋体" w:eastAsia="宋体" w:cs="宋体"/>
                <w:color w:val="000000"/>
                <w:szCs w:val="21"/>
              </w:rPr>
              <w:t>其价格分为满分。其他投标人所投产品品牌的价格分统一按照下列公式计算：投标报价得分=</w:t>
            </w:r>
            <w:r>
              <w:rPr>
                <w:rFonts w:hint="eastAsia" w:ascii="宋体" w:hAnsi="宋体" w:cs="宋体"/>
                <w:color w:val="000000"/>
                <w:szCs w:val="21"/>
                <w:lang w:eastAsia="zh-CN"/>
              </w:rPr>
              <w:t>（</w:t>
            </w:r>
            <w:r>
              <w:rPr>
                <w:rFonts w:hint="eastAsia" w:ascii="宋体" w:hAnsi="宋体" w:eastAsia="宋体" w:cs="宋体"/>
                <w:color w:val="000000"/>
                <w:szCs w:val="21"/>
              </w:rPr>
              <w:t>评标基准价/投标报价</w:t>
            </w:r>
            <w:r>
              <w:rPr>
                <w:rFonts w:hint="eastAsia" w:ascii="宋体" w:hAnsi="宋体" w:cs="宋体"/>
                <w:color w:val="000000"/>
                <w:szCs w:val="21"/>
                <w:lang w:eastAsia="zh-CN"/>
              </w:rPr>
              <w:t>）</w:t>
            </w:r>
            <w:r>
              <w:rPr>
                <w:rFonts w:hint="eastAsia" w:ascii="宋体" w:hAnsi="宋体" w:eastAsia="宋体" w:cs="宋体"/>
                <w:color w:val="000000"/>
                <w:szCs w:val="21"/>
              </w:rPr>
              <w:t>×权重</w:t>
            </w:r>
          </w:p>
          <w:p w14:paraId="7E7E4DE6">
            <w:pPr>
              <w:pStyle w:val="15"/>
              <w:pageBreakBefore w:val="0"/>
              <w:overflowPunct/>
              <w:topLinePunct w:val="0"/>
              <w:bidi w:val="0"/>
              <w:spacing w:before="0" w:after="0" w:line="560" w:lineRule="exact"/>
              <w:ind w:firstLine="460" w:firstLineChars="200"/>
              <w:jc w:val="both"/>
              <w:rPr>
                <w:color w:val="000000"/>
              </w:rPr>
            </w:pPr>
            <w:r>
              <w:rPr>
                <w:rFonts w:hint="eastAsia" w:ascii="宋体" w:hAnsi="宋体" w:eastAsia="宋体" w:cs="宋体"/>
                <w:color w:val="000000"/>
                <w:sz w:val="21"/>
                <w:szCs w:val="21"/>
              </w:rPr>
              <w:t>备注：若供应商为小型或微型企业或监狱企业，将对所提供的由其制造的货物、承担工程、提供服务或提供其他小型或微型企业或监狱企业的货物的价格予以</w:t>
            </w:r>
            <w:r>
              <w:rPr>
                <w:rFonts w:hint="eastAsia" w:ascii="宋体" w:hAnsi="宋体" w:eastAsia="宋体" w:cs="宋体"/>
                <w:color w:val="000000"/>
                <w:sz w:val="21"/>
                <w:szCs w:val="21"/>
                <w:lang w:val="en"/>
              </w:rPr>
              <w:t>10</w:t>
            </w:r>
            <w:r>
              <w:rPr>
                <w:rFonts w:hint="eastAsia" w:ascii="宋体" w:hAnsi="宋体" w:eastAsia="宋体" w:cs="宋体"/>
                <w:color w:val="000000"/>
                <w:sz w:val="21"/>
                <w:szCs w:val="21"/>
              </w:rPr>
              <w:t>%的扣除，用扣除后的价格参加评审，监狱企业应当提供由省级以上监狱管理局、戒毒管理局（含新疆生产建设兵团）出具的属于监狱企业的证明文件，中小企业提供《中小企业声明函》。</w:t>
            </w:r>
          </w:p>
        </w:tc>
        <w:tc>
          <w:tcPr>
            <w:tcW w:w="1134" w:type="dxa"/>
            <w:noWrap w:val="0"/>
            <w:vAlign w:val="center"/>
          </w:tcPr>
          <w:p w14:paraId="2B88D29C">
            <w:pPr>
              <w:pageBreakBefore w:val="0"/>
              <w:overflowPunct/>
              <w:topLinePunct w:val="0"/>
              <w:autoSpaceDE w:val="0"/>
              <w:autoSpaceDN w:val="0"/>
              <w:bidi w:val="0"/>
              <w:adjustRightInd w:val="0"/>
              <w:spacing w:line="560" w:lineRule="exact"/>
              <w:jc w:val="center"/>
              <w:rPr>
                <w:rFonts w:hint="eastAsia" w:ascii="宋体" w:hAnsi="宋体" w:eastAsia="宋体"/>
                <w:color w:val="000000"/>
                <w:szCs w:val="21"/>
                <w:lang w:val="zh-CN" w:eastAsia="zh-CN"/>
              </w:rPr>
            </w:pPr>
            <w:r>
              <w:rPr>
                <w:rFonts w:hint="eastAsia" w:ascii="宋体" w:hAnsi="宋体" w:eastAsia="宋体"/>
                <w:color w:val="000000"/>
                <w:szCs w:val="21"/>
                <w:lang w:val="zh-CN" w:eastAsia="zh-CN"/>
              </w:rPr>
              <w:t>评分方式按公式计算</w:t>
            </w:r>
          </w:p>
        </w:tc>
      </w:tr>
      <w:tr w14:paraId="63B2D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9082" w:type="dxa"/>
            <w:gridSpan w:val="4"/>
            <w:noWrap w:val="0"/>
            <w:vAlign w:val="center"/>
          </w:tcPr>
          <w:p w14:paraId="222D064B">
            <w:pPr>
              <w:pageBreakBefore w:val="0"/>
              <w:overflowPunct/>
              <w:topLinePunct w:val="0"/>
              <w:autoSpaceDE w:val="0"/>
              <w:autoSpaceDN w:val="0"/>
              <w:bidi w:val="0"/>
              <w:adjustRightInd w:val="0"/>
              <w:spacing w:line="560" w:lineRule="exact"/>
              <w:jc w:val="center"/>
              <w:rPr>
                <w:rFonts w:ascii="宋体" w:hAnsi="宋体" w:eastAsia="宋体"/>
                <w:b/>
                <w:color w:val="000000"/>
                <w:szCs w:val="21"/>
              </w:rPr>
            </w:pPr>
            <w:r>
              <w:rPr>
                <w:rFonts w:hint="eastAsia" w:ascii="宋体" w:hAnsi="宋体" w:eastAsia="宋体"/>
                <w:b/>
                <w:color w:val="000000"/>
                <w:szCs w:val="21"/>
                <w:lang w:val="zh-CN"/>
              </w:rPr>
              <w:t>二、商务部分</w:t>
            </w:r>
          </w:p>
        </w:tc>
        <w:tc>
          <w:tcPr>
            <w:tcW w:w="1134" w:type="dxa"/>
            <w:noWrap w:val="0"/>
            <w:vAlign w:val="center"/>
          </w:tcPr>
          <w:p w14:paraId="44D0BF21">
            <w:pPr>
              <w:pageBreakBefore w:val="0"/>
              <w:overflowPunct/>
              <w:topLinePunct w:val="0"/>
              <w:autoSpaceDE w:val="0"/>
              <w:autoSpaceDN w:val="0"/>
              <w:bidi w:val="0"/>
              <w:adjustRightInd w:val="0"/>
              <w:spacing w:line="560" w:lineRule="exact"/>
              <w:jc w:val="center"/>
              <w:rPr>
                <w:rFonts w:hint="default" w:ascii="宋体" w:hAnsi="宋体" w:eastAsia="宋体"/>
                <w:b/>
                <w:color w:val="000000"/>
                <w:szCs w:val="21"/>
                <w:lang w:val="en-US" w:eastAsia="zh-CN"/>
              </w:rPr>
            </w:pPr>
            <w:r>
              <w:rPr>
                <w:rFonts w:hint="eastAsia" w:ascii="宋体" w:hAnsi="宋体" w:eastAsia="宋体"/>
                <w:b/>
                <w:color w:val="000000"/>
                <w:szCs w:val="21"/>
                <w:lang w:val="en-US" w:eastAsia="zh-CN"/>
              </w:rPr>
              <w:t>20</w:t>
            </w:r>
          </w:p>
        </w:tc>
      </w:tr>
      <w:tr w14:paraId="5C020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01" w:type="dxa"/>
            <w:noWrap w:val="0"/>
            <w:vAlign w:val="center"/>
          </w:tcPr>
          <w:p w14:paraId="6F13E8E9">
            <w:pPr>
              <w:pageBreakBefore w:val="0"/>
              <w:overflowPunct/>
              <w:topLinePunct w:val="0"/>
              <w:autoSpaceDE w:val="0"/>
              <w:autoSpaceDN w:val="0"/>
              <w:bidi w:val="0"/>
              <w:adjustRightInd w:val="0"/>
              <w:spacing w:line="560" w:lineRule="exact"/>
              <w:jc w:val="center"/>
              <w:rPr>
                <w:rFonts w:ascii="宋体" w:hAnsi="宋体" w:eastAsia="宋体"/>
                <w:color w:val="000000"/>
                <w:szCs w:val="21"/>
              </w:rPr>
            </w:pPr>
            <w:r>
              <w:rPr>
                <w:rFonts w:hint="eastAsia" w:ascii="宋体" w:hAnsi="宋体" w:eastAsia="宋体"/>
                <w:color w:val="000000"/>
                <w:szCs w:val="21"/>
                <w:lang w:val="zh-CN"/>
              </w:rPr>
              <w:t>序号</w:t>
            </w:r>
          </w:p>
        </w:tc>
        <w:tc>
          <w:tcPr>
            <w:tcW w:w="1245" w:type="dxa"/>
            <w:noWrap w:val="0"/>
            <w:vAlign w:val="center"/>
          </w:tcPr>
          <w:p w14:paraId="02BE6CED">
            <w:pPr>
              <w:pageBreakBefore w:val="0"/>
              <w:overflowPunct/>
              <w:topLinePunct w:val="0"/>
              <w:autoSpaceDE w:val="0"/>
              <w:autoSpaceDN w:val="0"/>
              <w:bidi w:val="0"/>
              <w:adjustRightInd w:val="0"/>
              <w:spacing w:line="560" w:lineRule="exact"/>
              <w:jc w:val="center"/>
              <w:rPr>
                <w:rFonts w:ascii="宋体" w:hAnsi="宋体" w:eastAsia="宋体"/>
                <w:color w:val="000000"/>
                <w:szCs w:val="21"/>
              </w:rPr>
            </w:pPr>
            <w:r>
              <w:rPr>
                <w:rFonts w:hint="eastAsia" w:ascii="宋体" w:hAnsi="宋体" w:eastAsia="宋体"/>
                <w:color w:val="000000"/>
                <w:szCs w:val="21"/>
                <w:lang w:val="zh-CN"/>
              </w:rPr>
              <w:t>内容</w:t>
            </w:r>
          </w:p>
        </w:tc>
        <w:tc>
          <w:tcPr>
            <w:tcW w:w="881" w:type="dxa"/>
            <w:noWrap w:val="0"/>
            <w:vAlign w:val="center"/>
          </w:tcPr>
          <w:p w14:paraId="778383CC">
            <w:pPr>
              <w:pageBreakBefore w:val="0"/>
              <w:overflowPunct/>
              <w:topLinePunct w:val="0"/>
              <w:autoSpaceDE w:val="0"/>
              <w:autoSpaceDN w:val="0"/>
              <w:bidi w:val="0"/>
              <w:adjustRightInd w:val="0"/>
              <w:spacing w:line="560" w:lineRule="exact"/>
              <w:jc w:val="center"/>
              <w:rPr>
                <w:rFonts w:ascii="宋体" w:hAnsi="宋体" w:eastAsia="宋体"/>
                <w:color w:val="000000"/>
                <w:szCs w:val="21"/>
              </w:rPr>
            </w:pPr>
            <w:r>
              <w:rPr>
                <w:rFonts w:hint="eastAsia" w:ascii="宋体" w:hAnsi="宋体" w:eastAsia="宋体"/>
                <w:color w:val="000000"/>
                <w:szCs w:val="21"/>
                <w:lang w:val="zh-CN"/>
              </w:rPr>
              <w:t>权重</w:t>
            </w:r>
          </w:p>
        </w:tc>
        <w:tc>
          <w:tcPr>
            <w:tcW w:w="6255" w:type="dxa"/>
            <w:noWrap w:val="0"/>
            <w:vAlign w:val="center"/>
          </w:tcPr>
          <w:p w14:paraId="27D7A71E">
            <w:pPr>
              <w:pageBreakBefore w:val="0"/>
              <w:overflowPunct/>
              <w:topLinePunct w:val="0"/>
              <w:autoSpaceDE w:val="0"/>
              <w:autoSpaceDN w:val="0"/>
              <w:bidi w:val="0"/>
              <w:adjustRightInd w:val="0"/>
              <w:spacing w:line="560" w:lineRule="exact"/>
              <w:jc w:val="center"/>
              <w:rPr>
                <w:rFonts w:ascii="宋体" w:hAnsi="宋体" w:eastAsia="宋体"/>
                <w:color w:val="000000"/>
                <w:szCs w:val="21"/>
              </w:rPr>
            </w:pPr>
            <w:r>
              <w:rPr>
                <w:rFonts w:hint="eastAsia" w:ascii="宋体" w:hAnsi="宋体" w:eastAsia="宋体"/>
                <w:color w:val="000000"/>
                <w:szCs w:val="21"/>
                <w:lang w:val="zh-CN"/>
              </w:rPr>
              <w:t>评分规则</w:t>
            </w:r>
          </w:p>
        </w:tc>
        <w:tc>
          <w:tcPr>
            <w:tcW w:w="1134" w:type="dxa"/>
            <w:noWrap w:val="0"/>
            <w:vAlign w:val="center"/>
          </w:tcPr>
          <w:p w14:paraId="60127B09">
            <w:pPr>
              <w:pageBreakBefore w:val="0"/>
              <w:overflowPunct/>
              <w:topLinePunct w:val="0"/>
              <w:autoSpaceDE w:val="0"/>
              <w:autoSpaceDN w:val="0"/>
              <w:bidi w:val="0"/>
              <w:adjustRightInd w:val="0"/>
              <w:spacing w:line="560" w:lineRule="exact"/>
              <w:jc w:val="center"/>
              <w:rPr>
                <w:rFonts w:hint="eastAsia" w:ascii="宋体" w:hAnsi="宋体" w:eastAsia="宋体"/>
                <w:color w:val="000000"/>
                <w:szCs w:val="21"/>
                <w:lang w:val="zh-CN"/>
              </w:rPr>
            </w:pPr>
            <w:r>
              <w:rPr>
                <w:rFonts w:hint="eastAsia" w:ascii="宋体" w:hAnsi="宋体" w:eastAsia="宋体"/>
                <w:color w:val="000000"/>
                <w:szCs w:val="21"/>
                <w:lang w:val="zh-CN"/>
              </w:rPr>
              <w:t>评分方式</w:t>
            </w:r>
          </w:p>
        </w:tc>
      </w:tr>
      <w:tr w14:paraId="3040B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0" w:hRule="atLeast"/>
          <w:jc w:val="center"/>
        </w:trPr>
        <w:tc>
          <w:tcPr>
            <w:tcW w:w="701" w:type="dxa"/>
            <w:noWrap w:val="0"/>
            <w:vAlign w:val="center"/>
          </w:tcPr>
          <w:p w14:paraId="2CC71DFD">
            <w:pPr>
              <w:pageBreakBefore w:val="0"/>
              <w:overflowPunct/>
              <w:topLinePunct w:val="0"/>
              <w:autoSpaceDE w:val="0"/>
              <w:autoSpaceDN w:val="0"/>
              <w:bidi w:val="0"/>
              <w:adjustRightInd w:val="0"/>
              <w:spacing w:line="560" w:lineRule="exact"/>
              <w:rPr>
                <w:rFonts w:ascii="宋体" w:hAnsi="宋体" w:eastAsia="宋体"/>
                <w:color w:val="000000"/>
                <w:szCs w:val="21"/>
                <w:lang w:val="zh-CN"/>
              </w:rPr>
            </w:pPr>
            <w:r>
              <w:rPr>
                <w:rFonts w:ascii="宋体" w:hAnsi="宋体" w:eastAsia="宋体"/>
                <w:color w:val="000000"/>
                <w:szCs w:val="21"/>
                <w:lang w:val="zh-CN"/>
              </w:rPr>
              <w:t>1</w:t>
            </w:r>
          </w:p>
        </w:tc>
        <w:tc>
          <w:tcPr>
            <w:tcW w:w="1245" w:type="dxa"/>
            <w:noWrap w:val="0"/>
            <w:vAlign w:val="center"/>
          </w:tcPr>
          <w:p w14:paraId="76368516">
            <w:pPr>
              <w:pageBreakBefore w:val="0"/>
              <w:overflowPunct/>
              <w:topLinePunct w:val="0"/>
              <w:autoSpaceDE w:val="0"/>
              <w:autoSpaceDN w:val="0"/>
              <w:bidi w:val="0"/>
              <w:spacing w:line="560" w:lineRule="exact"/>
              <w:jc w:val="center"/>
              <w:rPr>
                <w:rFonts w:ascii="宋体" w:hAnsi="宋体" w:eastAsia="宋体"/>
                <w:color w:val="000000"/>
                <w:szCs w:val="21"/>
              </w:rPr>
            </w:pPr>
            <w:r>
              <w:rPr>
                <w:rFonts w:hint="eastAsia" w:ascii="宋体" w:hAnsi="宋体" w:eastAsia="宋体"/>
                <w:color w:val="000000"/>
                <w:szCs w:val="21"/>
              </w:rPr>
              <w:t>企业综合实力</w:t>
            </w:r>
          </w:p>
        </w:tc>
        <w:tc>
          <w:tcPr>
            <w:tcW w:w="881" w:type="dxa"/>
            <w:noWrap w:val="0"/>
            <w:vAlign w:val="center"/>
          </w:tcPr>
          <w:p w14:paraId="1BF93220">
            <w:pPr>
              <w:pageBreakBefore w:val="0"/>
              <w:overflowPunct/>
              <w:topLinePunct w:val="0"/>
              <w:autoSpaceDE w:val="0"/>
              <w:autoSpaceDN w:val="0"/>
              <w:bidi w:val="0"/>
              <w:adjustRightInd w:val="0"/>
              <w:spacing w:line="560" w:lineRule="exact"/>
              <w:jc w:val="center"/>
              <w:rPr>
                <w:rFonts w:hint="default" w:ascii="宋体" w:hAnsi="宋体" w:eastAsia="宋体"/>
                <w:color w:val="000000"/>
                <w:szCs w:val="21"/>
                <w:lang w:val="en-US" w:eastAsia="zh-CN"/>
              </w:rPr>
            </w:pPr>
            <w:r>
              <w:rPr>
                <w:rFonts w:hint="eastAsia" w:ascii="宋体" w:hAnsi="宋体" w:eastAsia="宋体"/>
                <w:color w:val="000000"/>
                <w:szCs w:val="21"/>
                <w:lang w:val="en-US" w:eastAsia="zh-CN"/>
              </w:rPr>
              <w:t>20</w:t>
            </w:r>
          </w:p>
        </w:tc>
        <w:tc>
          <w:tcPr>
            <w:tcW w:w="6255" w:type="dxa"/>
            <w:noWrap w:val="0"/>
            <w:vAlign w:val="center"/>
          </w:tcPr>
          <w:p w14:paraId="4FDAE887">
            <w:pPr>
              <w:pageBreakBefore w:val="0"/>
              <w:wordWrap w:val="0"/>
              <w:overflowPunct/>
              <w:topLinePunct w:val="0"/>
              <w:bidi w:val="0"/>
              <w:spacing w:line="560" w:lineRule="exact"/>
              <w:rPr>
                <w:rFonts w:ascii="宋体" w:hAnsi="宋体" w:eastAsia="宋体"/>
                <w:color w:val="000000"/>
                <w:szCs w:val="21"/>
              </w:rPr>
            </w:pPr>
            <w:r>
              <w:rPr>
                <w:rFonts w:ascii="宋体" w:hAnsi="宋体" w:eastAsia="宋体"/>
                <w:color w:val="000000"/>
                <w:szCs w:val="21"/>
              </w:rPr>
              <w:t xml:space="preserve">根据投标人获得的资质认证进行评价： </w:t>
            </w:r>
          </w:p>
          <w:p w14:paraId="06DB890C">
            <w:pPr>
              <w:pageBreakBefore w:val="0"/>
              <w:widowControl/>
              <w:numPr>
                <w:ilvl w:val="0"/>
                <w:numId w:val="0"/>
              </w:numPr>
              <w:overflowPunct/>
              <w:topLinePunct w:val="0"/>
              <w:bidi w:val="0"/>
              <w:adjustRightInd w:val="0"/>
              <w:snapToGrid w:val="0"/>
              <w:spacing w:line="560" w:lineRule="exact"/>
              <w:ind w:firstLine="420" w:firstLineChars="200"/>
              <w:rPr>
                <w:rFonts w:ascii="宋体" w:hAnsi="宋体" w:eastAsia="宋体"/>
                <w:color w:val="000000"/>
                <w:szCs w:val="21"/>
              </w:rPr>
            </w:pPr>
            <w:r>
              <w:rPr>
                <w:rFonts w:hint="eastAsia" w:ascii="宋体" w:hAnsi="宋体" w:eastAsia="宋体"/>
                <w:color w:val="000000"/>
                <w:lang w:val="en-US" w:eastAsia="zh-CN"/>
              </w:rPr>
              <w:t>1.投标人</w:t>
            </w:r>
            <w:r>
              <w:rPr>
                <w:rFonts w:hint="eastAsia" w:ascii="宋体" w:hAnsi="宋体" w:eastAsia="宋体"/>
                <w:color w:val="000000"/>
              </w:rPr>
              <w:t>具有</w:t>
            </w:r>
            <w:r>
              <w:rPr>
                <w:rFonts w:hint="eastAsia" w:ascii="宋体" w:hAnsi="宋体" w:eastAsia="宋体"/>
                <w:color w:val="000000"/>
                <w:lang w:val="en-US" w:eastAsia="zh-CN"/>
              </w:rPr>
              <w:t>CNAS中国合格评定国家认可委员会</w:t>
            </w:r>
            <w:r>
              <w:rPr>
                <w:rFonts w:hint="eastAsia" w:ascii="宋体" w:hAnsi="宋体" w:eastAsia="宋体"/>
                <w:color w:val="000000"/>
              </w:rPr>
              <w:t>证书</w:t>
            </w:r>
            <w:r>
              <w:rPr>
                <w:rFonts w:hint="eastAsia" w:ascii="宋体" w:hAnsi="宋体" w:eastAsia="宋体"/>
                <w:color w:val="000000"/>
                <w:lang w:eastAsia="zh-CN"/>
              </w:rPr>
              <w:t>，</w:t>
            </w:r>
            <w:r>
              <w:rPr>
                <w:rFonts w:hint="eastAsia" w:ascii="宋体" w:hAnsi="宋体" w:eastAsia="宋体"/>
                <w:color w:val="000000"/>
              </w:rPr>
              <w:t>得</w:t>
            </w:r>
            <w:r>
              <w:rPr>
                <w:rFonts w:hint="eastAsia" w:ascii="宋体" w:hAnsi="宋体" w:eastAsia="宋体"/>
                <w:color w:val="000000"/>
                <w:lang w:val="en-US" w:eastAsia="zh-CN"/>
              </w:rPr>
              <w:t>6</w:t>
            </w:r>
            <w:r>
              <w:rPr>
                <w:rFonts w:hint="eastAsia" w:ascii="宋体" w:hAnsi="宋体" w:eastAsia="宋体"/>
                <w:color w:val="000000"/>
              </w:rPr>
              <w:t>分</w:t>
            </w:r>
            <w:r>
              <w:rPr>
                <w:rFonts w:ascii="宋体" w:hAnsi="宋体" w:eastAsia="宋体"/>
                <w:color w:val="000000"/>
                <w:szCs w:val="21"/>
              </w:rPr>
              <w:t>；</w:t>
            </w:r>
          </w:p>
          <w:p w14:paraId="47E8F325">
            <w:pPr>
              <w:pageBreakBefore w:val="0"/>
              <w:widowControl/>
              <w:numPr>
                <w:ilvl w:val="0"/>
                <w:numId w:val="0"/>
              </w:numPr>
              <w:overflowPunct/>
              <w:topLinePunct w:val="0"/>
              <w:bidi w:val="0"/>
              <w:adjustRightInd w:val="0"/>
              <w:snapToGrid w:val="0"/>
              <w:spacing w:line="560" w:lineRule="exact"/>
              <w:ind w:firstLine="420" w:firstLineChars="200"/>
              <w:rPr>
                <w:rFonts w:ascii="宋体" w:hAnsi="宋体" w:eastAsia="宋体"/>
                <w:color w:val="000000"/>
                <w:szCs w:val="21"/>
                <w:highlight w:val="none"/>
              </w:rPr>
            </w:pPr>
            <w:r>
              <w:rPr>
                <w:rFonts w:hint="eastAsia" w:ascii="宋体" w:hAnsi="宋体" w:eastAsia="宋体"/>
                <w:color w:val="000000"/>
                <w:szCs w:val="21"/>
                <w:highlight w:val="none"/>
                <w:lang w:val="en-US" w:eastAsia="zh-CN"/>
              </w:rPr>
              <w:t>2.</w:t>
            </w:r>
            <w:r>
              <w:rPr>
                <w:rFonts w:ascii="宋体" w:hAnsi="宋体" w:eastAsia="宋体"/>
                <w:color w:val="000000"/>
                <w:szCs w:val="21"/>
                <w:highlight w:val="none"/>
              </w:rPr>
              <w:t>投标人</w:t>
            </w:r>
            <w:r>
              <w:rPr>
                <w:rFonts w:hint="eastAsia" w:ascii="宋体" w:hAnsi="宋体" w:eastAsia="宋体"/>
                <w:color w:val="000000"/>
                <w:szCs w:val="21"/>
                <w:highlight w:val="none"/>
                <w:lang w:val="en-US" w:eastAsia="zh-CN"/>
              </w:rPr>
              <w:t>具有有</w:t>
            </w:r>
            <w:r>
              <w:rPr>
                <w:rFonts w:hint="eastAsia" w:ascii="宋体" w:hAnsi="宋体"/>
                <w:color w:val="000000"/>
                <w:highlight w:val="none"/>
              </w:rPr>
              <w:t>效期内</w:t>
            </w:r>
            <w:r>
              <w:rPr>
                <w:rFonts w:hint="eastAsia" w:ascii="宋体" w:hAnsi="宋体"/>
                <w:color w:val="000000"/>
                <w:highlight w:val="none"/>
                <w:lang w:eastAsia="zh-CN"/>
              </w:rPr>
              <w:t>市级以上住房建设部门颁发的建设工程质量资质证书</w:t>
            </w:r>
            <w:r>
              <w:rPr>
                <w:rFonts w:hint="eastAsia" w:ascii="宋体" w:hAnsi="宋体" w:eastAsia="宋体"/>
                <w:color w:val="000000"/>
                <w:szCs w:val="21"/>
                <w:highlight w:val="none"/>
              </w:rPr>
              <w:t>，得</w:t>
            </w:r>
            <w:r>
              <w:rPr>
                <w:rFonts w:hint="eastAsia" w:ascii="宋体" w:hAnsi="宋体"/>
                <w:color w:val="000000"/>
                <w:szCs w:val="21"/>
                <w:highlight w:val="none"/>
                <w:lang w:val="en-US" w:eastAsia="zh-CN"/>
              </w:rPr>
              <w:t>3</w:t>
            </w:r>
            <w:r>
              <w:rPr>
                <w:rFonts w:hint="eastAsia" w:ascii="宋体" w:hAnsi="宋体" w:eastAsia="宋体"/>
                <w:color w:val="000000"/>
                <w:szCs w:val="21"/>
                <w:highlight w:val="none"/>
              </w:rPr>
              <w:t>分；</w:t>
            </w:r>
          </w:p>
          <w:p w14:paraId="6652D6FB">
            <w:pPr>
              <w:pageBreakBefore w:val="0"/>
              <w:widowControl/>
              <w:numPr>
                <w:ilvl w:val="0"/>
                <w:numId w:val="0"/>
              </w:numPr>
              <w:overflowPunct/>
              <w:topLinePunct w:val="0"/>
              <w:bidi w:val="0"/>
              <w:adjustRightInd w:val="0"/>
              <w:snapToGrid w:val="0"/>
              <w:spacing w:line="560" w:lineRule="exact"/>
              <w:ind w:firstLine="420" w:firstLineChars="200"/>
              <w:rPr>
                <w:rFonts w:ascii="宋体" w:hAnsi="宋体" w:eastAsia="宋体"/>
                <w:color w:val="000000"/>
                <w:szCs w:val="21"/>
              </w:rPr>
            </w:pPr>
            <w:r>
              <w:rPr>
                <w:rFonts w:hint="eastAsia" w:ascii="宋体" w:hAnsi="宋体" w:eastAsia="宋体"/>
                <w:color w:val="000000"/>
                <w:lang w:val="en-US" w:eastAsia="zh-CN"/>
              </w:rPr>
              <w:t>3.投标人</w:t>
            </w:r>
            <w:r>
              <w:rPr>
                <w:rFonts w:hint="eastAsia" w:ascii="宋体" w:hAnsi="宋体" w:eastAsia="宋体"/>
                <w:color w:val="000000"/>
              </w:rPr>
              <w:t>具有CMA计量认证资质证书</w:t>
            </w:r>
            <w:r>
              <w:rPr>
                <w:rFonts w:hint="eastAsia" w:ascii="宋体" w:hAnsi="宋体" w:eastAsia="宋体"/>
                <w:color w:val="000000"/>
                <w:lang w:eastAsia="zh-CN"/>
              </w:rPr>
              <w:t>，</w:t>
            </w:r>
            <w:r>
              <w:rPr>
                <w:rFonts w:hint="eastAsia" w:ascii="宋体" w:hAnsi="宋体" w:eastAsia="宋体"/>
                <w:color w:val="000000"/>
              </w:rPr>
              <w:t>得</w:t>
            </w:r>
            <w:r>
              <w:rPr>
                <w:rFonts w:hint="eastAsia" w:ascii="宋体" w:hAnsi="宋体"/>
                <w:color w:val="000000"/>
                <w:lang w:val="en-US" w:eastAsia="zh-CN"/>
              </w:rPr>
              <w:t>3</w:t>
            </w:r>
            <w:r>
              <w:rPr>
                <w:rFonts w:hint="eastAsia" w:ascii="宋体" w:hAnsi="宋体" w:eastAsia="宋体"/>
                <w:color w:val="000000"/>
              </w:rPr>
              <w:t>分</w:t>
            </w:r>
            <w:r>
              <w:rPr>
                <w:rFonts w:ascii="宋体" w:hAnsi="宋体" w:eastAsia="宋体"/>
                <w:color w:val="000000"/>
                <w:szCs w:val="21"/>
              </w:rPr>
              <w:t>；</w:t>
            </w:r>
          </w:p>
          <w:p w14:paraId="58F0F9B8">
            <w:pPr>
              <w:pStyle w:val="15"/>
              <w:pageBreakBefore w:val="0"/>
              <w:overflowPunct/>
              <w:topLinePunct w:val="0"/>
              <w:bidi w:val="0"/>
              <w:spacing w:line="560" w:lineRule="exact"/>
              <w:ind w:firstLine="420" w:firstLineChars="200"/>
              <w:rPr>
                <w:rFonts w:hint="default" w:ascii="宋体" w:hAnsi="宋体" w:eastAsia="宋体" w:cs="Times New Roman"/>
                <w:color w:val="000000"/>
                <w:spacing w:val="0"/>
                <w:kern w:val="2"/>
                <w:sz w:val="21"/>
                <w:lang w:val="en-US" w:eastAsia="zh-CN" w:bidi="ar-SA"/>
              </w:rPr>
            </w:pPr>
            <w:r>
              <w:rPr>
                <w:rFonts w:hint="eastAsia" w:ascii="宋体" w:hAnsi="宋体" w:eastAsia="宋体" w:cs="Times New Roman"/>
                <w:color w:val="000000"/>
                <w:spacing w:val="0"/>
                <w:kern w:val="2"/>
                <w:sz w:val="21"/>
                <w:lang w:val="en-US" w:eastAsia="zh-CN" w:bidi="ar-SA"/>
              </w:rPr>
              <w:t>4.投标人自2023年以来，具有</w:t>
            </w:r>
            <w:r>
              <w:rPr>
                <w:rFonts w:hint="eastAsia" w:ascii="宋体" w:hAnsi="宋体" w:cs="Times New Roman"/>
                <w:color w:val="000000"/>
                <w:spacing w:val="0"/>
                <w:kern w:val="2"/>
                <w:sz w:val="21"/>
                <w:lang w:val="en-US" w:eastAsia="zh-CN" w:bidi="ar-SA"/>
              </w:rPr>
              <w:t>户外</w:t>
            </w:r>
            <w:r>
              <w:rPr>
                <w:rFonts w:hint="eastAsia" w:ascii="宋体" w:hAnsi="宋体" w:eastAsia="宋体" w:cs="Times New Roman"/>
                <w:color w:val="000000"/>
                <w:spacing w:val="0"/>
                <w:kern w:val="2"/>
                <w:sz w:val="21"/>
                <w:lang w:val="en-US" w:eastAsia="zh-CN" w:bidi="ar-SA"/>
              </w:rPr>
              <w:t>广告牌鉴定检测业绩的，每提供一个得2分，最高得</w:t>
            </w:r>
            <w:r>
              <w:rPr>
                <w:rFonts w:hint="eastAsia" w:ascii="宋体" w:hAnsi="宋体" w:cs="Times New Roman"/>
                <w:color w:val="000000"/>
                <w:spacing w:val="0"/>
                <w:kern w:val="2"/>
                <w:sz w:val="21"/>
                <w:lang w:val="en-US" w:eastAsia="zh-CN" w:bidi="ar-SA"/>
              </w:rPr>
              <w:t>8</w:t>
            </w:r>
            <w:r>
              <w:rPr>
                <w:rFonts w:hint="eastAsia" w:ascii="宋体" w:hAnsi="宋体" w:eastAsia="宋体" w:cs="Times New Roman"/>
                <w:color w:val="000000"/>
                <w:spacing w:val="0"/>
                <w:kern w:val="2"/>
                <w:sz w:val="21"/>
                <w:lang w:val="en-US" w:eastAsia="zh-CN" w:bidi="ar-SA"/>
              </w:rPr>
              <w:t>分；</w:t>
            </w:r>
          </w:p>
          <w:p w14:paraId="1BF90648">
            <w:pPr>
              <w:pageBreakBefore w:val="0"/>
              <w:numPr>
                <w:ilvl w:val="0"/>
                <w:numId w:val="0"/>
              </w:numPr>
              <w:wordWrap w:val="0"/>
              <w:overflowPunct/>
              <w:topLinePunct w:val="0"/>
              <w:bidi w:val="0"/>
              <w:spacing w:line="560" w:lineRule="exact"/>
              <w:rPr>
                <w:rFonts w:hint="eastAsia" w:ascii="宋体" w:hAnsi="宋体" w:eastAsia="宋体"/>
                <w:color w:val="000000"/>
                <w:szCs w:val="21"/>
                <w:lang w:eastAsia="zh-CN"/>
              </w:rPr>
            </w:pPr>
            <w:r>
              <w:rPr>
                <w:rFonts w:hint="eastAsia" w:ascii="宋体" w:hAnsi="宋体"/>
                <w:color w:val="000000"/>
              </w:rPr>
              <w:t>注：提供以上有效的证明材料扫描件或复印件并加盖投标人公章，原件备查；评分中出现无证明资料或无法凭所提供资料判断是否得分的情况，一律作不得分处理。</w:t>
            </w:r>
            <w:r>
              <w:rPr>
                <w:rFonts w:hint="eastAsia" w:ascii="宋体" w:hAnsi="宋体"/>
                <w:color w:val="000000"/>
                <w:lang w:eastAsia="zh-CN"/>
              </w:rPr>
              <w:t>未</w:t>
            </w:r>
            <w:r>
              <w:rPr>
                <w:rFonts w:hint="eastAsia" w:ascii="宋体" w:hAnsi="宋体"/>
                <w:color w:val="000000"/>
              </w:rPr>
              <w:t>提供不得分</w:t>
            </w:r>
            <w:r>
              <w:rPr>
                <w:rFonts w:hint="eastAsia" w:ascii="宋体" w:hAnsi="宋体"/>
                <w:color w:val="000000"/>
                <w:lang w:eastAsia="zh-CN"/>
              </w:rPr>
              <w:t>。</w:t>
            </w:r>
          </w:p>
        </w:tc>
        <w:tc>
          <w:tcPr>
            <w:tcW w:w="1134" w:type="dxa"/>
            <w:noWrap w:val="0"/>
            <w:vAlign w:val="center"/>
          </w:tcPr>
          <w:p w14:paraId="5AA8539F">
            <w:pPr>
              <w:pageBreakBefore w:val="0"/>
              <w:overflowPunct/>
              <w:topLinePunct w:val="0"/>
              <w:autoSpaceDE w:val="0"/>
              <w:autoSpaceDN w:val="0"/>
              <w:bidi w:val="0"/>
              <w:adjustRightInd w:val="0"/>
              <w:spacing w:line="560" w:lineRule="exact"/>
              <w:jc w:val="center"/>
              <w:rPr>
                <w:rFonts w:hint="eastAsia" w:ascii="宋体" w:hAnsi="宋体" w:eastAsia="宋体"/>
                <w:color w:val="000000"/>
                <w:szCs w:val="21"/>
                <w:lang w:val="zh-CN" w:eastAsia="zh-CN"/>
              </w:rPr>
            </w:pPr>
            <w:r>
              <w:rPr>
                <w:rFonts w:hint="eastAsia" w:ascii="宋体" w:hAnsi="宋体" w:eastAsia="宋体"/>
                <w:color w:val="000000"/>
                <w:szCs w:val="21"/>
                <w:lang w:val="zh-CN" w:eastAsia="zh-CN"/>
              </w:rPr>
              <w:t>采购小组</w:t>
            </w:r>
          </w:p>
          <w:p w14:paraId="51EE0DE0">
            <w:pPr>
              <w:pageBreakBefore w:val="0"/>
              <w:numPr>
                <w:ilvl w:val="0"/>
                <w:numId w:val="0"/>
              </w:numPr>
              <w:wordWrap w:val="0"/>
              <w:overflowPunct/>
              <w:topLinePunct w:val="0"/>
              <w:bidi w:val="0"/>
              <w:spacing w:line="560" w:lineRule="exact"/>
              <w:jc w:val="center"/>
              <w:rPr>
                <w:rFonts w:hint="eastAsia" w:ascii="宋体" w:hAnsi="宋体"/>
                <w:color w:val="000000"/>
              </w:rPr>
            </w:pPr>
            <w:r>
              <w:rPr>
                <w:rFonts w:hint="eastAsia" w:ascii="宋体" w:hAnsi="宋体" w:eastAsia="宋体"/>
                <w:color w:val="000000"/>
                <w:szCs w:val="21"/>
                <w:lang w:val="zh-CN" w:eastAsia="zh-CN"/>
              </w:rPr>
              <w:t>打分</w:t>
            </w:r>
          </w:p>
        </w:tc>
      </w:tr>
      <w:tr w14:paraId="570C8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9082" w:type="dxa"/>
            <w:gridSpan w:val="4"/>
            <w:noWrap w:val="0"/>
            <w:vAlign w:val="center"/>
          </w:tcPr>
          <w:p w14:paraId="491CFFF2">
            <w:pPr>
              <w:pageBreakBefore w:val="0"/>
              <w:numPr>
                <w:ilvl w:val="0"/>
                <w:numId w:val="0"/>
              </w:numPr>
              <w:wordWrap w:val="0"/>
              <w:overflowPunct/>
              <w:topLinePunct w:val="0"/>
              <w:bidi w:val="0"/>
              <w:spacing w:line="560" w:lineRule="exact"/>
              <w:jc w:val="center"/>
              <w:rPr>
                <w:rFonts w:hint="eastAsia" w:ascii="宋体" w:hAnsi="宋体"/>
                <w:color w:val="000000"/>
              </w:rPr>
            </w:pPr>
            <w:r>
              <w:rPr>
                <w:rFonts w:hint="eastAsia" w:ascii="宋体" w:hAnsi="宋体" w:eastAsia="宋体"/>
                <w:b/>
                <w:color w:val="000000"/>
                <w:szCs w:val="21"/>
                <w:lang w:val="zh-CN"/>
              </w:rPr>
              <w:t>三、</w:t>
            </w:r>
            <w:r>
              <w:rPr>
                <w:rFonts w:hint="eastAsia" w:ascii="宋体" w:hAnsi="宋体" w:eastAsia="宋体"/>
                <w:b/>
                <w:color w:val="000000"/>
                <w:szCs w:val="21"/>
                <w:lang w:val="en-US" w:eastAsia="zh-CN"/>
              </w:rPr>
              <w:t>技术</w:t>
            </w:r>
            <w:r>
              <w:rPr>
                <w:rFonts w:hint="eastAsia" w:ascii="宋体" w:hAnsi="宋体" w:eastAsia="宋体"/>
                <w:b/>
                <w:color w:val="000000"/>
                <w:szCs w:val="21"/>
                <w:lang w:val="zh-CN"/>
              </w:rPr>
              <w:t>部分</w:t>
            </w:r>
          </w:p>
        </w:tc>
        <w:tc>
          <w:tcPr>
            <w:tcW w:w="1134" w:type="dxa"/>
            <w:noWrap w:val="0"/>
            <w:vAlign w:val="center"/>
          </w:tcPr>
          <w:p w14:paraId="13BB883A">
            <w:pPr>
              <w:pageBreakBefore w:val="0"/>
              <w:numPr>
                <w:ilvl w:val="0"/>
                <w:numId w:val="0"/>
              </w:numPr>
              <w:wordWrap w:val="0"/>
              <w:overflowPunct/>
              <w:topLinePunct w:val="0"/>
              <w:bidi w:val="0"/>
              <w:spacing w:line="560" w:lineRule="exact"/>
              <w:jc w:val="center"/>
              <w:rPr>
                <w:rFonts w:hint="default" w:ascii="宋体" w:hAnsi="宋体" w:eastAsia="宋体"/>
                <w:b/>
                <w:color w:val="000000"/>
                <w:szCs w:val="21"/>
                <w:lang w:val="en-US" w:eastAsia="zh-CN"/>
              </w:rPr>
            </w:pPr>
            <w:r>
              <w:rPr>
                <w:rFonts w:hint="eastAsia" w:ascii="宋体" w:hAnsi="宋体" w:eastAsia="宋体"/>
                <w:b/>
                <w:color w:val="000000"/>
                <w:szCs w:val="21"/>
                <w:lang w:val="en-US" w:eastAsia="zh-CN"/>
              </w:rPr>
              <w:t>60</w:t>
            </w:r>
          </w:p>
        </w:tc>
      </w:tr>
      <w:tr w14:paraId="48A94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701" w:type="dxa"/>
            <w:noWrap w:val="0"/>
            <w:vAlign w:val="center"/>
          </w:tcPr>
          <w:p w14:paraId="659F1598">
            <w:pPr>
              <w:pageBreakBefore w:val="0"/>
              <w:overflowPunct/>
              <w:topLinePunct w:val="0"/>
              <w:autoSpaceDE w:val="0"/>
              <w:autoSpaceDN w:val="0"/>
              <w:bidi w:val="0"/>
              <w:adjustRightInd w:val="0"/>
              <w:spacing w:line="560" w:lineRule="exact"/>
              <w:jc w:val="center"/>
              <w:rPr>
                <w:rFonts w:hint="eastAsia" w:ascii="宋体" w:hAnsi="宋体" w:eastAsia="宋体"/>
                <w:color w:val="000000"/>
                <w:szCs w:val="21"/>
                <w:lang w:eastAsia="zh-CN"/>
              </w:rPr>
            </w:pPr>
            <w:r>
              <w:rPr>
                <w:rFonts w:hint="eastAsia" w:ascii="宋体" w:hAnsi="宋体" w:eastAsia="宋体"/>
                <w:color w:val="000000"/>
                <w:szCs w:val="21"/>
                <w:lang w:val="zh-CN"/>
              </w:rPr>
              <w:t>序号</w:t>
            </w:r>
          </w:p>
        </w:tc>
        <w:tc>
          <w:tcPr>
            <w:tcW w:w="1245" w:type="dxa"/>
            <w:noWrap w:val="0"/>
            <w:vAlign w:val="center"/>
          </w:tcPr>
          <w:p w14:paraId="3E7EE333">
            <w:pPr>
              <w:pageBreakBefore w:val="0"/>
              <w:overflowPunct/>
              <w:topLinePunct w:val="0"/>
              <w:autoSpaceDE w:val="0"/>
              <w:autoSpaceDN w:val="0"/>
              <w:bidi w:val="0"/>
              <w:adjustRightInd w:val="0"/>
              <w:spacing w:line="560" w:lineRule="exact"/>
              <w:jc w:val="center"/>
              <w:rPr>
                <w:rFonts w:ascii="宋体" w:hAnsi="宋体" w:eastAsia="宋体"/>
                <w:color w:val="000000"/>
                <w:szCs w:val="21"/>
              </w:rPr>
            </w:pPr>
            <w:r>
              <w:rPr>
                <w:rFonts w:hint="eastAsia" w:ascii="宋体" w:hAnsi="宋体" w:eastAsia="宋体"/>
                <w:color w:val="000000"/>
                <w:szCs w:val="21"/>
                <w:lang w:val="zh-CN"/>
              </w:rPr>
              <w:t>内容</w:t>
            </w:r>
          </w:p>
        </w:tc>
        <w:tc>
          <w:tcPr>
            <w:tcW w:w="881" w:type="dxa"/>
            <w:noWrap w:val="0"/>
            <w:vAlign w:val="center"/>
          </w:tcPr>
          <w:p w14:paraId="4BA25642">
            <w:pPr>
              <w:pageBreakBefore w:val="0"/>
              <w:overflowPunct/>
              <w:topLinePunct w:val="0"/>
              <w:autoSpaceDE w:val="0"/>
              <w:autoSpaceDN w:val="0"/>
              <w:bidi w:val="0"/>
              <w:adjustRightInd w:val="0"/>
              <w:spacing w:line="560" w:lineRule="exact"/>
              <w:jc w:val="center"/>
              <w:rPr>
                <w:rFonts w:hint="default" w:ascii="宋体" w:hAnsi="宋体" w:eastAsia="宋体"/>
                <w:color w:val="000000"/>
                <w:szCs w:val="21"/>
                <w:lang w:val="en-US" w:eastAsia="zh-CN"/>
              </w:rPr>
            </w:pPr>
            <w:r>
              <w:rPr>
                <w:rFonts w:hint="eastAsia" w:ascii="宋体" w:hAnsi="宋体" w:eastAsia="宋体"/>
                <w:color w:val="000000"/>
                <w:szCs w:val="21"/>
                <w:lang w:val="zh-CN"/>
              </w:rPr>
              <w:t>权重</w:t>
            </w:r>
          </w:p>
        </w:tc>
        <w:tc>
          <w:tcPr>
            <w:tcW w:w="6255" w:type="dxa"/>
            <w:noWrap w:val="0"/>
            <w:vAlign w:val="center"/>
          </w:tcPr>
          <w:p w14:paraId="65CA1123">
            <w:pPr>
              <w:pageBreakBefore w:val="0"/>
              <w:overflowPunct/>
              <w:topLinePunct w:val="0"/>
              <w:autoSpaceDE w:val="0"/>
              <w:autoSpaceDN w:val="0"/>
              <w:bidi w:val="0"/>
              <w:adjustRightInd w:val="0"/>
              <w:spacing w:line="560" w:lineRule="exact"/>
              <w:jc w:val="center"/>
              <w:rPr>
                <w:rFonts w:ascii="宋体" w:hAnsi="宋体" w:eastAsia="宋体" w:cs="宋体"/>
                <w:color w:val="000000"/>
                <w:szCs w:val="21"/>
                <w:shd w:val="pct10" w:color="auto" w:fill="FFFFFF"/>
              </w:rPr>
            </w:pPr>
            <w:r>
              <w:rPr>
                <w:rFonts w:hint="eastAsia" w:ascii="宋体" w:hAnsi="宋体" w:eastAsia="宋体"/>
                <w:color w:val="000000"/>
                <w:szCs w:val="21"/>
                <w:lang w:val="zh-CN"/>
              </w:rPr>
              <w:t>评分规则</w:t>
            </w:r>
          </w:p>
        </w:tc>
        <w:tc>
          <w:tcPr>
            <w:tcW w:w="1134" w:type="dxa"/>
            <w:noWrap w:val="0"/>
            <w:vAlign w:val="center"/>
          </w:tcPr>
          <w:p w14:paraId="63EC08DE">
            <w:pPr>
              <w:pageBreakBefore w:val="0"/>
              <w:overflowPunct/>
              <w:topLinePunct w:val="0"/>
              <w:autoSpaceDE w:val="0"/>
              <w:autoSpaceDN w:val="0"/>
              <w:bidi w:val="0"/>
              <w:adjustRightInd w:val="0"/>
              <w:spacing w:line="560" w:lineRule="exact"/>
              <w:jc w:val="center"/>
              <w:rPr>
                <w:rFonts w:ascii="宋体" w:hAnsi="宋体" w:eastAsia="宋体"/>
                <w:color w:val="000000"/>
                <w:szCs w:val="21"/>
              </w:rPr>
            </w:pPr>
            <w:r>
              <w:rPr>
                <w:rFonts w:hint="eastAsia" w:ascii="宋体" w:hAnsi="宋体" w:eastAsia="宋体"/>
                <w:color w:val="000000"/>
                <w:szCs w:val="21"/>
                <w:lang w:val="zh-CN"/>
              </w:rPr>
              <w:t>评分方式</w:t>
            </w:r>
          </w:p>
        </w:tc>
      </w:tr>
      <w:tr w14:paraId="24FF2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25" w:hRule="atLeast"/>
          <w:jc w:val="center"/>
        </w:trPr>
        <w:tc>
          <w:tcPr>
            <w:tcW w:w="701" w:type="dxa"/>
            <w:noWrap w:val="0"/>
            <w:vAlign w:val="center"/>
          </w:tcPr>
          <w:p w14:paraId="165B1FC0">
            <w:pPr>
              <w:pageBreakBefore w:val="0"/>
              <w:overflowPunct/>
              <w:topLinePunct w:val="0"/>
              <w:autoSpaceDE w:val="0"/>
              <w:autoSpaceDN w:val="0"/>
              <w:bidi w:val="0"/>
              <w:adjustRightInd w:val="0"/>
              <w:spacing w:line="560" w:lineRule="exact"/>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1</w:t>
            </w:r>
          </w:p>
        </w:tc>
        <w:tc>
          <w:tcPr>
            <w:tcW w:w="1245" w:type="dxa"/>
            <w:noWrap w:val="0"/>
            <w:vAlign w:val="center"/>
          </w:tcPr>
          <w:p w14:paraId="3BF8572B">
            <w:pPr>
              <w:pageBreakBefore w:val="0"/>
              <w:overflowPunct/>
              <w:topLinePunct w:val="0"/>
              <w:autoSpaceDE w:val="0"/>
              <w:autoSpaceDN w:val="0"/>
              <w:bidi w:val="0"/>
              <w:adjustRightInd w:val="0"/>
              <w:spacing w:line="560" w:lineRule="exact"/>
              <w:jc w:val="center"/>
              <w:rPr>
                <w:rFonts w:hint="eastAsia" w:ascii="宋体" w:hAnsi="宋体" w:eastAsia="宋体"/>
                <w:color w:val="000000"/>
                <w:szCs w:val="21"/>
              </w:rPr>
            </w:pPr>
            <w:r>
              <w:rPr>
                <w:rFonts w:hint="eastAsia" w:ascii="宋体" w:hAnsi="宋体" w:eastAsia="宋体"/>
                <w:color w:val="000000"/>
                <w:szCs w:val="21"/>
              </w:rPr>
              <w:t>团队</w:t>
            </w:r>
            <w:r>
              <w:rPr>
                <w:rFonts w:ascii="宋体" w:hAnsi="宋体" w:eastAsia="宋体"/>
                <w:color w:val="000000"/>
                <w:szCs w:val="21"/>
              </w:rPr>
              <w:t>力量</w:t>
            </w:r>
          </w:p>
        </w:tc>
        <w:tc>
          <w:tcPr>
            <w:tcW w:w="881" w:type="dxa"/>
            <w:noWrap w:val="0"/>
            <w:vAlign w:val="center"/>
          </w:tcPr>
          <w:p w14:paraId="7C28AE95">
            <w:pPr>
              <w:pageBreakBefore w:val="0"/>
              <w:overflowPunct/>
              <w:topLinePunct w:val="0"/>
              <w:autoSpaceDE w:val="0"/>
              <w:autoSpaceDN w:val="0"/>
              <w:bidi w:val="0"/>
              <w:adjustRightInd w:val="0"/>
              <w:spacing w:line="560" w:lineRule="exact"/>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2</w:t>
            </w:r>
            <w:r>
              <w:rPr>
                <w:rFonts w:hint="eastAsia" w:ascii="宋体" w:hAnsi="宋体"/>
                <w:color w:val="000000"/>
                <w:szCs w:val="21"/>
                <w:lang w:val="en-US" w:eastAsia="zh-CN"/>
              </w:rPr>
              <w:t>5</w:t>
            </w:r>
          </w:p>
        </w:tc>
        <w:tc>
          <w:tcPr>
            <w:tcW w:w="6255" w:type="dxa"/>
            <w:noWrap w:val="0"/>
            <w:vAlign w:val="center"/>
          </w:tcPr>
          <w:p w14:paraId="1FE479BD">
            <w:pPr>
              <w:pageBreakBefore w:val="0"/>
              <w:overflowPunct/>
              <w:topLinePunct w:val="0"/>
              <w:bidi w:val="0"/>
              <w:spacing w:line="560" w:lineRule="exact"/>
              <w:rPr>
                <w:rFonts w:hint="eastAsia" w:ascii="宋体" w:hAnsi="宋体" w:eastAsia="宋体"/>
                <w:color w:val="000000"/>
                <w:szCs w:val="21"/>
                <w:lang w:eastAsia="zh-CN"/>
              </w:rPr>
            </w:pPr>
            <w:r>
              <w:rPr>
                <w:rFonts w:hint="eastAsia" w:ascii="宋体" w:hAnsi="宋体" w:eastAsia="宋体"/>
                <w:color w:val="000000"/>
                <w:szCs w:val="21"/>
                <w:lang w:eastAsia="zh-CN"/>
              </w:rPr>
              <w:t>1.拟投入本项目的项目经理（仅限一人</w:t>
            </w:r>
            <w:r>
              <w:rPr>
                <w:rFonts w:hint="eastAsia" w:ascii="宋体" w:hAnsi="宋体"/>
                <w:color w:val="000000"/>
                <w:szCs w:val="21"/>
                <w:lang w:eastAsia="zh-CN"/>
              </w:rPr>
              <w:t>，</w:t>
            </w:r>
            <w:r>
              <w:rPr>
                <w:rFonts w:hint="eastAsia" w:ascii="宋体" w:hAnsi="宋体"/>
                <w:color w:val="000000"/>
                <w:szCs w:val="21"/>
                <w:lang w:val="en-US" w:eastAsia="zh-CN"/>
              </w:rPr>
              <w:t>10分</w:t>
            </w:r>
            <w:r>
              <w:rPr>
                <w:rFonts w:hint="eastAsia" w:ascii="宋体" w:hAnsi="宋体" w:eastAsia="宋体"/>
                <w:color w:val="000000"/>
                <w:szCs w:val="21"/>
                <w:lang w:eastAsia="zh-CN"/>
              </w:rPr>
              <w:t>）</w:t>
            </w:r>
            <w:r>
              <w:rPr>
                <w:rFonts w:hint="eastAsia" w:ascii="宋体" w:hAnsi="宋体"/>
                <w:color w:val="000000"/>
                <w:szCs w:val="21"/>
                <w:lang w:eastAsia="zh-CN"/>
              </w:rPr>
              <w:t>：</w:t>
            </w:r>
            <w:r>
              <w:rPr>
                <w:rFonts w:hint="eastAsia" w:ascii="宋体" w:hAnsi="宋体" w:eastAsia="宋体"/>
                <w:color w:val="000000"/>
                <w:szCs w:val="21"/>
                <w:lang w:eastAsia="zh-CN"/>
              </w:rPr>
              <w:t>具有一级建造师资格证书的，得6分；具有高级工程师的职称，得4分</w:t>
            </w:r>
            <w:r>
              <w:rPr>
                <w:rFonts w:hint="eastAsia" w:ascii="宋体" w:hAnsi="宋体"/>
                <w:color w:val="000000"/>
                <w:szCs w:val="21"/>
                <w:lang w:eastAsia="zh-CN"/>
              </w:rPr>
              <w:t>；</w:t>
            </w:r>
            <w:r>
              <w:rPr>
                <w:rFonts w:hint="eastAsia" w:ascii="宋体" w:hAnsi="宋体" w:eastAsia="宋体"/>
                <w:color w:val="000000"/>
                <w:szCs w:val="21"/>
                <w:lang w:eastAsia="zh-CN"/>
              </w:rPr>
              <w:t>具有中级工程师职称的得3分</w:t>
            </w:r>
            <w:r>
              <w:rPr>
                <w:rFonts w:hint="eastAsia" w:ascii="宋体" w:hAnsi="宋体"/>
                <w:color w:val="000000"/>
                <w:szCs w:val="21"/>
                <w:lang w:eastAsia="zh-CN"/>
              </w:rPr>
              <w:t>；</w:t>
            </w:r>
            <w:r>
              <w:rPr>
                <w:rFonts w:hint="eastAsia" w:ascii="宋体" w:hAnsi="宋体" w:eastAsia="宋体"/>
                <w:color w:val="000000"/>
                <w:szCs w:val="21"/>
                <w:lang w:eastAsia="zh-CN"/>
              </w:rPr>
              <w:t>无职称不得分。以上</w:t>
            </w:r>
            <w:r>
              <w:rPr>
                <w:rFonts w:hint="eastAsia" w:ascii="宋体" w:hAnsi="宋体"/>
                <w:color w:val="000000"/>
                <w:szCs w:val="21"/>
                <w:lang w:eastAsia="zh-CN"/>
              </w:rPr>
              <w:t>累计</w:t>
            </w:r>
            <w:r>
              <w:rPr>
                <w:rFonts w:hint="eastAsia" w:ascii="宋体" w:hAnsi="宋体" w:eastAsia="宋体"/>
                <w:color w:val="000000"/>
                <w:szCs w:val="21"/>
                <w:lang w:eastAsia="zh-CN"/>
              </w:rPr>
              <w:t>最高得10分，提供证书复印件。</w:t>
            </w:r>
          </w:p>
          <w:p w14:paraId="1D7BD985">
            <w:pPr>
              <w:pageBreakBefore w:val="0"/>
              <w:overflowPunct/>
              <w:topLinePunct w:val="0"/>
              <w:bidi w:val="0"/>
              <w:spacing w:line="560" w:lineRule="exact"/>
              <w:rPr>
                <w:rFonts w:hint="eastAsia" w:ascii="宋体" w:hAnsi="宋体" w:eastAsia="宋体"/>
                <w:color w:val="000000"/>
                <w:szCs w:val="21"/>
                <w:lang w:eastAsia="zh-CN"/>
              </w:rPr>
            </w:pPr>
            <w:r>
              <w:rPr>
                <w:rFonts w:hint="eastAsia" w:ascii="宋体" w:hAnsi="宋体"/>
                <w:color w:val="000000"/>
                <w:szCs w:val="21"/>
                <w:lang w:val="en-US" w:eastAsia="zh-CN"/>
              </w:rPr>
              <w:t>2</w:t>
            </w:r>
            <w:r>
              <w:rPr>
                <w:rFonts w:hint="eastAsia" w:ascii="宋体" w:hAnsi="宋体" w:eastAsia="宋体"/>
                <w:color w:val="000000"/>
                <w:szCs w:val="21"/>
                <w:lang w:eastAsia="zh-CN"/>
              </w:rPr>
              <w:t>.项目团队人员</w:t>
            </w:r>
            <w:r>
              <w:rPr>
                <w:rFonts w:hint="eastAsia" w:ascii="宋体" w:hAnsi="宋体"/>
                <w:color w:val="000000"/>
                <w:szCs w:val="21"/>
                <w:lang w:eastAsia="zh-CN"/>
              </w:rPr>
              <w:t>（</w:t>
            </w:r>
            <w:r>
              <w:rPr>
                <w:rFonts w:hint="eastAsia" w:ascii="宋体" w:hAnsi="宋体"/>
                <w:color w:val="000000"/>
                <w:szCs w:val="21"/>
                <w:lang w:val="en-US" w:eastAsia="zh-CN"/>
              </w:rPr>
              <w:t>1</w:t>
            </w:r>
            <w:r>
              <w:rPr>
                <w:rFonts w:hint="default" w:ascii="宋体" w:hAnsi="宋体"/>
                <w:color w:val="000000"/>
                <w:szCs w:val="21"/>
                <w:lang w:val="en-US" w:eastAsia="zh-CN"/>
              </w:rPr>
              <w:t>5</w:t>
            </w:r>
            <w:r>
              <w:rPr>
                <w:rFonts w:hint="eastAsia" w:ascii="宋体" w:hAnsi="宋体"/>
                <w:color w:val="000000"/>
                <w:szCs w:val="21"/>
                <w:lang w:val="en-US" w:eastAsia="zh-CN"/>
              </w:rPr>
              <w:t>分</w:t>
            </w:r>
            <w:r>
              <w:rPr>
                <w:rFonts w:hint="eastAsia" w:ascii="宋体" w:hAnsi="宋体"/>
                <w:color w:val="000000"/>
                <w:szCs w:val="21"/>
                <w:lang w:eastAsia="zh-CN"/>
              </w:rPr>
              <w:t>）：</w:t>
            </w:r>
            <w:r>
              <w:rPr>
                <w:rFonts w:hint="eastAsia" w:ascii="宋体" w:hAnsi="宋体" w:eastAsia="宋体"/>
                <w:color w:val="000000"/>
                <w:szCs w:val="21"/>
                <w:lang w:eastAsia="zh-CN"/>
              </w:rPr>
              <w:t>每提供一个具有注册一级建构工程师资格的得</w:t>
            </w:r>
            <w:r>
              <w:rPr>
                <w:rFonts w:hint="eastAsia" w:ascii="宋体" w:hAnsi="宋体"/>
                <w:color w:val="000000"/>
                <w:szCs w:val="21"/>
                <w:lang w:val="en-US" w:eastAsia="zh-CN"/>
              </w:rPr>
              <w:t>5</w:t>
            </w:r>
            <w:r>
              <w:rPr>
                <w:rFonts w:hint="eastAsia" w:ascii="宋体" w:hAnsi="宋体" w:eastAsia="宋体"/>
                <w:color w:val="000000"/>
                <w:szCs w:val="21"/>
                <w:lang w:eastAsia="zh-CN"/>
              </w:rPr>
              <w:t>分，本项最高得</w:t>
            </w:r>
            <w:r>
              <w:rPr>
                <w:rFonts w:hint="eastAsia" w:ascii="宋体" w:hAnsi="宋体"/>
                <w:color w:val="000000"/>
                <w:szCs w:val="21"/>
                <w:lang w:val="en-US" w:eastAsia="zh-CN"/>
              </w:rPr>
              <w:t>5</w:t>
            </w:r>
            <w:r>
              <w:rPr>
                <w:rFonts w:hint="eastAsia" w:ascii="宋体" w:hAnsi="宋体" w:eastAsia="宋体"/>
                <w:color w:val="000000"/>
                <w:szCs w:val="21"/>
                <w:lang w:eastAsia="zh-CN"/>
              </w:rPr>
              <w:t>分；每提供一个具有高级工程师职称的得</w:t>
            </w:r>
            <w:r>
              <w:rPr>
                <w:rFonts w:hint="eastAsia" w:ascii="宋体" w:hAnsi="宋体"/>
                <w:color w:val="000000"/>
                <w:szCs w:val="21"/>
                <w:lang w:val="en-US" w:eastAsia="zh-CN"/>
              </w:rPr>
              <w:t>4</w:t>
            </w:r>
            <w:r>
              <w:rPr>
                <w:rFonts w:hint="eastAsia" w:ascii="宋体" w:hAnsi="宋体" w:eastAsia="宋体"/>
                <w:color w:val="000000"/>
                <w:szCs w:val="21"/>
                <w:lang w:eastAsia="zh-CN"/>
              </w:rPr>
              <w:t>分，本项最高得4分；具有中级工程师职称的得3分，本项最高得6分。</w:t>
            </w:r>
          </w:p>
          <w:p w14:paraId="27EC6AC2">
            <w:pPr>
              <w:pageBreakBefore w:val="0"/>
              <w:overflowPunct/>
              <w:topLinePunct w:val="0"/>
              <w:bidi w:val="0"/>
              <w:spacing w:line="560" w:lineRule="exact"/>
              <w:rPr>
                <w:rFonts w:hint="eastAsia" w:ascii="宋体" w:hAnsi="宋体" w:eastAsia="宋体"/>
                <w:color w:val="000000"/>
                <w:szCs w:val="21"/>
                <w:lang w:eastAsia="zh-CN"/>
              </w:rPr>
            </w:pPr>
            <w:r>
              <w:rPr>
                <w:rFonts w:hint="eastAsia" w:ascii="宋体" w:hAnsi="宋体" w:eastAsia="宋体"/>
                <w:color w:val="000000"/>
                <w:szCs w:val="21"/>
                <w:lang w:eastAsia="zh-CN"/>
              </w:rPr>
              <w:t>注：</w:t>
            </w:r>
            <w:r>
              <w:rPr>
                <w:rFonts w:ascii="宋体" w:hAnsi="宋体" w:eastAsia="宋体"/>
                <w:color w:val="000000"/>
                <w:szCs w:val="21"/>
              </w:rPr>
              <w:t>须提供以上人员证书及</w:t>
            </w:r>
            <w:r>
              <w:rPr>
                <w:rFonts w:hint="eastAsia" w:ascii="宋体" w:hAnsi="宋体"/>
                <w:color w:val="000000"/>
                <w:szCs w:val="21"/>
                <w:lang w:eastAsia="zh-CN"/>
              </w:rPr>
              <w:t>近</w:t>
            </w:r>
            <w:r>
              <w:rPr>
                <w:rFonts w:ascii="宋体" w:hAnsi="宋体" w:eastAsia="宋体"/>
                <w:color w:val="000000"/>
                <w:szCs w:val="21"/>
              </w:rPr>
              <w:t>3个月的在投标单位或</w:t>
            </w:r>
            <w:r>
              <w:rPr>
                <w:color w:val="000000"/>
              </w:rPr>
              <w:t>生产企业</w:t>
            </w:r>
            <w:r>
              <w:rPr>
                <w:rFonts w:ascii="宋体" w:hAnsi="宋体" w:eastAsia="宋体"/>
                <w:color w:val="000000"/>
                <w:szCs w:val="21"/>
              </w:rPr>
              <w:t>连续缴纳社保证明扫描件，</w:t>
            </w:r>
            <w:r>
              <w:rPr>
                <w:rFonts w:hint="eastAsia" w:ascii="宋体" w:hAnsi="宋体" w:eastAsia="宋体"/>
                <w:color w:val="000000"/>
                <w:szCs w:val="21"/>
                <w:lang w:eastAsia="zh-CN"/>
              </w:rPr>
              <w:t>退休返聘人员提供退休证明，</w:t>
            </w:r>
            <w:r>
              <w:rPr>
                <w:rFonts w:ascii="宋体" w:hAnsi="宋体" w:eastAsia="宋体"/>
                <w:color w:val="000000"/>
                <w:szCs w:val="21"/>
              </w:rPr>
              <w:t>否则不得分</w:t>
            </w:r>
            <w:r>
              <w:rPr>
                <w:rFonts w:hint="eastAsia" w:ascii="宋体" w:hAnsi="宋体" w:eastAsia="宋体"/>
                <w:color w:val="000000"/>
                <w:szCs w:val="21"/>
                <w:lang w:eastAsia="zh-CN"/>
              </w:rPr>
              <w:t>。</w:t>
            </w:r>
          </w:p>
        </w:tc>
        <w:tc>
          <w:tcPr>
            <w:tcW w:w="1134" w:type="dxa"/>
            <w:noWrap w:val="0"/>
            <w:vAlign w:val="center"/>
          </w:tcPr>
          <w:p w14:paraId="3C6ECFE2">
            <w:pPr>
              <w:pageBreakBefore w:val="0"/>
              <w:overflowPunct/>
              <w:topLinePunct w:val="0"/>
              <w:autoSpaceDE w:val="0"/>
              <w:autoSpaceDN w:val="0"/>
              <w:bidi w:val="0"/>
              <w:adjustRightInd w:val="0"/>
              <w:spacing w:line="560" w:lineRule="exact"/>
              <w:jc w:val="center"/>
              <w:rPr>
                <w:rFonts w:hint="eastAsia" w:ascii="宋体" w:hAnsi="宋体" w:eastAsia="宋体"/>
                <w:color w:val="000000"/>
                <w:szCs w:val="21"/>
                <w:lang w:val="zh-CN" w:eastAsia="zh-CN"/>
              </w:rPr>
            </w:pPr>
            <w:r>
              <w:rPr>
                <w:rFonts w:hint="eastAsia" w:ascii="宋体" w:hAnsi="宋体" w:eastAsia="宋体"/>
                <w:color w:val="000000"/>
                <w:szCs w:val="21"/>
                <w:lang w:val="zh-CN" w:eastAsia="zh-CN"/>
              </w:rPr>
              <w:t>采购小组</w:t>
            </w:r>
          </w:p>
          <w:p w14:paraId="27CD129F">
            <w:pPr>
              <w:pageBreakBefore w:val="0"/>
              <w:overflowPunct/>
              <w:topLinePunct w:val="0"/>
              <w:bidi w:val="0"/>
              <w:spacing w:line="560" w:lineRule="exact"/>
              <w:jc w:val="center"/>
              <w:rPr>
                <w:rFonts w:ascii="宋体" w:hAnsi="宋体" w:eastAsia="宋体"/>
                <w:color w:val="000000"/>
                <w:szCs w:val="21"/>
              </w:rPr>
            </w:pPr>
            <w:r>
              <w:rPr>
                <w:rFonts w:hint="eastAsia" w:ascii="宋体" w:hAnsi="宋体" w:eastAsia="宋体"/>
                <w:color w:val="000000"/>
                <w:szCs w:val="21"/>
                <w:lang w:val="zh-CN" w:eastAsia="zh-CN"/>
              </w:rPr>
              <w:t>打分</w:t>
            </w:r>
          </w:p>
        </w:tc>
      </w:tr>
      <w:tr w14:paraId="5F677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45" w:hRule="atLeast"/>
          <w:jc w:val="center"/>
        </w:trPr>
        <w:tc>
          <w:tcPr>
            <w:tcW w:w="701" w:type="dxa"/>
            <w:noWrap w:val="0"/>
            <w:vAlign w:val="center"/>
          </w:tcPr>
          <w:p w14:paraId="612AD100">
            <w:pPr>
              <w:pageBreakBefore w:val="0"/>
              <w:overflowPunct/>
              <w:topLinePunct w:val="0"/>
              <w:autoSpaceDE w:val="0"/>
              <w:autoSpaceDN w:val="0"/>
              <w:bidi w:val="0"/>
              <w:adjustRightInd w:val="0"/>
              <w:spacing w:line="560" w:lineRule="exact"/>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2</w:t>
            </w:r>
          </w:p>
        </w:tc>
        <w:tc>
          <w:tcPr>
            <w:tcW w:w="1245" w:type="dxa"/>
            <w:noWrap w:val="0"/>
            <w:vAlign w:val="center"/>
          </w:tcPr>
          <w:p w14:paraId="37399B48">
            <w:pPr>
              <w:pageBreakBefore w:val="0"/>
              <w:overflowPunct/>
              <w:topLinePunct w:val="0"/>
              <w:autoSpaceDE w:val="0"/>
              <w:autoSpaceDN w:val="0"/>
              <w:bidi w:val="0"/>
              <w:adjustRightInd w:val="0"/>
              <w:spacing w:line="560" w:lineRule="exact"/>
              <w:jc w:val="center"/>
              <w:rPr>
                <w:rFonts w:ascii="宋体" w:hAnsi="宋体" w:eastAsia="宋体"/>
                <w:color w:val="000000"/>
                <w:kern w:val="0"/>
                <w:szCs w:val="21"/>
              </w:rPr>
            </w:pPr>
            <w:r>
              <w:rPr>
                <w:rFonts w:hint="eastAsia" w:ascii="宋体" w:hAnsi="宋体" w:eastAsia="宋体" w:cs="宋体"/>
                <w:color w:val="000000"/>
                <w:kern w:val="0"/>
                <w:szCs w:val="21"/>
              </w:rPr>
              <w:t>项目实施方案</w:t>
            </w:r>
          </w:p>
        </w:tc>
        <w:tc>
          <w:tcPr>
            <w:tcW w:w="881" w:type="dxa"/>
            <w:noWrap w:val="0"/>
            <w:vAlign w:val="center"/>
          </w:tcPr>
          <w:p w14:paraId="00858277">
            <w:pPr>
              <w:pageBreakBefore w:val="0"/>
              <w:overflowPunct/>
              <w:topLinePunct w:val="0"/>
              <w:autoSpaceDE w:val="0"/>
              <w:autoSpaceDN w:val="0"/>
              <w:bidi w:val="0"/>
              <w:adjustRightInd w:val="0"/>
              <w:spacing w:line="560" w:lineRule="exact"/>
              <w:jc w:val="center"/>
              <w:rPr>
                <w:rFonts w:hint="default" w:ascii="宋体" w:hAnsi="宋体" w:eastAsia="宋体"/>
                <w:color w:val="000000"/>
                <w:szCs w:val="21"/>
                <w:lang w:val="en-US" w:eastAsia="zh-CN"/>
              </w:rPr>
            </w:pPr>
            <w:r>
              <w:rPr>
                <w:rFonts w:hint="eastAsia" w:ascii="宋体" w:hAnsi="宋体"/>
                <w:color w:val="000000"/>
                <w:szCs w:val="21"/>
                <w:lang w:val="en-US" w:eastAsia="zh-CN"/>
              </w:rPr>
              <w:t>35</w:t>
            </w:r>
          </w:p>
        </w:tc>
        <w:tc>
          <w:tcPr>
            <w:tcW w:w="6255" w:type="dxa"/>
            <w:noWrap w:val="0"/>
            <w:vAlign w:val="center"/>
          </w:tcPr>
          <w:p w14:paraId="50B6E094">
            <w:pPr>
              <w:pageBreakBefore w:val="0"/>
              <w:overflowPunct/>
              <w:topLinePunct w:val="0"/>
              <w:bidi w:val="0"/>
              <w:spacing w:line="560" w:lineRule="exact"/>
              <w:rPr>
                <w:rFonts w:hint="eastAsia"/>
              </w:rPr>
            </w:pPr>
            <w:r>
              <w:rPr>
                <w:rFonts w:hint="eastAsia"/>
              </w:rPr>
              <w:t>对项目的理解程度，对重点难点的应对措施及相关的合理化建议，提出有针对性、可行性和实施计划进行横向比较分档评分，优得</w:t>
            </w:r>
            <w:r>
              <w:rPr>
                <w:rFonts w:hint="eastAsia"/>
                <w:lang w:val="en-US" w:eastAsia="zh-CN"/>
              </w:rPr>
              <w:t>35</w:t>
            </w:r>
            <w:r>
              <w:rPr>
                <w:rFonts w:hint="eastAsia"/>
              </w:rPr>
              <w:t>分；良得</w:t>
            </w:r>
            <w:r>
              <w:rPr>
                <w:rFonts w:hint="eastAsia"/>
                <w:lang w:val="en-US" w:eastAsia="zh-CN"/>
              </w:rPr>
              <w:t>28</w:t>
            </w:r>
            <w:r>
              <w:rPr>
                <w:rFonts w:hint="eastAsia"/>
              </w:rPr>
              <w:t>分；中得</w:t>
            </w:r>
            <w:r>
              <w:rPr>
                <w:rFonts w:hint="eastAsia"/>
                <w:lang w:val="en-US" w:eastAsia="zh-CN"/>
              </w:rPr>
              <w:t>20</w:t>
            </w:r>
            <w:r>
              <w:rPr>
                <w:rFonts w:hint="eastAsia"/>
              </w:rPr>
              <w:t>分；差</w:t>
            </w:r>
            <w:r>
              <w:rPr>
                <w:rFonts w:hint="eastAsia"/>
                <w:lang w:eastAsia="zh-CN"/>
              </w:rPr>
              <w:t>、未提供不</w:t>
            </w:r>
            <w:r>
              <w:rPr>
                <w:rFonts w:hint="eastAsia"/>
              </w:rPr>
              <w:t>得分；</w:t>
            </w:r>
          </w:p>
          <w:p w14:paraId="0D89396F">
            <w:pPr>
              <w:keepNext w:val="0"/>
              <w:keepLines w:val="0"/>
              <w:pageBreakBefore w:val="0"/>
              <w:widowControl w:val="0"/>
              <w:kinsoku/>
              <w:wordWrap/>
              <w:overflowPunct/>
              <w:topLinePunct w:val="0"/>
              <w:bidi w:val="0"/>
              <w:spacing w:line="560" w:lineRule="exact"/>
              <w:textAlignment w:val="auto"/>
              <w:rPr>
                <w:rFonts w:hint="eastAsia"/>
              </w:rPr>
            </w:pPr>
            <w:r>
              <w:rPr>
                <w:rFonts w:hint="eastAsia"/>
                <w:lang w:eastAsia="zh-CN"/>
              </w:rPr>
              <w:t>①</w:t>
            </w:r>
            <w:r>
              <w:rPr>
                <w:rFonts w:hint="eastAsia"/>
              </w:rPr>
              <w:t>工作方案整体实操性高，内容全面，针对性强，科学合理，</w:t>
            </w:r>
            <w:r>
              <w:rPr>
                <w:rFonts w:hint="eastAsia"/>
                <w:lang w:eastAsia="zh-CN"/>
              </w:rPr>
              <w:t>贴合实际，评优得</w:t>
            </w:r>
            <w:r>
              <w:rPr>
                <w:rFonts w:hint="eastAsia"/>
                <w:lang w:val="en-US" w:eastAsia="zh-CN"/>
              </w:rPr>
              <w:t>35分</w:t>
            </w:r>
            <w:r>
              <w:rPr>
                <w:rFonts w:hint="eastAsia"/>
              </w:rPr>
              <w:t>；</w:t>
            </w:r>
          </w:p>
          <w:p w14:paraId="6669DA7C">
            <w:pPr>
              <w:keepNext w:val="0"/>
              <w:keepLines w:val="0"/>
              <w:pageBreakBefore w:val="0"/>
              <w:widowControl w:val="0"/>
              <w:kinsoku/>
              <w:wordWrap/>
              <w:overflowPunct/>
              <w:topLinePunct w:val="0"/>
              <w:bidi w:val="0"/>
              <w:spacing w:line="560" w:lineRule="exact"/>
              <w:textAlignment w:val="auto"/>
              <w:rPr>
                <w:rFonts w:hint="eastAsia"/>
              </w:rPr>
            </w:pPr>
            <w:r>
              <w:rPr>
                <w:rFonts w:hint="eastAsia"/>
                <w:lang w:eastAsia="zh-CN"/>
              </w:rPr>
              <w:t>②</w:t>
            </w:r>
            <w:r>
              <w:rPr>
                <w:rFonts w:hint="eastAsia"/>
              </w:rPr>
              <w:t>工作方案整体实操性较高，内容较全面，贴近实际，</w:t>
            </w:r>
            <w:r>
              <w:rPr>
                <w:rFonts w:hint="eastAsia"/>
                <w:lang w:eastAsia="zh-CN"/>
              </w:rPr>
              <w:t>评良得</w:t>
            </w:r>
            <w:r>
              <w:rPr>
                <w:rFonts w:hint="eastAsia"/>
                <w:lang w:val="en-US" w:eastAsia="zh-CN"/>
              </w:rPr>
              <w:t>28分</w:t>
            </w:r>
            <w:r>
              <w:rPr>
                <w:rFonts w:hint="eastAsia"/>
              </w:rPr>
              <w:t>；</w:t>
            </w:r>
          </w:p>
          <w:p w14:paraId="0DA729E4">
            <w:pPr>
              <w:keepNext w:val="0"/>
              <w:keepLines w:val="0"/>
              <w:pageBreakBefore w:val="0"/>
              <w:widowControl w:val="0"/>
              <w:kinsoku/>
              <w:wordWrap/>
              <w:overflowPunct/>
              <w:topLinePunct w:val="0"/>
              <w:bidi w:val="0"/>
              <w:spacing w:line="560" w:lineRule="exact"/>
              <w:textAlignment w:val="auto"/>
              <w:rPr>
                <w:rFonts w:hint="eastAsia"/>
              </w:rPr>
            </w:pPr>
            <w:r>
              <w:rPr>
                <w:rFonts w:hint="eastAsia"/>
              </w:rPr>
              <w:t>③工作方案有一定实操性，</w:t>
            </w:r>
            <w:r>
              <w:rPr>
                <w:rFonts w:hint="eastAsia"/>
                <w:lang w:eastAsia="zh-CN"/>
              </w:rPr>
              <w:t>基本符合</w:t>
            </w:r>
            <w:r>
              <w:rPr>
                <w:rFonts w:hint="eastAsia"/>
              </w:rPr>
              <w:t>要求，</w:t>
            </w:r>
            <w:r>
              <w:rPr>
                <w:rFonts w:hint="eastAsia"/>
                <w:lang w:eastAsia="zh-CN"/>
              </w:rPr>
              <w:t>评中得</w:t>
            </w:r>
            <w:r>
              <w:rPr>
                <w:rFonts w:hint="eastAsia"/>
                <w:lang w:val="en-US" w:eastAsia="zh-CN"/>
              </w:rPr>
              <w:t>20分</w:t>
            </w:r>
            <w:r>
              <w:rPr>
                <w:rFonts w:hint="eastAsia"/>
              </w:rPr>
              <w:t>；</w:t>
            </w:r>
          </w:p>
          <w:p w14:paraId="764EFCF8">
            <w:pPr>
              <w:pageBreakBefore w:val="0"/>
              <w:overflowPunct/>
              <w:topLinePunct w:val="0"/>
              <w:bidi w:val="0"/>
              <w:spacing w:line="560" w:lineRule="exact"/>
              <w:rPr>
                <w:lang w:val="zh-CN"/>
              </w:rPr>
            </w:pPr>
            <w:r>
              <w:rPr>
                <w:rFonts w:hint="eastAsia"/>
              </w:rPr>
              <w:t>④其他情况或未提供方案不得分。</w:t>
            </w:r>
          </w:p>
        </w:tc>
        <w:tc>
          <w:tcPr>
            <w:tcW w:w="1134" w:type="dxa"/>
            <w:noWrap w:val="0"/>
            <w:vAlign w:val="center"/>
          </w:tcPr>
          <w:p w14:paraId="6C57B04E">
            <w:pPr>
              <w:pageBreakBefore w:val="0"/>
              <w:overflowPunct/>
              <w:topLinePunct w:val="0"/>
              <w:autoSpaceDE w:val="0"/>
              <w:autoSpaceDN w:val="0"/>
              <w:bidi w:val="0"/>
              <w:adjustRightInd w:val="0"/>
              <w:spacing w:line="560" w:lineRule="exact"/>
              <w:jc w:val="center"/>
              <w:rPr>
                <w:rFonts w:hint="eastAsia" w:ascii="宋体" w:hAnsi="宋体" w:eastAsia="宋体"/>
                <w:color w:val="000000"/>
                <w:szCs w:val="21"/>
                <w:lang w:val="zh-CN" w:eastAsia="zh-CN"/>
              </w:rPr>
            </w:pPr>
            <w:r>
              <w:rPr>
                <w:rFonts w:hint="eastAsia" w:ascii="宋体" w:hAnsi="宋体" w:eastAsia="宋体"/>
                <w:color w:val="000000"/>
                <w:szCs w:val="21"/>
                <w:lang w:val="zh-CN" w:eastAsia="zh-CN"/>
              </w:rPr>
              <w:t>采购小组</w:t>
            </w:r>
          </w:p>
          <w:p w14:paraId="50247F06">
            <w:pPr>
              <w:pStyle w:val="19"/>
              <w:pageBreakBefore w:val="0"/>
              <w:overflowPunct/>
              <w:topLinePunct w:val="0"/>
              <w:autoSpaceDE w:val="0"/>
              <w:autoSpaceDN w:val="0"/>
              <w:bidi w:val="0"/>
              <w:adjustRightInd w:val="0"/>
              <w:spacing w:line="560" w:lineRule="exact"/>
              <w:ind w:firstLine="0"/>
              <w:jc w:val="center"/>
              <w:rPr>
                <w:rFonts w:hint="eastAsia" w:ascii="宋体" w:hAnsi="宋体" w:eastAsia="宋体" w:cs="Times New Roman"/>
                <w:color w:val="000000"/>
                <w:kern w:val="2"/>
                <w:sz w:val="21"/>
                <w:szCs w:val="20"/>
              </w:rPr>
            </w:pPr>
            <w:r>
              <w:rPr>
                <w:rFonts w:hint="eastAsia" w:ascii="宋体" w:hAnsi="宋体" w:eastAsia="宋体"/>
                <w:color w:val="000000"/>
                <w:szCs w:val="21"/>
                <w:lang w:val="zh-CN" w:eastAsia="zh-CN"/>
              </w:rPr>
              <w:t>打分</w:t>
            </w:r>
          </w:p>
        </w:tc>
      </w:tr>
    </w:tbl>
    <w:p w14:paraId="3AB60F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得分精确到小数点后两位。其中，评分细则表中要求原件备查的资料，如需查验原件，采购方将提前通知各报名参加投标的供应商，各供应商应在递交投标文件截止时间前同时递交评分表中的原件备查资料的原件，如经通知后未提交原件的或未按时提交原件的该评分项不得分。所有递交的原件备查资料在评审完毕后，归还各投标供应商。</w:t>
      </w:r>
    </w:p>
    <w:p w14:paraId="0307938B">
      <w:pPr>
        <w:pageBreakBefore w:val="0"/>
        <w:overflowPunct/>
        <w:topLinePunct w:val="0"/>
        <w:bidi w:val="0"/>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为长期服务项目，采购人根据合同履行情况及财政预算决定是否续签下一年度合同，长期服务项目政府采购合同履行期限最长不超过三十六个月，服务合同实行一年一签，如中标供应商履约情况不达标，采购人不再续签。</w:t>
      </w:r>
    </w:p>
    <w:p w14:paraId="2447FC07">
      <w:pPr>
        <w:pageBreakBefore w:val="0"/>
        <w:kinsoku/>
        <w:wordWrap/>
        <w:overflowPunct/>
        <w:topLinePunct w:val="0"/>
        <w:bidi w:val="0"/>
        <w:spacing w:line="560" w:lineRule="exact"/>
        <w:ind w:firstLine="0" w:firstLineChars="0"/>
        <w:textAlignment w:val="auto"/>
        <w:rPr>
          <w:rFonts w:hint="eastAsia" w:ascii="仿宋_GB2312" w:hAnsi="仿宋_GB2312" w:eastAsia="仿宋_GB2312" w:cs="仿宋_GB2312"/>
          <w:color w:val="000000"/>
          <w:sz w:val="32"/>
          <w:szCs w:val="32"/>
          <w:lang w:val="en-US" w:eastAsia="zh-CN"/>
        </w:rPr>
      </w:pPr>
    </w:p>
    <w:p w14:paraId="181F47D8">
      <w:pPr>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附件：1.中小企业声明函</w:t>
      </w:r>
    </w:p>
    <w:p w14:paraId="4BB015B9">
      <w:pPr>
        <w:pageBreakBefore w:val="0"/>
        <w:kinsoku/>
        <w:wordWrap/>
        <w:overflowPunct/>
        <w:topLinePunct w:val="0"/>
        <w:bidi w:val="0"/>
        <w:spacing w:line="560" w:lineRule="exact"/>
        <w:ind w:firstLine="1600" w:firstLineChars="5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2.供应商基本情况表</w:t>
      </w:r>
    </w:p>
    <w:p w14:paraId="79FA02AD">
      <w:pPr>
        <w:pStyle w:val="15"/>
        <w:pageBreakBefore w:val="0"/>
        <w:overflowPunct/>
        <w:topLinePunct w:val="0"/>
        <w:bidi w:val="0"/>
        <w:spacing w:line="560" w:lineRule="exact"/>
        <w:rPr>
          <w:rFonts w:hint="eastAsia"/>
        </w:rPr>
      </w:pPr>
    </w:p>
    <w:p w14:paraId="791F1739">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384F927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63C891B2">
      <w:pPr>
        <w:pageBreakBefore w:val="0"/>
        <w:overflowPunct/>
        <w:topLinePunct w:val="0"/>
        <w:bidi w:val="0"/>
        <w:spacing w:line="560" w:lineRule="exact"/>
        <w:rPr>
          <w:rFonts w:hint="eastAsia" w:ascii="仿宋" w:hAnsi="仿宋" w:eastAsia="仿宋" w:cs="仿宋"/>
          <w:sz w:val="28"/>
          <w:szCs w:val="28"/>
          <w:lang w:val="en-US" w:eastAsia="zh-CN"/>
        </w:rPr>
      </w:pPr>
    </w:p>
    <w:p w14:paraId="7C8E72A4">
      <w:pPr>
        <w:pageBreakBefore w:val="0"/>
        <w:overflowPunct/>
        <w:topLinePunct w:val="0"/>
        <w:bidi w:val="0"/>
        <w:spacing w:line="560" w:lineRule="exact"/>
        <w:rPr>
          <w:rFonts w:hint="eastAsia" w:ascii="仿宋" w:hAnsi="仿宋" w:eastAsia="仿宋" w:cs="仿宋"/>
          <w:sz w:val="28"/>
          <w:szCs w:val="28"/>
          <w:lang w:val="en-US" w:eastAsia="zh-CN"/>
        </w:rPr>
      </w:pPr>
    </w:p>
    <w:p w14:paraId="289459EB">
      <w:pPr>
        <w:pStyle w:val="2"/>
        <w:rPr>
          <w:rFonts w:hint="eastAsia" w:ascii="仿宋" w:hAnsi="仿宋" w:eastAsia="仿宋" w:cs="仿宋"/>
          <w:sz w:val="28"/>
          <w:szCs w:val="28"/>
          <w:lang w:val="en-US" w:eastAsia="zh-CN"/>
        </w:rPr>
      </w:pPr>
    </w:p>
    <w:p w14:paraId="50F8F14B">
      <w:pPr>
        <w:rPr>
          <w:rFonts w:hint="eastAsia" w:ascii="仿宋" w:hAnsi="仿宋" w:eastAsia="仿宋" w:cs="仿宋"/>
          <w:sz w:val="28"/>
          <w:szCs w:val="28"/>
          <w:lang w:val="en-US" w:eastAsia="zh-CN"/>
        </w:rPr>
      </w:pPr>
    </w:p>
    <w:p w14:paraId="59BA8CE9">
      <w:pPr>
        <w:pStyle w:val="2"/>
        <w:rPr>
          <w:rFonts w:hint="eastAsia"/>
          <w:lang w:val="en-US" w:eastAsia="zh-CN"/>
        </w:rPr>
      </w:pPr>
    </w:p>
    <w:p w14:paraId="24C3A4D1">
      <w:pPr>
        <w:pageBreakBefore w:val="0"/>
        <w:overflowPunct/>
        <w:topLinePunct w:val="0"/>
        <w:bidi w:val="0"/>
        <w:spacing w:line="560" w:lineRule="exact"/>
        <w:rPr>
          <w:rFonts w:hint="eastAsia" w:ascii="仿宋" w:hAnsi="仿宋" w:eastAsia="仿宋" w:cs="仿宋"/>
          <w:sz w:val="28"/>
          <w:szCs w:val="28"/>
          <w:lang w:val="en-US" w:eastAsia="zh-CN"/>
        </w:rPr>
      </w:pPr>
    </w:p>
    <w:p w14:paraId="547A7B2E">
      <w:pPr>
        <w:pageBreakBefore w:val="0"/>
        <w:overflowPunct/>
        <w:topLinePunct w:val="0"/>
        <w:bidi w:val="0"/>
        <w:spacing w:line="560" w:lineRule="exact"/>
        <w:rPr>
          <w:rFonts w:hint="eastAsia" w:ascii="仿宋" w:hAnsi="仿宋" w:eastAsia="仿宋" w:cs="仿宋"/>
          <w:sz w:val="28"/>
          <w:szCs w:val="28"/>
          <w:lang w:val="en-US" w:eastAsia="zh-CN"/>
        </w:rPr>
      </w:pPr>
    </w:p>
    <w:p w14:paraId="4E0E90CC">
      <w:pPr>
        <w:pageBreakBefore w:val="0"/>
        <w:overflowPunct/>
        <w:topLinePunct w:val="0"/>
        <w:bidi w:val="0"/>
        <w:spacing w:line="560" w:lineRule="exact"/>
        <w:rPr>
          <w:rFonts w:hint="eastAsia" w:ascii="仿宋_GB2312" w:hAnsi="仿宋_GB2312" w:eastAsia="仿宋_GB2312" w:cs="仿宋_GB2312"/>
          <w:sz w:val="32"/>
          <w:szCs w:val="32"/>
          <w:lang w:val="en-US" w:eastAsia="zh-CN"/>
        </w:rPr>
        <w:sectPr>
          <w:footerReference r:id="rId3" w:type="default"/>
          <w:pgSz w:w="11906" w:h="16838"/>
          <w:pgMar w:top="1701" w:right="1474" w:bottom="1984" w:left="1587" w:header="851" w:footer="992" w:gutter="0"/>
          <w:pgNumType w:fmt="decimal"/>
          <w:cols w:space="720" w:num="1"/>
          <w:docGrid w:type="lines" w:linePitch="312" w:charSpace="0"/>
        </w:sectPr>
      </w:pPr>
    </w:p>
    <w:p w14:paraId="1048B8CF">
      <w:pPr>
        <w:pageBreakBefore w:val="0"/>
        <w:overflowPunct/>
        <w:topLinePunct w:val="0"/>
        <w:bidi w:val="0"/>
        <w:spacing w:line="560" w:lineRule="exact"/>
        <w:rPr>
          <w:rFonts w:hint="eastAsia" w:ascii="方正小标宋简体" w:hAnsi="方正小标宋简体" w:eastAsia="方正小标宋简体" w:cs="方正小标宋简体"/>
          <w:b w:val="0"/>
          <w:bCs w:val="0"/>
          <w:spacing w:val="3"/>
          <w:sz w:val="44"/>
          <w:szCs w:val="44"/>
        </w:rPr>
      </w:pPr>
      <w:r>
        <w:rPr>
          <w:rFonts w:hint="eastAsia" w:ascii="仿宋_GB2312" w:hAnsi="仿宋_GB2312" w:eastAsia="仿宋_GB2312" w:cs="仿宋_GB2312"/>
          <w:sz w:val="32"/>
          <w:szCs w:val="32"/>
          <w:lang w:val="en-US" w:eastAsia="zh-CN"/>
        </w:rPr>
        <w:t>附件</w:t>
      </w:r>
      <w:bookmarkStart w:id="1" w:name="_GoBack"/>
      <w:bookmarkEnd w:id="1"/>
      <w:r>
        <w:rPr>
          <w:rFonts w:hint="eastAsia" w:ascii="仿宋_GB2312" w:hAnsi="仿宋_GB2312" w:eastAsia="仿宋_GB2312" w:cs="仿宋_GB2312"/>
          <w:sz w:val="32"/>
          <w:szCs w:val="32"/>
          <w:lang w:val="en-US" w:eastAsia="zh-CN"/>
        </w:rPr>
        <w:t>1</w:t>
      </w:r>
    </w:p>
    <w:p w14:paraId="49915518">
      <w:pPr>
        <w:keepNext w:val="0"/>
        <w:keepLines w:val="0"/>
        <w:pageBreakBefore w:val="0"/>
        <w:widowControl/>
        <w:kinsoku w:val="0"/>
        <w:wordWrap/>
        <w:overflowPunct/>
        <w:topLinePunct w:val="0"/>
        <w:autoSpaceDE w:val="0"/>
        <w:autoSpaceDN w:val="0"/>
        <w:bidi w:val="0"/>
        <w:adjustRightInd w:val="0"/>
        <w:snapToGrid w:val="0"/>
        <w:spacing w:before="116" w:line="560" w:lineRule="exact"/>
        <w:ind w:left="0"/>
        <w:jc w:val="center"/>
        <w:textAlignment w:val="baseline"/>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spacing w:val="3"/>
          <w:sz w:val="44"/>
          <w:szCs w:val="44"/>
        </w:rPr>
        <w:t>中小企业声明函</w:t>
      </w:r>
    </w:p>
    <w:p w14:paraId="7B7E5749">
      <w:pPr>
        <w:pageBreakBefore w:val="0"/>
        <w:overflowPunct/>
        <w:topLinePunct w:val="0"/>
        <w:bidi w:val="0"/>
        <w:spacing w:line="560" w:lineRule="exact"/>
        <w:rPr>
          <w:rFonts w:ascii="Arial"/>
          <w:sz w:val="21"/>
        </w:rPr>
      </w:pPr>
    </w:p>
    <w:p w14:paraId="26279610">
      <w:pPr>
        <w:pStyle w:val="7"/>
        <w:keepNext w:val="0"/>
        <w:keepLines w:val="0"/>
        <w:pageBreakBefore w:val="0"/>
        <w:widowControl/>
        <w:kinsoku w:val="0"/>
        <w:wordWrap/>
        <w:overflowPunct/>
        <w:topLinePunct w:val="0"/>
        <w:autoSpaceDE w:val="0"/>
        <w:autoSpaceDN w:val="0"/>
        <w:bidi w:val="0"/>
        <w:adjustRightInd w:val="0"/>
        <w:snapToGrid w:val="0"/>
        <w:spacing w:after="0" w:line="560" w:lineRule="exact"/>
        <w:ind w:left="0" w:right="0" w:firstLine="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rPr>
        <w:t>本公司郑重声明，根据《政府采购促进中小</w:t>
      </w:r>
      <w:r>
        <w:rPr>
          <w:rFonts w:hint="eastAsia" w:ascii="仿宋_GB2312" w:hAnsi="仿宋_GB2312" w:eastAsia="仿宋_GB2312" w:cs="仿宋_GB2312"/>
          <w:spacing w:val="4"/>
          <w:sz w:val="32"/>
          <w:szCs w:val="32"/>
        </w:rPr>
        <w:t>企业发展管理办法》（财库</w:t>
      </w:r>
      <w:r>
        <w:rPr>
          <w:rFonts w:hint="eastAsia" w:ascii="仿宋_GB2312" w:hAnsi="仿宋_GB2312" w:eastAsia="仿宋_GB2312" w:cs="仿宋_GB2312"/>
          <w:spacing w:val="4"/>
          <w:sz w:val="32"/>
          <w:szCs w:val="32"/>
          <w:lang w:eastAsia="zh-CN"/>
        </w:rPr>
        <w:t>〔2020〕</w:t>
      </w:r>
      <w:r>
        <w:rPr>
          <w:rFonts w:hint="eastAsia" w:ascii="仿宋_GB2312" w:hAnsi="仿宋_GB2312" w:eastAsia="仿宋_GB2312" w:cs="仿宋_GB2312"/>
          <w:spacing w:val="4"/>
          <w:sz w:val="32"/>
          <w:szCs w:val="32"/>
        </w:rPr>
        <w:t>46</w:t>
      </w:r>
      <w:r>
        <w:rPr>
          <w:rFonts w:hint="eastAsia" w:ascii="仿宋_GB2312" w:hAnsi="仿宋_GB2312" w:eastAsia="仿宋_GB2312" w:cs="仿宋_GB2312"/>
          <w:spacing w:val="-44"/>
          <w:sz w:val="32"/>
          <w:szCs w:val="32"/>
        </w:rPr>
        <w:t xml:space="preserve"> </w:t>
      </w:r>
      <w:r>
        <w:rPr>
          <w:rFonts w:hint="eastAsia" w:ascii="仿宋_GB2312" w:hAnsi="仿宋_GB2312" w:eastAsia="仿宋_GB2312" w:cs="仿宋_GB2312"/>
          <w:spacing w:val="4"/>
          <w:sz w:val="32"/>
          <w:szCs w:val="32"/>
        </w:rPr>
        <w:t>号）的规</w:t>
      </w:r>
      <w:r>
        <w:rPr>
          <w:rFonts w:hint="eastAsia" w:ascii="仿宋_GB2312" w:hAnsi="仿宋_GB2312" w:eastAsia="仿宋_GB2312" w:cs="仿宋_GB2312"/>
          <w:spacing w:val="3"/>
          <w:sz w:val="32"/>
          <w:szCs w:val="32"/>
        </w:rPr>
        <w:t>定，本公司</w:t>
      </w:r>
      <w:r>
        <w:rPr>
          <w:rFonts w:hint="eastAsia" w:ascii="仿宋_GB2312" w:hAnsi="仿宋_GB2312" w:eastAsia="仿宋_GB2312" w:cs="仿宋_GB2312"/>
          <w:spacing w:val="-1"/>
          <w:sz w:val="32"/>
          <w:szCs w:val="32"/>
        </w:rPr>
        <w:t>参加</w:t>
      </w:r>
      <w:r>
        <w:rPr>
          <w:rFonts w:hint="eastAsia" w:ascii="仿宋_GB2312" w:hAnsi="仿宋_GB2312" w:eastAsia="仿宋_GB2312" w:cs="仿宋_GB2312"/>
          <w:spacing w:val="-1"/>
          <w:sz w:val="32"/>
          <w:szCs w:val="32"/>
          <w:lang w:val="en-US" w:eastAsia="zh-CN"/>
        </w:rPr>
        <w:t>坪山区科技创新局</w:t>
      </w:r>
      <w:r>
        <w:rPr>
          <w:rFonts w:hint="eastAsia" w:ascii="仿宋_GB2312" w:hAnsi="仿宋_GB2312" w:eastAsia="仿宋_GB2312" w:cs="仿宋_GB2312"/>
          <w:spacing w:val="-1"/>
          <w:sz w:val="32"/>
          <w:szCs w:val="32"/>
        </w:rPr>
        <w:t>的</w:t>
      </w:r>
      <w:r>
        <w:rPr>
          <w:rFonts w:hint="eastAsia" w:ascii="仿宋_GB2312" w:hAnsi="仿宋_GB2312" w:eastAsia="仿宋_GB2312" w:cs="仿宋_GB2312"/>
          <w:sz w:val="32"/>
          <w:szCs w:val="22"/>
        </w:rPr>
        <w:t>坪山高新区形象标识提升工程十一块标识牌定期巡视</w:t>
      </w:r>
      <w:r>
        <w:rPr>
          <w:rFonts w:hint="eastAsia" w:ascii="仿宋_GB2312" w:hAnsi="仿宋_GB2312" w:eastAsia="仿宋_GB2312" w:cs="仿宋_GB2312"/>
          <w:spacing w:val="-1"/>
          <w:sz w:val="32"/>
          <w:szCs w:val="32"/>
          <w:u w:val="none"/>
          <w:lang w:val="en-US" w:eastAsia="zh-CN"/>
        </w:rPr>
        <w:t>服务</w:t>
      </w:r>
      <w:r>
        <w:rPr>
          <w:rFonts w:hint="eastAsia" w:ascii="仿宋_GB2312" w:hAnsi="仿宋_GB2312" w:eastAsia="仿宋_GB2312" w:cs="仿宋_GB2312"/>
          <w:spacing w:val="-1"/>
          <w:sz w:val="32"/>
          <w:szCs w:val="32"/>
        </w:rPr>
        <w:t>采购活动，</w:t>
      </w:r>
      <w:r>
        <w:rPr>
          <w:rFonts w:hint="eastAsia" w:ascii="仿宋_GB2312" w:hAnsi="仿宋_GB2312" w:eastAsia="仿宋_GB2312" w:cs="仿宋_GB2312"/>
          <w:spacing w:val="8"/>
          <w:sz w:val="32"/>
          <w:szCs w:val="32"/>
        </w:rPr>
        <w:t>服务由符合政策要求的中小企业承接。</w:t>
      </w:r>
      <w:r>
        <w:rPr>
          <w:rFonts w:hint="eastAsia" w:ascii="仿宋_GB2312" w:hAnsi="仿宋_GB2312" w:eastAsia="仿宋_GB2312" w:cs="仿宋_GB2312"/>
          <w:spacing w:val="8"/>
          <w:sz w:val="32"/>
          <w:szCs w:val="32"/>
          <w:lang w:val="en-US" w:eastAsia="zh-CN"/>
        </w:rPr>
        <w:t>相关</w:t>
      </w:r>
      <w:r>
        <w:rPr>
          <w:rFonts w:hint="eastAsia" w:ascii="仿宋_GB2312" w:hAnsi="仿宋_GB2312" w:eastAsia="仿宋_GB2312" w:cs="仿宋_GB2312"/>
          <w:spacing w:val="8"/>
          <w:sz w:val="32"/>
          <w:szCs w:val="32"/>
        </w:rPr>
        <w:t>企业的具体情</w:t>
      </w:r>
      <w:r>
        <w:rPr>
          <w:rFonts w:hint="eastAsia" w:ascii="仿宋_GB2312" w:hAnsi="仿宋_GB2312" w:eastAsia="仿宋_GB2312" w:cs="仿宋_GB2312"/>
          <w:spacing w:val="1"/>
          <w:sz w:val="32"/>
          <w:szCs w:val="32"/>
        </w:rPr>
        <w:t>况如下：</w:t>
      </w:r>
    </w:p>
    <w:p w14:paraId="63D42D2C">
      <w:pPr>
        <w:pageBreakBefore w:val="0"/>
        <w:widowControl w:val="0"/>
        <w:kinsoku/>
        <w:overflowPunct/>
        <w:topLinePunct w:val="0"/>
        <w:autoSpaceDE/>
        <w:autoSpaceDN/>
        <w:bidi w:val="0"/>
        <w:adjustRightInd/>
        <w:snapToGrid/>
        <w:spacing w:line="560" w:lineRule="exact"/>
        <w:ind w:left="0" w:leftChars="0" w:firstLine="636"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u w:val="single"/>
        </w:rPr>
        <w:t>坪山高新区形象标识提升工程十一块标识牌定期巡视</w:t>
      </w:r>
      <w:r>
        <w:rPr>
          <w:rFonts w:hint="eastAsia" w:ascii="仿宋_GB2312" w:hAnsi="仿宋_GB2312" w:eastAsia="仿宋_GB2312" w:cs="仿宋_GB2312"/>
          <w:spacing w:val="-1"/>
          <w:sz w:val="32"/>
          <w:szCs w:val="32"/>
          <w:u w:val="single"/>
          <w:lang w:eastAsia="zh-CN"/>
        </w:rPr>
        <w:t>项目</w:t>
      </w:r>
      <w:r>
        <w:rPr>
          <w:rFonts w:hint="eastAsia" w:ascii="仿宋_GB2312" w:hAnsi="仿宋_GB2312" w:eastAsia="仿宋_GB2312" w:cs="仿宋_GB2312"/>
          <w:spacing w:val="-1"/>
          <w:w w:val="100"/>
          <w:sz w:val="32"/>
          <w:szCs w:val="32"/>
          <w:u w:val="none"/>
        </w:rPr>
        <w:t>，</w:t>
      </w:r>
      <w:r>
        <w:rPr>
          <w:rFonts w:hint="eastAsia" w:ascii="仿宋_GB2312" w:hAnsi="仿宋_GB2312" w:eastAsia="仿宋_GB2312" w:cs="仿宋_GB2312"/>
          <w:spacing w:val="-1"/>
          <w:sz w:val="32"/>
          <w:szCs w:val="32"/>
        </w:rPr>
        <w:t>属于</w:t>
      </w:r>
      <w:r>
        <w:rPr>
          <w:rFonts w:hint="eastAsia" w:ascii="仿宋_GB2312" w:hAnsi="仿宋_GB2312" w:eastAsia="仿宋_GB2312" w:cs="仿宋_GB2312"/>
          <w:spacing w:val="-1"/>
          <w:sz w:val="32"/>
          <w:szCs w:val="32"/>
          <w:u w:val="single"/>
          <w:lang w:val="en-US" w:eastAsia="zh-CN"/>
        </w:rPr>
        <w:t>其他服务类</w:t>
      </w:r>
      <w:r>
        <w:rPr>
          <w:rFonts w:hint="eastAsia" w:ascii="仿宋_GB2312" w:hAnsi="仿宋_GB2312" w:eastAsia="仿宋_GB2312" w:cs="仿宋_GB2312"/>
          <w:spacing w:val="-1"/>
          <w:w w:val="100"/>
          <w:sz w:val="32"/>
          <w:szCs w:val="32"/>
        </w:rPr>
        <w:t>；</w:t>
      </w:r>
      <w:r>
        <w:rPr>
          <w:rFonts w:hint="eastAsia" w:ascii="仿宋_GB2312" w:hAnsi="仿宋_GB2312" w:eastAsia="仿宋_GB2312" w:cs="仿宋_GB2312"/>
          <w:spacing w:val="-1"/>
          <w:sz w:val="32"/>
          <w:szCs w:val="32"/>
        </w:rPr>
        <w:t>承接企业为</w:t>
      </w:r>
      <w:r>
        <w:rPr>
          <w:rFonts w:hint="eastAsia" w:ascii="仿宋_GB2312" w:hAnsi="仿宋_GB2312" w:eastAsia="仿宋_GB2312" w:cs="仿宋_GB2312"/>
          <w:spacing w:val="-1"/>
          <w:sz w:val="32"/>
          <w:szCs w:val="32"/>
          <w:u w:val="single"/>
          <w:lang w:eastAsia="zh-CN"/>
        </w:rPr>
        <w:t>（</w:t>
      </w:r>
      <w:r>
        <w:rPr>
          <w:rFonts w:hint="eastAsia" w:ascii="仿宋_GB2312" w:hAnsi="仿宋_GB2312" w:eastAsia="仿宋_GB2312" w:cs="仿宋_GB2312"/>
          <w:i w:val="0"/>
          <w:iCs w:val="0"/>
          <w:spacing w:val="-1"/>
          <w:sz w:val="32"/>
          <w:szCs w:val="32"/>
          <w:u w:val="single"/>
        </w:rPr>
        <w:t>企</w:t>
      </w:r>
      <w:r>
        <w:rPr>
          <w:rFonts w:hint="eastAsia" w:ascii="仿宋_GB2312" w:hAnsi="仿宋_GB2312" w:eastAsia="仿宋_GB2312" w:cs="仿宋_GB2312"/>
          <w:i w:val="0"/>
          <w:iCs w:val="0"/>
          <w:spacing w:val="-1"/>
          <w:sz w:val="32"/>
          <w:szCs w:val="32"/>
          <w:u w:val="single"/>
          <w:lang w:val="en-US" w:eastAsia="zh-CN"/>
        </w:rPr>
        <w:t xml:space="preserve"> </w:t>
      </w:r>
      <w:r>
        <w:rPr>
          <w:rFonts w:hint="eastAsia" w:ascii="仿宋_GB2312" w:hAnsi="仿宋_GB2312" w:eastAsia="仿宋_GB2312" w:cs="仿宋_GB2312"/>
          <w:i w:val="0"/>
          <w:iCs w:val="0"/>
          <w:spacing w:val="-1"/>
          <w:sz w:val="32"/>
          <w:szCs w:val="32"/>
          <w:u w:val="single"/>
        </w:rPr>
        <w:t>业</w:t>
      </w:r>
      <w:r>
        <w:rPr>
          <w:rFonts w:hint="eastAsia" w:ascii="仿宋_GB2312" w:hAnsi="仿宋_GB2312" w:eastAsia="仿宋_GB2312" w:cs="仿宋_GB2312"/>
          <w:i w:val="0"/>
          <w:iCs w:val="0"/>
          <w:spacing w:val="-1"/>
          <w:sz w:val="32"/>
          <w:szCs w:val="32"/>
          <w:u w:val="single"/>
          <w:lang w:val="en-US" w:eastAsia="zh-CN"/>
        </w:rPr>
        <w:t xml:space="preserve"> </w:t>
      </w:r>
      <w:r>
        <w:rPr>
          <w:rFonts w:hint="eastAsia" w:ascii="仿宋_GB2312" w:hAnsi="仿宋_GB2312" w:eastAsia="仿宋_GB2312" w:cs="仿宋_GB2312"/>
          <w:i w:val="0"/>
          <w:iCs w:val="0"/>
          <w:spacing w:val="-1"/>
          <w:sz w:val="32"/>
          <w:szCs w:val="32"/>
          <w:u w:val="single"/>
        </w:rPr>
        <w:t>名</w:t>
      </w:r>
      <w:r>
        <w:rPr>
          <w:rFonts w:hint="eastAsia" w:ascii="仿宋_GB2312" w:hAnsi="仿宋_GB2312" w:eastAsia="仿宋_GB2312" w:cs="仿宋_GB2312"/>
          <w:i w:val="0"/>
          <w:iCs w:val="0"/>
          <w:spacing w:val="-1"/>
          <w:sz w:val="32"/>
          <w:szCs w:val="32"/>
          <w:u w:val="single"/>
          <w:lang w:val="en-US" w:eastAsia="zh-CN"/>
        </w:rPr>
        <w:t xml:space="preserve"> </w:t>
      </w:r>
      <w:r>
        <w:rPr>
          <w:rFonts w:hint="eastAsia" w:ascii="仿宋_GB2312" w:hAnsi="仿宋_GB2312" w:eastAsia="仿宋_GB2312" w:cs="仿宋_GB2312"/>
          <w:i w:val="0"/>
          <w:iCs w:val="0"/>
          <w:spacing w:val="-1"/>
          <w:sz w:val="32"/>
          <w:szCs w:val="32"/>
          <w:u w:val="single"/>
        </w:rPr>
        <w:t>称</w:t>
      </w:r>
      <w:r>
        <w:rPr>
          <w:rFonts w:hint="eastAsia" w:ascii="仿宋_GB2312" w:hAnsi="仿宋_GB2312" w:eastAsia="仿宋_GB2312" w:cs="仿宋_GB2312"/>
          <w:i w:val="0"/>
          <w:iCs w:val="0"/>
          <w:spacing w:val="-1"/>
          <w:w w:val="100"/>
          <w:sz w:val="32"/>
          <w:szCs w:val="32"/>
          <w:u w:val="single"/>
        </w:rPr>
        <w:t>）</w:t>
      </w:r>
      <w:r>
        <w:rPr>
          <w:rFonts w:hint="eastAsia" w:ascii="仿宋_GB2312" w:hAnsi="仿宋_GB2312" w:eastAsia="仿宋_GB2312" w:cs="仿宋_GB2312"/>
          <w:spacing w:val="-1"/>
          <w:w w:val="100"/>
          <w:sz w:val="32"/>
          <w:szCs w:val="32"/>
        </w:rPr>
        <w:t>，</w:t>
      </w:r>
      <w:r>
        <w:rPr>
          <w:rFonts w:hint="eastAsia" w:ascii="仿宋_GB2312" w:hAnsi="仿宋_GB2312" w:eastAsia="仿宋_GB2312" w:cs="仿宋_GB2312"/>
          <w:spacing w:val="-1"/>
          <w:sz w:val="32"/>
          <w:szCs w:val="32"/>
        </w:rPr>
        <w:t>从业人员</w:t>
      </w:r>
      <w:r>
        <w:rPr>
          <w:rFonts w:hint="eastAsia" w:ascii="仿宋_GB2312" w:hAnsi="仿宋_GB2312" w:eastAsia="仿宋_GB2312" w:cs="仿宋_GB2312"/>
          <w:spacing w:val="-1"/>
          <w:sz w:val="32"/>
          <w:szCs w:val="32"/>
          <w:u w:val="single"/>
        </w:rPr>
        <w:t xml:space="preserve">      </w:t>
      </w:r>
      <w:r>
        <w:rPr>
          <w:rFonts w:hint="eastAsia" w:ascii="仿宋_GB2312" w:hAnsi="仿宋_GB2312" w:eastAsia="仿宋_GB2312" w:cs="仿宋_GB2312"/>
          <w:spacing w:val="-1"/>
          <w:sz w:val="32"/>
          <w:szCs w:val="32"/>
        </w:rPr>
        <w:t xml:space="preserve">人，营业收入为 </w:t>
      </w:r>
      <w:r>
        <w:rPr>
          <w:rFonts w:hint="eastAsia" w:ascii="仿宋_GB2312" w:hAnsi="仿宋_GB2312" w:eastAsia="仿宋_GB2312" w:cs="仿宋_GB2312"/>
          <w:spacing w:val="-1"/>
          <w:sz w:val="32"/>
          <w:szCs w:val="32"/>
          <w:u w:val="single" w:color="auto"/>
        </w:rPr>
        <w:t xml:space="preserve">   </w:t>
      </w:r>
      <w:r>
        <w:rPr>
          <w:rFonts w:hint="eastAsia" w:ascii="仿宋_GB2312" w:hAnsi="仿宋_GB2312" w:eastAsia="仿宋_GB2312" w:cs="仿宋_GB2312"/>
          <w:spacing w:val="5"/>
          <w:sz w:val="32"/>
          <w:szCs w:val="32"/>
          <w:u w:val="single" w:color="auto"/>
        </w:rPr>
        <w:t xml:space="preserve"> </w:t>
      </w:r>
      <w:r>
        <w:rPr>
          <w:rFonts w:hint="eastAsia" w:ascii="仿宋_GB2312" w:hAnsi="仿宋_GB2312" w:eastAsia="仿宋_GB2312" w:cs="仿宋_GB2312"/>
          <w:spacing w:val="-130"/>
          <w:sz w:val="32"/>
          <w:szCs w:val="32"/>
          <w:u w:val="single" w:color="auto"/>
        </w:rPr>
        <w:t xml:space="preserve"> </w:t>
      </w:r>
      <w:r>
        <w:rPr>
          <w:rFonts w:hint="eastAsia" w:ascii="仿宋_GB2312" w:hAnsi="仿宋_GB2312" w:eastAsia="仿宋_GB2312" w:cs="仿宋_GB2312"/>
          <w:spacing w:val="-1"/>
          <w:sz w:val="32"/>
          <w:szCs w:val="32"/>
        </w:rPr>
        <w:t>万元，资产总额为</w:t>
      </w:r>
      <w:r>
        <w:rPr>
          <w:rFonts w:hint="eastAsia" w:ascii="仿宋_GB2312" w:hAnsi="仿宋_GB2312" w:eastAsia="仿宋_GB2312" w:cs="仿宋_GB2312"/>
          <w:spacing w:val="-155"/>
          <w:sz w:val="32"/>
          <w:szCs w:val="32"/>
          <w:u w:val="single" w:color="auto"/>
        </w:rPr>
        <w:t xml:space="preserve"> </w:t>
      </w:r>
      <w:r>
        <w:rPr>
          <w:rFonts w:hint="eastAsia" w:ascii="仿宋_GB2312" w:hAnsi="仿宋_GB2312" w:eastAsia="仿宋_GB2312" w:cs="仿宋_GB2312"/>
          <w:spacing w:val="5"/>
          <w:sz w:val="32"/>
          <w:szCs w:val="32"/>
          <w:u w:val="single" w:color="auto"/>
        </w:rPr>
        <w:t xml:space="preserve">    </w:t>
      </w:r>
      <w:r>
        <w:rPr>
          <w:rFonts w:hint="eastAsia" w:ascii="仿宋_GB2312" w:hAnsi="仿宋_GB2312" w:eastAsia="仿宋_GB2312" w:cs="仿宋_GB2312"/>
          <w:spacing w:val="-131"/>
          <w:sz w:val="32"/>
          <w:szCs w:val="32"/>
        </w:rPr>
        <w:t xml:space="preserve"> </w:t>
      </w:r>
      <w:r>
        <w:rPr>
          <w:rFonts w:hint="eastAsia" w:ascii="仿宋_GB2312" w:hAnsi="仿宋_GB2312" w:eastAsia="仿宋_GB2312" w:cs="仿宋_GB2312"/>
          <w:spacing w:val="-1"/>
          <w:sz w:val="32"/>
          <w:szCs w:val="32"/>
        </w:rPr>
        <w:t>万元</w:t>
      </w:r>
      <w:r>
        <w:rPr>
          <w:rFonts w:hint="eastAsia" w:ascii="仿宋_GB2312" w:hAnsi="仿宋_GB2312" w:eastAsia="仿宋_GB2312" w:cs="仿宋_GB2312"/>
          <w:color w:val="auto"/>
          <w:spacing w:val="-1"/>
          <w:position w:val="16"/>
          <w:sz w:val="21"/>
          <w:szCs w:val="21"/>
        </w:rPr>
        <w:t>1</w:t>
      </w:r>
      <w:r>
        <w:rPr>
          <w:rFonts w:hint="eastAsia" w:ascii="仿宋_GB2312" w:hAnsi="仿宋_GB2312" w:eastAsia="仿宋_GB2312" w:cs="仿宋_GB2312"/>
          <w:spacing w:val="-37"/>
          <w:position w:val="16"/>
          <w:sz w:val="32"/>
          <w:szCs w:val="32"/>
        </w:rPr>
        <w:t xml:space="preserve"> </w:t>
      </w:r>
      <w:r>
        <w:rPr>
          <w:rFonts w:hint="eastAsia" w:ascii="仿宋_GB2312" w:hAnsi="仿宋_GB2312" w:eastAsia="仿宋_GB2312" w:cs="仿宋_GB2312"/>
          <w:spacing w:val="-1"/>
          <w:sz w:val="32"/>
          <w:szCs w:val="32"/>
        </w:rPr>
        <w:t>，属于</w:t>
      </w:r>
      <w:r>
        <w:rPr>
          <w:rFonts w:hint="eastAsia" w:ascii="仿宋_GB2312" w:hAnsi="仿宋_GB2312" w:eastAsia="仿宋_GB2312" w:cs="仿宋_GB2312"/>
          <w:i/>
          <w:iCs/>
          <w:spacing w:val="-1"/>
          <w:sz w:val="32"/>
          <w:szCs w:val="32"/>
          <w:u w:val="single" w:color="auto"/>
        </w:rPr>
        <w:t>（中型企业、</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i/>
          <w:iCs/>
          <w:spacing w:val="-1"/>
          <w:sz w:val="32"/>
          <w:szCs w:val="32"/>
          <w:u w:val="single" w:color="auto"/>
        </w:rPr>
        <w:t>小型企业、微型企业</w:t>
      </w:r>
      <w:r>
        <w:rPr>
          <w:rFonts w:hint="eastAsia" w:ascii="仿宋_GB2312" w:hAnsi="仿宋_GB2312" w:eastAsia="仿宋_GB2312" w:cs="仿宋_GB2312"/>
          <w:i/>
          <w:iCs/>
          <w:spacing w:val="-88"/>
          <w:w w:val="97"/>
          <w:sz w:val="32"/>
          <w:szCs w:val="32"/>
        </w:rPr>
        <w:t>）</w:t>
      </w:r>
      <w:r>
        <w:rPr>
          <w:rFonts w:hint="eastAsia" w:ascii="仿宋_GB2312" w:hAnsi="仿宋_GB2312" w:eastAsia="仿宋_GB2312" w:cs="仿宋_GB2312"/>
          <w:spacing w:val="-88"/>
          <w:w w:val="97"/>
          <w:sz w:val="32"/>
          <w:szCs w:val="32"/>
        </w:rPr>
        <w:t>；</w:t>
      </w:r>
    </w:p>
    <w:p w14:paraId="4BCB8EB5">
      <w:pPr>
        <w:pStyle w:val="7"/>
        <w:keepNext w:val="0"/>
        <w:keepLines w:val="0"/>
        <w:pageBreakBefore w:val="0"/>
        <w:widowControl/>
        <w:kinsoku w:val="0"/>
        <w:wordWrap/>
        <w:overflowPunct/>
        <w:topLinePunct w:val="0"/>
        <w:autoSpaceDE w:val="0"/>
        <w:autoSpaceDN w:val="0"/>
        <w:bidi w:val="0"/>
        <w:adjustRightInd w:val="0"/>
        <w:snapToGrid w:val="0"/>
        <w:spacing w:after="0" w:line="560" w:lineRule="exact"/>
        <w:ind w:left="35" w:right="86" w:firstLine="678"/>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以上企业，不属于大企业的分支机构，不存</w:t>
      </w:r>
      <w:r>
        <w:rPr>
          <w:rFonts w:hint="eastAsia" w:ascii="仿宋_GB2312" w:hAnsi="仿宋_GB2312" w:eastAsia="仿宋_GB2312" w:cs="仿宋_GB2312"/>
          <w:spacing w:val="6"/>
          <w:sz w:val="32"/>
          <w:szCs w:val="32"/>
        </w:rPr>
        <w:t>在控股股东</w:t>
      </w:r>
      <w:r>
        <w:rPr>
          <w:rFonts w:hint="eastAsia" w:ascii="仿宋_GB2312" w:hAnsi="仿宋_GB2312" w:eastAsia="仿宋_GB2312" w:cs="仿宋_GB2312"/>
          <w:spacing w:val="8"/>
          <w:sz w:val="32"/>
          <w:szCs w:val="32"/>
        </w:rPr>
        <w:t>为大企业的情形，也不存在与大企业的负责人为同一人的情</w:t>
      </w:r>
      <w:r>
        <w:rPr>
          <w:rFonts w:hint="eastAsia" w:ascii="仿宋_GB2312" w:hAnsi="仿宋_GB2312" w:eastAsia="仿宋_GB2312" w:cs="仿宋_GB2312"/>
          <w:spacing w:val="-7"/>
          <w:sz w:val="32"/>
          <w:szCs w:val="32"/>
        </w:rPr>
        <w:t>形。</w:t>
      </w:r>
    </w:p>
    <w:p w14:paraId="61DABF37">
      <w:pPr>
        <w:pStyle w:val="7"/>
        <w:keepNext w:val="0"/>
        <w:keepLines w:val="0"/>
        <w:pageBreakBefore w:val="0"/>
        <w:widowControl/>
        <w:kinsoku w:val="0"/>
        <w:wordWrap/>
        <w:overflowPunct/>
        <w:topLinePunct w:val="0"/>
        <w:autoSpaceDE w:val="0"/>
        <w:autoSpaceDN w:val="0"/>
        <w:bidi w:val="0"/>
        <w:adjustRightInd w:val="0"/>
        <w:snapToGrid w:val="0"/>
        <w:spacing w:line="560" w:lineRule="exact"/>
        <w:ind w:left="45" w:right="88" w:firstLine="631"/>
        <w:textAlignment w:val="baseline"/>
        <w:rPr>
          <w:rFonts w:hint="eastAsia" w:ascii="仿宋_GB2312" w:hAnsi="仿宋_GB2312" w:eastAsia="仿宋_GB2312" w:cs="仿宋_GB2312"/>
          <w:snapToGrid w:val="0"/>
          <w:color w:val="000000"/>
          <w:spacing w:val="4"/>
          <w:kern w:val="0"/>
          <w:sz w:val="32"/>
          <w:szCs w:val="32"/>
          <w:lang w:val="en-US" w:eastAsia="en-US" w:bidi="ar-SA"/>
        </w:rPr>
      </w:pPr>
      <w:r>
        <w:rPr>
          <w:rFonts w:hint="eastAsia" w:ascii="仿宋_GB2312" w:hAnsi="仿宋_GB2312" w:eastAsia="仿宋_GB2312" w:cs="仿宋_GB2312"/>
          <w:spacing w:val="8"/>
          <w:sz w:val="32"/>
          <w:szCs w:val="32"/>
        </w:rPr>
        <w:t>本企业对上述声明内容的真实性负责。如有虚假，将依</w:t>
      </w:r>
      <w:r>
        <w:rPr>
          <w:rFonts w:hint="eastAsia" w:ascii="仿宋_GB2312" w:hAnsi="仿宋_GB2312" w:eastAsia="仿宋_GB2312" w:cs="仿宋_GB2312"/>
          <w:spacing w:val="4"/>
          <w:sz w:val="32"/>
          <w:szCs w:val="32"/>
        </w:rPr>
        <w:t>法承担相应责任。</w:t>
      </w:r>
    </w:p>
    <w:p w14:paraId="33EEE65D">
      <w:pPr>
        <w:keepNext w:val="0"/>
        <w:keepLines w:val="0"/>
        <w:pageBreakBefore w:val="0"/>
        <w:widowControl/>
        <w:kinsoku w:val="0"/>
        <w:wordWrap/>
        <w:overflowPunct/>
        <w:topLinePunct w:val="0"/>
        <w:autoSpaceDE w:val="0"/>
        <w:autoSpaceDN w:val="0"/>
        <w:bidi w:val="0"/>
        <w:adjustRightInd w:val="0"/>
        <w:snapToGrid w:val="0"/>
        <w:spacing w:line="560" w:lineRule="exact"/>
        <w:ind w:left="45" w:right="88" w:firstLine="631"/>
        <w:jc w:val="left"/>
        <w:textAlignment w:val="baseline"/>
        <w:rPr>
          <w:rFonts w:hint="eastAsia" w:ascii="仿宋_GB2312" w:hAnsi="仿宋_GB2312" w:eastAsia="仿宋_GB2312" w:cs="仿宋_GB2312"/>
          <w:snapToGrid w:val="0"/>
          <w:color w:val="000000"/>
          <w:spacing w:val="4"/>
          <w:kern w:val="0"/>
          <w:sz w:val="32"/>
          <w:szCs w:val="32"/>
          <w:lang w:val="en-US" w:eastAsia="en-US" w:bidi="ar-SA"/>
        </w:rPr>
      </w:pPr>
    </w:p>
    <w:p w14:paraId="346C5981">
      <w:pPr>
        <w:pageBreakBefore w:val="0"/>
        <w:kinsoku w:val="0"/>
        <w:overflowPunct/>
        <w:topLinePunct w:val="0"/>
        <w:autoSpaceDE w:val="0"/>
        <w:autoSpaceDN w:val="0"/>
        <w:bidi w:val="0"/>
        <w:adjustRightInd w:val="0"/>
        <w:snapToGrid w:val="0"/>
        <w:spacing w:before="86" w:line="560" w:lineRule="exact"/>
        <w:ind w:right="1909" w:firstLine="4186" w:firstLineChars="1300"/>
        <w:jc w:val="left"/>
        <w:textAlignment w:val="baseline"/>
        <w:rPr>
          <w:rFonts w:ascii="仿宋" w:hAnsi="仿宋" w:eastAsia="仿宋" w:cs="仿宋"/>
          <w:snapToGrid w:val="0"/>
          <w:color w:val="000000"/>
          <w:kern w:val="0"/>
          <w:sz w:val="31"/>
          <w:szCs w:val="31"/>
          <w:lang w:val="en-US" w:eastAsia="en-US" w:bidi="ar-SA"/>
        </w:rPr>
      </w:pPr>
      <w:r>
        <w:rPr>
          <w:rFonts w:ascii="仿宋" w:hAnsi="仿宋" w:eastAsia="仿宋" w:cs="仿宋"/>
          <w:snapToGrid w:val="0"/>
          <w:color w:val="000000"/>
          <w:spacing w:val="6"/>
          <w:kern w:val="0"/>
          <w:sz w:val="31"/>
          <w:szCs w:val="31"/>
          <w:lang w:val="en-US" w:eastAsia="en-US" w:bidi="ar-SA"/>
        </w:rPr>
        <w:t>企业名称（盖章</w:t>
      </w:r>
      <w:r>
        <w:rPr>
          <w:rFonts w:ascii="仿宋" w:hAnsi="仿宋" w:eastAsia="仿宋" w:cs="仿宋"/>
          <w:snapToGrid w:val="0"/>
          <w:color w:val="000000"/>
          <w:spacing w:val="-80"/>
          <w:w w:val="91"/>
          <w:kern w:val="0"/>
          <w:sz w:val="31"/>
          <w:szCs w:val="31"/>
          <w:lang w:val="en-US" w:eastAsia="en-US" w:bidi="ar-SA"/>
        </w:rPr>
        <w:t>）：</w:t>
      </w:r>
      <w:r>
        <w:rPr>
          <w:rFonts w:ascii="仿宋" w:hAnsi="仿宋" w:eastAsia="仿宋" w:cs="仿宋"/>
          <w:snapToGrid w:val="0"/>
          <w:color w:val="000000"/>
          <w:spacing w:val="3"/>
          <w:kern w:val="0"/>
          <w:sz w:val="31"/>
          <w:szCs w:val="31"/>
          <w:lang w:val="en-US" w:eastAsia="en-US" w:bidi="ar-SA"/>
        </w:rPr>
        <w:t xml:space="preserve"> </w:t>
      </w:r>
      <w:bookmarkStart w:id="0" w:name="bookmark1"/>
      <w:bookmarkEnd w:id="0"/>
    </w:p>
    <w:p w14:paraId="6C48129D">
      <w:pPr>
        <w:pageBreakBefore w:val="0"/>
        <w:kinsoku w:val="0"/>
        <w:overflowPunct/>
        <w:topLinePunct w:val="0"/>
        <w:autoSpaceDE w:val="0"/>
        <w:autoSpaceDN w:val="0"/>
        <w:bidi w:val="0"/>
        <w:adjustRightInd w:val="0"/>
        <w:snapToGrid w:val="0"/>
        <w:spacing w:before="86" w:line="560" w:lineRule="exact"/>
        <w:ind w:right="1909" w:firstLine="5890" w:firstLineChars="1900"/>
        <w:jc w:val="left"/>
        <w:textAlignment w:val="baseline"/>
        <w:rPr>
          <w:rFonts w:ascii="仿宋" w:hAnsi="仿宋" w:eastAsia="仿宋" w:cs="仿宋"/>
          <w:snapToGrid w:val="0"/>
          <w:color w:val="000000"/>
          <w:kern w:val="0"/>
          <w:sz w:val="31"/>
          <w:szCs w:val="31"/>
          <w:lang w:val="en-US" w:eastAsia="en-US" w:bidi="ar-SA"/>
        </w:rPr>
      </w:pPr>
      <w:r>
        <w:rPr>
          <w:rFonts w:ascii="仿宋" w:hAnsi="仿宋" w:eastAsia="仿宋" w:cs="仿宋"/>
          <w:snapToGrid w:val="0"/>
          <w:color w:val="000000"/>
          <w:kern w:val="0"/>
          <w:sz w:val="31"/>
          <w:szCs w:val="31"/>
          <w:lang w:val="en-US" w:eastAsia="en-US" w:bidi="ar-SA"/>
        </w:rPr>
        <w:t>日期：</w:t>
      </w:r>
    </w:p>
    <w:p w14:paraId="617D55B9">
      <w:pPr>
        <w:pStyle w:val="2"/>
        <w:rPr>
          <w:lang w:eastAsia="en-US"/>
        </w:rPr>
      </w:pPr>
    </w:p>
    <w:p w14:paraId="394E7956">
      <w:pPr>
        <w:pStyle w:val="2"/>
        <w:ind w:left="0" w:leftChars="0" w:firstLine="0" w:firstLineChars="0"/>
        <w:rPr>
          <w:lang w:eastAsia="en-US"/>
        </w:rPr>
      </w:pPr>
    </w:p>
    <w:p w14:paraId="65C6FE2F">
      <w:pPr>
        <w:pageBreakBefore w:val="0"/>
        <w:widowControl/>
        <w:kinsoku w:val="0"/>
        <w:overflowPunct/>
        <w:topLinePunct w:val="0"/>
        <w:autoSpaceDE w:val="0"/>
        <w:autoSpaceDN w:val="0"/>
        <w:bidi w:val="0"/>
        <w:adjustRightInd w:val="0"/>
        <w:snapToGrid w:val="0"/>
        <w:spacing w:line="560" w:lineRule="exact"/>
        <w:jc w:val="left"/>
        <w:textAlignment w:val="baseline"/>
        <w:rPr>
          <w:rFonts w:ascii="Calibri" w:hAnsi="Calibri" w:eastAsia="Calibri" w:cs="Calibri"/>
          <w:snapToGrid w:val="0"/>
          <w:color w:val="000000"/>
          <w:kern w:val="0"/>
          <w:sz w:val="18"/>
          <w:szCs w:val="18"/>
          <w:lang w:eastAsia="en-US" w:bidi="ar-SA"/>
        </w:rPr>
      </w:pPr>
      <w:r>
        <w:rPr>
          <w:rFonts w:ascii="Arial" w:hAnsi="Arial" w:eastAsia="Arial" w:cs="Arial"/>
          <w:snapToGrid w:val="0"/>
          <w:color w:val="000000"/>
          <w:kern w:val="0"/>
          <w:szCs w:val="21"/>
          <w:lang w:eastAsia="en-US" w:bidi="ar-SA"/>
        </w:rPr>
        <mc:AlternateContent>
          <mc:Choice Requires="wps">
            <w:drawing>
              <wp:anchor distT="0" distB="0" distL="114300" distR="114300" simplePos="0" relativeHeight="251660288" behindDoc="0" locked="0" layoutInCell="1" allowOverlap="1">
                <wp:simplePos x="0" y="0"/>
                <wp:positionH relativeFrom="column">
                  <wp:posOffset>8890</wp:posOffset>
                </wp:positionH>
                <wp:positionV relativeFrom="paragraph">
                  <wp:posOffset>110490</wp:posOffset>
                </wp:positionV>
                <wp:extent cx="1828800" cy="0"/>
                <wp:effectExtent l="4445" t="4445" r="5080" b="5080"/>
                <wp:wrapNone/>
                <wp:docPr id="1" name="任意多边形 1"/>
                <wp:cNvGraphicFramePr/>
                <a:graphic xmlns:a="http://schemas.openxmlformats.org/drawingml/2006/main">
                  <a:graphicData uri="http://schemas.microsoft.com/office/word/2010/wordprocessingShape">
                    <wps:wsp>
                      <wps:cNvSpPr/>
                      <wps:spPr>
                        <a:xfrm>
                          <a:off x="0" y="0"/>
                          <a:ext cx="1828800" cy="0"/>
                        </a:xfrm>
                        <a:custGeom>
                          <a:avLst/>
                          <a:gdLst/>
                          <a:ahLst/>
                          <a:cxnLst/>
                          <a:pathLst>
                            <a:path w="2880">
                              <a:moveTo>
                                <a:pt x="0" y="0"/>
                              </a:moveTo>
                              <a:lnTo>
                                <a:pt x="2880" y="0"/>
                              </a:lnTo>
                            </a:path>
                          </a:pathLst>
                        </a:custGeom>
                        <a:noFill/>
                        <a:ln w="0" cap="sq" cmpd="sng">
                          <a:solidFill>
                            <a:srgbClr val="000000"/>
                          </a:solidFill>
                          <a:prstDash val="solid"/>
                          <a:bevel/>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7pt;margin-top:8.7pt;height:0pt;width:144pt;z-index:251660288;mso-width-relative:page;mso-height-relative:page;" filled="f" stroked="t" coordsize="2880,1" o:gfxdata="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Yg+bZ0gAAAAcBAAAPAAAAAAAAAAEAIAAAACIA&#10;AABkcnMvZG93bnJldi54bWxQSwECFAAUAAAACACHTuJArgYR1EgCAADIBAAADgAAAAAAAAABACAA&#10;AAAhAQAAZHJzL2Uyb0RvYy54bWxQSwUGAAAAAAYABgBZAQAA2wUAAAAA&#10;" path="m0,0l2880,0e">
                <v:fill on="f" focussize="0,0"/>
                <v:stroke weight="0pt" color="#000000" joinstyle="bevel" endcap="square"/>
                <v:imagedata o:title=""/>
                <o:lock v:ext="edit" aspectratio="f"/>
              </v:shape>
            </w:pict>
          </mc:Fallback>
        </mc:AlternateContent>
      </w:r>
      <w:r>
        <w:rPr>
          <w:rFonts w:ascii="Times New Roman" w:hAnsi="Times New Roman" w:eastAsia="Times New Roman" w:cs="Times New Roman"/>
          <w:snapToGrid w:val="0"/>
          <w:color w:val="000000"/>
          <w:spacing w:val="-1"/>
          <w:kern w:val="0"/>
          <w:position w:val="6"/>
          <w:sz w:val="11"/>
          <w:szCs w:val="11"/>
          <w:lang w:eastAsia="en-US" w:bidi="ar-SA"/>
        </w:rPr>
        <w:t xml:space="preserve">1   </w:t>
      </w:r>
      <w:r>
        <w:rPr>
          <w:rFonts w:ascii="宋体" w:hAnsi="宋体" w:eastAsia="宋体" w:cs="宋体"/>
          <w:snapToGrid w:val="0"/>
          <w:color w:val="000000"/>
          <w:spacing w:val="-1"/>
          <w:kern w:val="0"/>
          <w:sz w:val="18"/>
          <w:szCs w:val="18"/>
          <w:lang w:eastAsia="en-US" w:bidi="ar-SA"/>
        </w:rPr>
        <w:t>从业人员、营业收入、资产总额填报上一年度数据，无上一年度数据的新成立企业可不填报。</w:t>
      </w:r>
      <w:r>
        <w:rPr>
          <w:rFonts w:ascii="宋体" w:hAnsi="宋体" w:eastAsia="宋体" w:cs="宋体"/>
          <w:snapToGrid w:val="0"/>
          <w:color w:val="000000"/>
          <w:spacing w:val="11"/>
          <w:kern w:val="0"/>
          <w:sz w:val="18"/>
          <w:szCs w:val="18"/>
          <w:lang w:eastAsia="en-US" w:bidi="ar-SA"/>
        </w:rPr>
        <w:t xml:space="preserve"> </w:t>
      </w:r>
    </w:p>
    <w:p w14:paraId="295B26C6">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sectPr>
          <w:footerReference r:id="rId4" w:type="default"/>
          <w:pgSz w:w="11906" w:h="16838"/>
          <w:pgMar w:top="1701" w:right="1474" w:bottom="1984" w:left="1587" w:header="851" w:footer="992" w:gutter="0"/>
          <w:pgNumType w:fmt="decimal"/>
          <w:cols w:space="720" w:num="1"/>
          <w:docGrid w:type="lines" w:linePitch="312" w:charSpace="0"/>
        </w:sectPr>
      </w:pPr>
    </w:p>
    <w:p w14:paraId="766C776B">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val="en-US" w:eastAsia="zh-CN"/>
        </w:rPr>
      </w:pPr>
      <w:r>
        <w:rPr>
          <w:rFonts w:hint="eastAsia" w:ascii="仿宋_GB2312" w:hAnsi="仿宋_GB2312" w:eastAsia="仿宋_GB2312" w:cs="仿宋_GB2312"/>
          <w:sz w:val="32"/>
          <w:szCs w:val="32"/>
          <w:lang w:val="en-US" w:eastAsia="zh-CN"/>
        </w:rPr>
        <w:t>附件2</w:t>
      </w:r>
    </w:p>
    <w:p w14:paraId="68A582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供应商基本情况表</w:t>
      </w:r>
    </w:p>
    <w:p w14:paraId="6D06CB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填表单位：（加盖单位公章）     填表日期：    年    月    日</w:t>
      </w:r>
    </w:p>
    <w:tbl>
      <w:tblPr>
        <w:tblStyle w:val="11"/>
        <w:tblpPr w:leftFromText="180" w:rightFromText="180" w:vertAnchor="text" w:horzAnchor="page" w:tblpXSpec="center" w:tblpY="111"/>
        <w:tblOverlap w:val="never"/>
        <w:tblW w:w="9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882"/>
        <w:gridCol w:w="1746"/>
        <w:gridCol w:w="1274"/>
        <w:gridCol w:w="708"/>
        <w:gridCol w:w="950"/>
        <w:gridCol w:w="1623"/>
        <w:gridCol w:w="1528"/>
      </w:tblGrid>
      <w:tr w14:paraId="49D1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exact"/>
          <w:jc w:val="center"/>
        </w:trPr>
        <w:tc>
          <w:tcPr>
            <w:tcW w:w="1510" w:type="dxa"/>
            <w:gridSpan w:val="2"/>
            <w:noWrap w:val="0"/>
            <w:vAlign w:val="center"/>
          </w:tcPr>
          <w:p w14:paraId="572B9E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采购人</w:t>
            </w:r>
          </w:p>
        </w:tc>
        <w:tc>
          <w:tcPr>
            <w:tcW w:w="3020" w:type="dxa"/>
            <w:gridSpan w:val="2"/>
            <w:noWrap w:val="0"/>
            <w:vAlign w:val="center"/>
          </w:tcPr>
          <w:p w14:paraId="797D8C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p>
        </w:tc>
        <w:tc>
          <w:tcPr>
            <w:tcW w:w="1658" w:type="dxa"/>
            <w:gridSpan w:val="2"/>
            <w:noWrap w:val="0"/>
            <w:vAlign w:val="center"/>
          </w:tcPr>
          <w:p w14:paraId="1CB81F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项目名称</w:t>
            </w:r>
          </w:p>
        </w:tc>
        <w:tc>
          <w:tcPr>
            <w:tcW w:w="3151" w:type="dxa"/>
            <w:gridSpan w:val="2"/>
            <w:noWrap w:val="0"/>
            <w:vAlign w:val="center"/>
          </w:tcPr>
          <w:p w14:paraId="3EBD8C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p>
        </w:tc>
      </w:tr>
      <w:tr w14:paraId="785B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jc w:val="center"/>
        </w:trPr>
        <w:tc>
          <w:tcPr>
            <w:tcW w:w="1510" w:type="dxa"/>
            <w:gridSpan w:val="2"/>
            <w:noWrap w:val="0"/>
            <w:vAlign w:val="center"/>
          </w:tcPr>
          <w:p w14:paraId="68335F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投标（响应）供应商</w:t>
            </w:r>
          </w:p>
        </w:tc>
        <w:tc>
          <w:tcPr>
            <w:tcW w:w="3020" w:type="dxa"/>
            <w:gridSpan w:val="2"/>
            <w:noWrap w:val="0"/>
            <w:vAlign w:val="center"/>
          </w:tcPr>
          <w:p w14:paraId="5AD575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58" w:type="dxa"/>
            <w:gridSpan w:val="2"/>
            <w:noWrap w:val="0"/>
            <w:vAlign w:val="center"/>
          </w:tcPr>
          <w:p w14:paraId="15D816B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供应商统一社会信用代码</w:t>
            </w:r>
          </w:p>
        </w:tc>
        <w:tc>
          <w:tcPr>
            <w:tcW w:w="3151" w:type="dxa"/>
            <w:gridSpan w:val="2"/>
            <w:noWrap w:val="0"/>
            <w:vAlign w:val="center"/>
          </w:tcPr>
          <w:p w14:paraId="3AE64E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p>
        </w:tc>
      </w:tr>
      <w:tr w14:paraId="678F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339" w:type="dxa"/>
            <w:gridSpan w:val="8"/>
            <w:noWrap w:val="0"/>
            <w:vAlign w:val="center"/>
          </w:tcPr>
          <w:p w14:paraId="4D8262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投标（响应）供应商相关人员情况</w:t>
            </w:r>
          </w:p>
        </w:tc>
      </w:tr>
      <w:tr w14:paraId="764D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exact"/>
          <w:jc w:val="center"/>
        </w:trPr>
        <w:tc>
          <w:tcPr>
            <w:tcW w:w="628" w:type="dxa"/>
            <w:noWrap w:val="0"/>
            <w:vAlign w:val="center"/>
          </w:tcPr>
          <w:p w14:paraId="4A15ADF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序号</w:t>
            </w:r>
          </w:p>
        </w:tc>
        <w:tc>
          <w:tcPr>
            <w:tcW w:w="2628" w:type="dxa"/>
            <w:gridSpan w:val="2"/>
            <w:noWrap w:val="0"/>
            <w:vAlign w:val="center"/>
          </w:tcPr>
          <w:p w14:paraId="5063D1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职务</w:t>
            </w:r>
          </w:p>
        </w:tc>
        <w:tc>
          <w:tcPr>
            <w:tcW w:w="1274" w:type="dxa"/>
            <w:noWrap w:val="0"/>
            <w:vAlign w:val="center"/>
          </w:tcPr>
          <w:p w14:paraId="5636E0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姓名</w:t>
            </w:r>
          </w:p>
        </w:tc>
        <w:tc>
          <w:tcPr>
            <w:tcW w:w="1658" w:type="dxa"/>
            <w:gridSpan w:val="2"/>
            <w:noWrap w:val="0"/>
            <w:vAlign w:val="center"/>
          </w:tcPr>
          <w:p w14:paraId="40F24F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身份证号码</w:t>
            </w:r>
          </w:p>
        </w:tc>
        <w:tc>
          <w:tcPr>
            <w:tcW w:w="1623" w:type="dxa"/>
            <w:noWrap w:val="0"/>
            <w:vAlign w:val="center"/>
          </w:tcPr>
          <w:p w14:paraId="5C669DF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劳动合同</w:t>
            </w:r>
          </w:p>
          <w:p w14:paraId="23BB38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关系单位</w:t>
            </w:r>
          </w:p>
        </w:tc>
        <w:tc>
          <w:tcPr>
            <w:tcW w:w="1528" w:type="dxa"/>
            <w:noWrap w:val="0"/>
            <w:vAlign w:val="center"/>
          </w:tcPr>
          <w:p w14:paraId="45A9F8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缴纳社会</w:t>
            </w:r>
          </w:p>
          <w:p w14:paraId="3868C6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保险单位</w:t>
            </w:r>
          </w:p>
        </w:tc>
      </w:tr>
      <w:tr w14:paraId="4FB7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exact"/>
          <w:jc w:val="center"/>
        </w:trPr>
        <w:tc>
          <w:tcPr>
            <w:tcW w:w="628" w:type="dxa"/>
            <w:noWrap w:val="0"/>
            <w:vAlign w:val="center"/>
          </w:tcPr>
          <w:p w14:paraId="54B57D1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628" w:type="dxa"/>
            <w:gridSpan w:val="2"/>
            <w:noWrap w:val="0"/>
            <w:vAlign w:val="center"/>
          </w:tcPr>
          <w:p w14:paraId="40B7B97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法定代表人/单位负责人/主要经营负责人</w:t>
            </w:r>
          </w:p>
        </w:tc>
        <w:tc>
          <w:tcPr>
            <w:tcW w:w="1274" w:type="dxa"/>
            <w:noWrap w:val="0"/>
            <w:vAlign w:val="center"/>
          </w:tcPr>
          <w:p w14:paraId="7AF30A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58" w:type="dxa"/>
            <w:gridSpan w:val="2"/>
            <w:noWrap w:val="0"/>
            <w:vAlign w:val="center"/>
          </w:tcPr>
          <w:p w14:paraId="147589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23" w:type="dxa"/>
            <w:noWrap w:val="0"/>
            <w:vAlign w:val="center"/>
          </w:tcPr>
          <w:p w14:paraId="5CD2C6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528" w:type="dxa"/>
            <w:noWrap w:val="0"/>
            <w:vAlign w:val="center"/>
          </w:tcPr>
          <w:p w14:paraId="137446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r>
      <w:tr w14:paraId="4665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28" w:type="dxa"/>
            <w:noWrap w:val="0"/>
            <w:vAlign w:val="center"/>
          </w:tcPr>
          <w:p w14:paraId="42F0E28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628" w:type="dxa"/>
            <w:gridSpan w:val="2"/>
            <w:noWrap w:val="0"/>
            <w:vAlign w:val="center"/>
          </w:tcPr>
          <w:p w14:paraId="66AA49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项目投标授权代表人</w:t>
            </w:r>
          </w:p>
        </w:tc>
        <w:tc>
          <w:tcPr>
            <w:tcW w:w="1274" w:type="dxa"/>
            <w:noWrap w:val="0"/>
            <w:vAlign w:val="center"/>
          </w:tcPr>
          <w:p w14:paraId="0718B1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58" w:type="dxa"/>
            <w:gridSpan w:val="2"/>
            <w:noWrap w:val="0"/>
            <w:vAlign w:val="center"/>
          </w:tcPr>
          <w:p w14:paraId="6FC601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23" w:type="dxa"/>
            <w:noWrap w:val="0"/>
            <w:vAlign w:val="center"/>
          </w:tcPr>
          <w:p w14:paraId="65E2F2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528" w:type="dxa"/>
            <w:noWrap w:val="0"/>
            <w:vAlign w:val="center"/>
          </w:tcPr>
          <w:p w14:paraId="79F426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r>
      <w:tr w14:paraId="05E6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28" w:type="dxa"/>
            <w:noWrap w:val="0"/>
            <w:vAlign w:val="center"/>
          </w:tcPr>
          <w:p w14:paraId="50372A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628" w:type="dxa"/>
            <w:gridSpan w:val="2"/>
            <w:noWrap w:val="0"/>
            <w:vAlign w:val="center"/>
          </w:tcPr>
          <w:p w14:paraId="1270B2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项目负责人</w:t>
            </w:r>
          </w:p>
        </w:tc>
        <w:tc>
          <w:tcPr>
            <w:tcW w:w="1274" w:type="dxa"/>
            <w:noWrap w:val="0"/>
            <w:vAlign w:val="center"/>
          </w:tcPr>
          <w:p w14:paraId="76B7894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58" w:type="dxa"/>
            <w:gridSpan w:val="2"/>
            <w:noWrap w:val="0"/>
            <w:vAlign w:val="center"/>
          </w:tcPr>
          <w:p w14:paraId="312DF1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23" w:type="dxa"/>
            <w:noWrap w:val="0"/>
            <w:vAlign w:val="center"/>
          </w:tcPr>
          <w:p w14:paraId="267939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528" w:type="dxa"/>
            <w:noWrap w:val="0"/>
            <w:vAlign w:val="center"/>
          </w:tcPr>
          <w:p w14:paraId="45316E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r>
      <w:tr w14:paraId="6571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28" w:type="dxa"/>
            <w:noWrap w:val="0"/>
            <w:vAlign w:val="center"/>
          </w:tcPr>
          <w:p w14:paraId="77969D0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2628" w:type="dxa"/>
            <w:gridSpan w:val="2"/>
            <w:noWrap w:val="0"/>
            <w:vAlign w:val="center"/>
          </w:tcPr>
          <w:p w14:paraId="769219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主要技术人员</w:t>
            </w:r>
          </w:p>
        </w:tc>
        <w:tc>
          <w:tcPr>
            <w:tcW w:w="1274" w:type="dxa"/>
            <w:noWrap w:val="0"/>
            <w:vAlign w:val="center"/>
          </w:tcPr>
          <w:p w14:paraId="78CB32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58" w:type="dxa"/>
            <w:gridSpan w:val="2"/>
            <w:noWrap w:val="0"/>
            <w:vAlign w:val="center"/>
          </w:tcPr>
          <w:p w14:paraId="77C590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23" w:type="dxa"/>
            <w:noWrap w:val="0"/>
            <w:vAlign w:val="center"/>
          </w:tcPr>
          <w:p w14:paraId="38429F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528" w:type="dxa"/>
            <w:noWrap w:val="0"/>
            <w:vAlign w:val="center"/>
          </w:tcPr>
          <w:p w14:paraId="738A04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r>
      <w:tr w14:paraId="25FA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28" w:type="dxa"/>
            <w:noWrap w:val="0"/>
            <w:vAlign w:val="center"/>
          </w:tcPr>
          <w:p w14:paraId="7BE3D88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2628" w:type="dxa"/>
            <w:gridSpan w:val="2"/>
            <w:noWrap w:val="0"/>
            <w:vAlign w:val="center"/>
          </w:tcPr>
          <w:p w14:paraId="6F27A8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投标文件编制人员</w:t>
            </w:r>
          </w:p>
        </w:tc>
        <w:tc>
          <w:tcPr>
            <w:tcW w:w="1274" w:type="dxa"/>
            <w:noWrap w:val="0"/>
            <w:vAlign w:val="center"/>
          </w:tcPr>
          <w:p w14:paraId="4BD6D4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58" w:type="dxa"/>
            <w:gridSpan w:val="2"/>
            <w:noWrap w:val="0"/>
            <w:vAlign w:val="center"/>
          </w:tcPr>
          <w:p w14:paraId="188483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623" w:type="dxa"/>
            <w:noWrap w:val="0"/>
            <w:vAlign w:val="center"/>
          </w:tcPr>
          <w:p w14:paraId="449EA9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1528" w:type="dxa"/>
            <w:noWrap w:val="0"/>
            <w:vAlign w:val="center"/>
          </w:tcPr>
          <w:p w14:paraId="28877A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r>
      <w:tr w14:paraId="6E52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exact"/>
          <w:jc w:val="center"/>
        </w:trPr>
        <w:tc>
          <w:tcPr>
            <w:tcW w:w="9339" w:type="dxa"/>
            <w:gridSpan w:val="8"/>
            <w:noWrap w:val="0"/>
            <w:vAlign w:val="center"/>
          </w:tcPr>
          <w:p w14:paraId="1CF2DA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说明：同一职务有多人担任（如主要技术人员），应分行填写。</w:t>
            </w:r>
          </w:p>
        </w:tc>
      </w:tr>
      <w:tr w14:paraId="0D50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9339" w:type="dxa"/>
            <w:gridSpan w:val="8"/>
            <w:noWrap w:val="0"/>
            <w:vAlign w:val="center"/>
          </w:tcPr>
          <w:p w14:paraId="6601CA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投标（响应）供应商关联关系情况</w:t>
            </w:r>
          </w:p>
        </w:tc>
      </w:tr>
      <w:tr w14:paraId="79E4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28" w:type="dxa"/>
            <w:noWrap w:val="0"/>
            <w:vAlign w:val="center"/>
          </w:tcPr>
          <w:p w14:paraId="614ED2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序号</w:t>
            </w:r>
          </w:p>
        </w:tc>
        <w:tc>
          <w:tcPr>
            <w:tcW w:w="2628" w:type="dxa"/>
            <w:gridSpan w:val="2"/>
            <w:noWrap w:val="0"/>
            <w:vAlign w:val="center"/>
          </w:tcPr>
          <w:p w14:paraId="56C6CC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关联关系类型</w:t>
            </w:r>
          </w:p>
        </w:tc>
        <w:tc>
          <w:tcPr>
            <w:tcW w:w="1982" w:type="dxa"/>
            <w:gridSpan w:val="2"/>
            <w:noWrap w:val="0"/>
            <w:vAlign w:val="center"/>
          </w:tcPr>
          <w:p w14:paraId="22493E6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关联主体名称</w:t>
            </w:r>
          </w:p>
        </w:tc>
        <w:tc>
          <w:tcPr>
            <w:tcW w:w="4101" w:type="dxa"/>
            <w:gridSpan w:val="3"/>
            <w:noWrap w:val="0"/>
            <w:vAlign w:val="center"/>
          </w:tcPr>
          <w:p w14:paraId="37EE31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备注</w:t>
            </w:r>
          </w:p>
        </w:tc>
      </w:tr>
      <w:tr w14:paraId="019E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28" w:type="dxa"/>
            <w:noWrap w:val="0"/>
            <w:vAlign w:val="center"/>
          </w:tcPr>
          <w:p w14:paraId="1A5283B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2628" w:type="dxa"/>
            <w:gridSpan w:val="2"/>
            <w:noWrap w:val="0"/>
            <w:vAlign w:val="center"/>
          </w:tcPr>
          <w:p w14:paraId="305F5C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控股股东</w:t>
            </w:r>
          </w:p>
        </w:tc>
        <w:tc>
          <w:tcPr>
            <w:tcW w:w="1982" w:type="dxa"/>
            <w:gridSpan w:val="2"/>
            <w:noWrap w:val="0"/>
            <w:vAlign w:val="center"/>
          </w:tcPr>
          <w:p w14:paraId="6DC636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4101" w:type="dxa"/>
            <w:gridSpan w:val="3"/>
            <w:noWrap w:val="0"/>
            <w:vAlign w:val="center"/>
          </w:tcPr>
          <w:p w14:paraId="1F50D5E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Cs w:val="22"/>
                <w:lang w:val="en-US" w:eastAsia="zh-CN"/>
              </w:rPr>
            </w:pPr>
            <w:r>
              <w:rPr>
                <w:rFonts w:hint="eastAsia" w:ascii="仿宋_GB2312" w:hAnsi="仿宋_GB2312" w:eastAsia="仿宋_GB2312" w:cs="仿宋_GB2312"/>
                <w:sz w:val="18"/>
                <w:szCs w:val="18"/>
                <w:vertAlign w:val="baseline"/>
                <w:lang w:val="en-US" w:eastAsia="zh-CN"/>
              </w:rPr>
              <w:t>指出资额（或持有股份）占投标（响应）供应商资本总额（或股本总额）50%以上的股东，以及出资额（或持有股份）的比例虽然不足 50%，但依其出资额（或持有股份）所享有的表决权已足以对投标（响应）供应商股东会的决议产生重要影响的股东。</w:t>
            </w:r>
          </w:p>
        </w:tc>
      </w:tr>
      <w:tr w14:paraId="54B3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28" w:type="dxa"/>
            <w:noWrap w:val="0"/>
            <w:vAlign w:val="center"/>
          </w:tcPr>
          <w:p w14:paraId="7A32410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2628" w:type="dxa"/>
            <w:gridSpan w:val="2"/>
            <w:noWrap w:val="0"/>
            <w:vAlign w:val="center"/>
          </w:tcPr>
          <w:p w14:paraId="06A85B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管理关系</w:t>
            </w:r>
          </w:p>
        </w:tc>
        <w:tc>
          <w:tcPr>
            <w:tcW w:w="1982" w:type="dxa"/>
            <w:gridSpan w:val="2"/>
            <w:noWrap w:val="0"/>
            <w:vAlign w:val="center"/>
          </w:tcPr>
          <w:p w14:paraId="6E8968B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en-US" w:eastAsia="zh-CN"/>
              </w:rPr>
            </w:pPr>
          </w:p>
        </w:tc>
        <w:tc>
          <w:tcPr>
            <w:tcW w:w="4101" w:type="dxa"/>
            <w:gridSpan w:val="3"/>
            <w:noWrap w:val="0"/>
            <w:vAlign w:val="center"/>
          </w:tcPr>
          <w:p w14:paraId="0376B73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指对投标（响应）供应商不具有出资持股关系，但对其存在管理关系的主体。</w:t>
            </w:r>
          </w:p>
        </w:tc>
      </w:tr>
      <w:tr w14:paraId="4587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9339" w:type="dxa"/>
            <w:gridSpan w:val="8"/>
            <w:noWrap w:val="0"/>
            <w:vAlign w:val="center"/>
          </w:tcPr>
          <w:p w14:paraId="77D7415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说明：同一关联关系类型有多个主体的，应分行填写。</w:t>
            </w:r>
          </w:p>
        </w:tc>
      </w:tr>
    </w:tbl>
    <w:p w14:paraId="4B161464">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仿宋" w:hAnsi="仿宋" w:eastAsia="仿宋_GB2312" w:cs="仿宋"/>
          <w:sz w:val="32"/>
          <w:szCs w:val="32"/>
          <w:lang w:val="en-US" w:eastAsia="zh-CN"/>
        </w:rPr>
      </w:pPr>
    </w:p>
    <w:sectPr>
      <w:footerReference r:id="rId5" w:type="default"/>
      <w:pgSz w:w="11906" w:h="16838"/>
      <w:pgMar w:top="1701" w:right="1474" w:bottom="1984"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D539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BABE7C4">
                          <w:pPr>
                            <w:pStyle w:val="8"/>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A37onp4gIAAC4GAAAOAAAAAAAAAAEAIAAAACUBAABkcnMvZTJv&#10;RG9jLnhtbFBLBQYAAAAABgAGAFkBAAB5BgAAAAA=&#10;">
              <v:fill on="f" focussize="0,0"/>
              <v:stroke on="f" weight="0.5pt"/>
              <v:imagedata o:title=""/>
              <o:lock v:ext="edit" aspectratio="f"/>
              <v:textbox inset="16pt,0mm,16pt,0mm" style="mso-fit-shape-to-text:t;">
                <w:txbxContent>
                  <w:p w14:paraId="3BABE7C4">
                    <w:pPr>
                      <w:pStyle w:val="8"/>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66120">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DF634">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73E730">
                          <w:pPr>
                            <w:pStyle w:val="8"/>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6473E730">
                    <w:pPr>
                      <w:pStyle w:val="8"/>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6FDE7B"/>
    <w:multiLevelType w:val="singleLevel"/>
    <w:tmpl w:val="AF6FDE7B"/>
    <w:lvl w:ilvl="0" w:tentative="0">
      <w:start w:val="1"/>
      <w:numFmt w:val="chineseCounting"/>
      <w:suff w:val="nothing"/>
      <w:lvlText w:val="（%1）"/>
      <w:lvlJc w:val="left"/>
      <w:pPr>
        <w:ind w:left="0" w:firstLine="420"/>
      </w:pPr>
      <w:rPr>
        <w:rFonts w:hint="eastAsia"/>
      </w:rPr>
    </w:lvl>
  </w:abstractNum>
  <w:abstractNum w:abstractNumId="1">
    <w:nsid w:val="EBC58296"/>
    <w:multiLevelType w:val="singleLevel"/>
    <w:tmpl w:val="EBC58296"/>
    <w:lvl w:ilvl="0" w:tentative="0">
      <w:start w:val="1"/>
      <w:numFmt w:val="chineseCounting"/>
      <w:suff w:val="nothing"/>
      <w:lvlText w:val="（%1）"/>
      <w:lvlJc w:val="left"/>
      <w:pPr>
        <w:ind w:left="0" w:firstLine="420"/>
      </w:pPr>
      <w:rPr>
        <w:rFonts w:hint="eastAsia"/>
      </w:rPr>
    </w:lvl>
  </w:abstractNum>
  <w:abstractNum w:abstractNumId="2">
    <w:nsid w:val="4A951040"/>
    <w:multiLevelType w:val="singleLevel"/>
    <w:tmpl w:val="4A951040"/>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iYzgyOGZiZjdmNWM4N2IyNmI4Mzg4NDI4OWU5ZmQifQ=="/>
  </w:docVars>
  <w:rsids>
    <w:rsidRoot w:val="6300098B"/>
    <w:rsid w:val="0004405B"/>
    <w:rsid w:val="002C5D63"/>
    <w:rsid w:val="004233AC"/>
    <w:rsid w:val="00551E22"/>
    <w:rsid w:val="009A3E4C"/>
    <w:rsid w:val="00BA41FB"/>
    <w:rsid w:val="00E7112C"/>
    <w:rsid w:val="00F21D90"/>
    <w:rsid w:val="01D25775"/>
    <w:rsid w:val="02151670"/>
    <w:rsid w:val="03433FB7"/>
    <w:rsid w:val="03533E8A"/>
    <w:rsid w:val="041D4734"/>
    <w:rsid w:val="04AB0032"/>
    <w:rsid w:val="051668D1"/>
    <w:rsid w:val="05A65A53"/>
    <w:rsid w:val="06282274"/>
    <w:rsid w:val="08637B5A"/>
    <w:rsid w:val="090E293E"/>
    <w:rsid w:val="0B982CB4"/>
    <w:rsid w:val="0C450EA0"/>
    <w:rsid w:val="0CEF10F1"/>
    <w:rsid w:val="0D1D63A6"/>
    <w:rsid w:val="0DE43A59"/>
    <w:rsid w:val="0E59765D"/>
    <w:rsid w:val="0E726BF1"/>
    <w:rsid w:val="0FEBAD19"/>
    <w:rsid w:val="10456E22"/>
    <w:rsid w:val="10493F08"/>
    <w:rsid w:val="10F84545"/>
    <w:rsid w:val="13615B40"/>
    <w:rsid w:val="15DF0EB8"/>
    <w:rsid w:val="1635775C"/>
    <w:rsid w:val="17334200"/>
    <w:rsid w:val="17B11331"/>
    <w:rsid w:val="18237B55"/>
    <w:rsid w:val="195D14EC"/>
    <w:rsid w:val="1B065649"/>
    <w:rsid w:val="1BF24076"/>
    <w:rsid w:val="1C025EB1"/>
    <w:rsid w:val="1DAB0121"/>
    <w:rsid w:val="1DD963EC"/>
    <w:rsid w:val="1DF725F0"/>
    <w:rsid w:val="1FAC660D"/>
    <w:rsid w:val="1FD6A560"/>
    <w:rsid w:val="1FE80F9A"/>
    <w:rsid w:val="20A27141"/>
    <w:rsid w:val="22265AE0"/>
    <w:rsid w:val="24B6332B"/>
    <w:rsid w:val="26542BEF"/>
    <w:rsid w:val="27054E05"/>
    <w:rsid w:val="2805595F"/>
    <w:rsid w:val="28985322"/>
    <w:rsid w:val="28BE7A85"/>
    <w:rsid w:val="292E512F"/>
    <w:rsid w:val="2A752544"/>
    <w:rsid w:val="2B3A2E97"/>
    <w:rsid w:val="2C43148E"/>
    <w:rsid w:val="2D9FDD12"/>
    <w:rsid w:val="2E2844D4"/>
    <w:rsid w:val="2ECF4D38"/>
    <w:rsid w:val="2F7F7EF8"/>
    <w:rsid w:val="30A56869"/>
    <w:rsid w:val="36733E96"/>
    <w:rsid w:val="36D71412"/>
    <w:rsid w:val="373D1203"/>
    <w:rsid w:val="377D5C8A"/>
    <w:rsid w:val="398570D2"/>
    <w:rsid w:val="39B8679B"/>
    <w:rsid w:val="39DA64BB"/>
    <w:rsid w:val="3A4F0CF5"/>
    <w:rsid w:val="3AFF0BA6"/>
    <w:rsid w:val="3BA7084C"/>
    <w:rsid w:val="3C5F029D"/>
    <w:rsid w:val="3D39030E"/>
    <w:rsid w:val="3D756F89"/>
    <w:rsid w:val="3DF31D95"/>
    <w:rsid w:val="3EE0662E"/>
    <w:rsid w:val="3F5F719C"/>
    <w:rsid w:val="3F707A23"/>
    <w:rsid w:val="3FBE8F2C"/>
    <w:rsid w:val="41960531"/>
    <w:rsid w:val="43CD436A"/>
    <w:rsid w:val="448411D1"/>
    <w:rsid w:val="4521341D"/>
    <w:rsid w:val="470A4B8C"/>
    <w:rsid w:val="4788525A"/>
    <w:rsid w:val="4A27782A"/>
    <w:rsid w:val="4BBB28EB"/>
    <w:rsid w:val="4C15731D"/>
    <w:rsid w:val="4DB635B9"/>
    <w:rsid w:val="4FDE74DB"/>
    <w:rsid w:val="505341D9"/>
    <w:rsid w:val="50D31AF0"/>
    <w:rsid w:val="52FB52AE"/>
    <w:rsid w:val="52FC4AE8"/>
    <w:rsid w:val="5363528C"/>
    <w:rsid w:val="5452110B"/>
    <w:rsid w:val="56860B46"/>
    <w:rsid w:val="56C300C1"/>
    <w:rsid w:val="56FE79EB"/>
    <w:rsid w:val="575F11A9"/>
    <w:rsid w:val="57E21139"/>
    <w:rsid w:val="57E77AE8"/>
    <w:rsid w:val="58990970"/>
    <w:rsid w:val="58CD2B85"/>
    <w:rsid w:val="5AC34480"/>
    <w:rsid w:val="5BAB1E82"/>
    <w:rsid w:val="5C5E24FB"/>
    <w:rsid w:val="5CFB5EFC"/>
    <w:rsid w:val="5DF75F70"/>
    <w:rsid w:val="5E574B6E"/>
    <w:rsid w:val="5E9A0233"/>
    <w:rsid w:val="5F544103"/>
    <w:rsid w:val="5FBEC09C"/>
    <w:rsid w:val="60491C9E"/>
    <w:rsid w:val="61336768"/>
    <w:rsid w:val="613860E3"/>
    <w:rsid w:val="62BF78B2"/>
    <w:rsid w:val="6300098B"/>
    <w:rsid w:val="63E43F41"/>
    <w:rsid w:val="65D924E4"/>
    <w:rsid w:val="661D1721"/>
    <w:rsid w:val="676FC090"/>
    <w:rsid w:val="67A40D81"/>
    <w:rsid w:val="67DC0DE9"/>
    <w:rsid w:val="68D37978"/>
    <w:rsid w:val="69FF193A"/>
    <w:rsid w:val="6ABF6012"/>
    <w:rsid w:val="6BD5AE2C"/>
    <w:rsid w:val="6C1A32F9"/>
    <w:rsid w:val="6D7C1E8C"/>
    <w:rsid w:val="6DA70C23"/>
    <w:rsid w:val="6DDB5E1D"/>
    <w:rsid w:val="6DF03333"/>
    <w:rsid w:val="6DF34252"/>
    <w:rsid w:val="6DF3622C"/>
    <w:rsid w:val="6F1306DD"/>
    <w:rsid w:val="6F8E492F"/>
    <w:rsid w:val="6FAB19A0"/>
    <w:rsid w:val="6FC797AA"/>
    <w:rsid w:val="6FD7CD98"/>
    <w:rsid w:val="6FF84164"/>
    <w:rsid w:val="6FFF5663"/>
    <w:rsid w:val="6FFF6E10"/>
    <w:rsid w:val="70085DB2"/>
    <w:rsid w:val="717D1D80"/>
    <w:rsid w:val="727E0E3D"/>
    <w:rsid w:val="738C3CD8"/>
    <w:rsid w:val="73992E5F"/>
    <w:rsid w:val="75BF44A5"/>
    <w:rsid w:val="76B37ACA"/>
    <w:rsid w:val="76DD742C"/>
    <w:rsid w:val="779B2966"/>
    <w:rsid w:val="77D21B58"/>
    <w:rsid w:val="788DDA35"/>
    <w:rsid w:val="78FFCFF6"/>
    <w:rsid w:val="797E3234"/>
    <w:rsid w:val="79921E73"/>
    <w:rsid w:val="7B70292C"/>
    <w:rsid w:val="7BB5581A"/>
    <w:rsid w:val="7BB75187"/>
    <w:rsid w:val="7BBF5AD1"/>
    <w:rsid w:val="7BC347B5"/>
    <w:rsid w:val="7BF5C93C"/>
    <w:rsid w:val="7BF7856C"/>
    <w:rsid w:val="7D4F9828"/>
    <w:rsid w:val="7D983576"/>
    <w:rsid w:val="7DB1637B"/>
    <w:rsid w:val="7DFB6C43"/>
    <w:rsid w:val="7DFDA3C1"/>
    <w:rsid w:val="7E3FB26C"/>
    <w:rsid w:val="7E664013"/>
    <w:rsid w:val="7E8D2AC9"/>
    <w:rsid w:val="7F13641B"/>
    <w:rsid w:val="7F1F356D"/>
    <w:rsid w:val="7F35468C"/>
    <w:rsid w:val="7F877FB8"/>
    <w:rsid w:val="7FB7800E"/>
    <w:rsid w:val="7FC784D7"/>
    <w:rsid w:val="7FFFC896"/>
    <w:rsid w:val="897E6CA5"/>
    <w:rsid w:val="9F8F00C4"/>
    <w:rsid w:val="AFFF6F6A"/>
    <w:rsid w:val="B5DF49CD"/>
    <w:rsid w:val="B5F3A0E8"/>
    <w:rsid w:val="B6ED0B29"/>
    <w:rsid w:val="B7B70B2E"/>
    <w:rsid w:val="B9BF1D4D"/>
    <w:rsid w:val="D6FF8FD8"/>
    <w:rsid w:val="D7AF2A72"/>
    <w:rsid w:val="DB7D27F3"/>
    <w:rsid w:val="DDE764CF"/>
    <w:rsid w:val="DF9C7A02"/>
    <w:rsid w:val="DFBF0221"/>
    <w:rsid w:val="E3F7CDAD"/>
    <w:rsid w:val="EC5FA41D"/>
    <w:rsid w:val="EE7DCABB"/>
    <w:rsid w:val="EEDF62D7"/>
    <w:rsid w:val="EF7A58F9"/>
    <w:rsid w:val="EFF96745"/>
    <w:rsid w:val="F19702BB"/>
    <w:rsid w:val="F30F1CBF"/>
    <w:rsid w:val="F377841C"/>
    <w:rsid w:val="F9BE577D"/>
    <w:rsid w:val="F9DBF3FA"/>
    <w:rsid w:val="FA4F89C7"/>
    <w:rsid w:val="FBB7B09A"/>
    <w:rsid w:val="FBEF05C2"/>
    <w:rsid w:val="FDEF5C1B"/>
    <w:rsid w:val="FEC3A390"/>
    <w:rsid w:val="FEF59482"/>
    <w:rsid w:val="FEFC7386"/>
    <w:rsid w:val="FEFF4D59"/>
    <w:rsid w:val="FF3F2C28"/>
    <w:rsid w:val="FF6F45E1"/>
    <w:rsid w:val="FF73DCBA"/>
    <w:rsid w:val="FFD8B112"/>
    <w:rsid w:val="FFF19B07"/>
    <w:rsid w:val="FFF3D4E2"/>
    <w:rsid w:val="FFF6CD5D"/>
    <w:rsid w:val="FFFF87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unhideWhenUsed/>
    <w:qFormat/>
    <w:uiPriority w:val="0"/>
    <w:pPr>
      <w:adjustRightInd w:val="0"/>
      <w:jc w:val="center"/>
      <w:textAlignment w:val="baseline"/>
      <w:outlineLvl w:val="1"/>
    </w:pPr>
    <w:rPr>
      <w:kern w:val="0"/>
      <w:sz w:val="24"/>
    </w:rPr>
  </w:style>
  <w:style w:type="paragraph" w:styleId="4">
    <w:name w:val="heading 3"/>
    <w:basedOn w:val="5"/>
    <w:next w:val="1"/>
    <w:unhideWhenUsed/>
    <w:qFormat/>
    <w:uiPriority w:val="0"/>
    <w:pPr>
      <w:spacing w:before="260" w:after="260" w:line="240" w:lineRule="auto"/>
      <w:outlineLvl w:val="2"/>
    </w:pPr>
    <w:rPr>
      <w:rFonts w:ascii="宋体" w:hAnsi="宋体" w:eastAsia="宋体"/>
      <w:szCs w:val="32"/>
    </w:rPr>
  </w:style>
  <w:style w:type="paragraph" w:styleId="5">
    <w:name w:val="heading 4"/>
    <w:basedOn w:val="1"/>
    <w:next w:val="1"/>
    <w:unhideWhenUsed/>
    <w:qFormat/>
    <w:uiPriority w:val="0"/>
    <w:pPr>
      <w:keepNext/>
      <w:keepLines/>
      <w:spacing w:before="280" w:after="290" w:line="376" w:lineRule="auto"/>
      <w:outlineLvl w:val="3"/>
    </w:pPr>
    <w:rPr>
      <w:rFonts w:ascii="Arial" w:hAnsi="Arial" w:eastAsia="黑体"/>
      <w:b/>
      <w:bCs/>
      <w:sz w:val="28"/>
      <w:szCs w:val="28"/>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6">
    <w:name w:val="annotation text"/>
    <w:basedOn w:val="1"/>
    <w:qFormat/>
    <w:uiPriority w:val="0"/>
    <w:pPr>
      <w:jc w:val="left"/>
    </w:pPr>
  </w:style>
  <w:style w:type="paragraph" w:styleId="7">
    <w:name w:val="Body Text"/>
    <w:basedOn w:val="1"/>
    <w:next w:val="1"/>
    <w:unhideWhenUsed/>
    <w:qFormat/>
    <w:uiPriority w:val="99"/>
    <w:pPr>
      <w:spacing w:after="120"/>
    </w:pPr>
  </w:style>
  <w:style w:type="paragraph" w:styleId="8">
    <w:name w:val="footer"/>
    <w:basedOn w:val="1"/>
    <w:link w:val="13"/>
    <w:qFormat/>
    <w:uiPriority w:val="0"/>
    <w:pPr>
      <w:tabs>
        <w:tab w:val="center" w:pos="4153"/>
        <w:tab w:val="right" w:pos="8306"/>
      </w:tabs>
      <w:snapToGrid w:val="0"/>
      <w:jc w:val="left"/>
    </w:pPr>
    <w:rPr>
      <w:sz w:val="18"/>
      <w:szCs w:val="18"/>
    </w:rPr>
  </w:style>
  <w:style w:type="paragraph" w:styleId="9">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3">
    <w:name w:val="页脚 字符"/>
    <w:basedOn w:val="12"/>
    <w:link w:val="8"/>
    <w:qFormat/>
    <w:uiPriority w:val="0"/>
    <w:rPr>
      <w:kern w:val="2"/>
      <w:sz w:val="18"/>
      <w:szCs w:val="18"/>
    </w:rPr>
  </w:style>
  <w:style w:type="character" w:customStyle="1" w:styleId="14">
    <w:name w:val="页眉 字符"/>
    <w:basedOn w:val="12"/>
    <w:link w:val="9"/>
    <w:qFormat/>
    <w:uiPriority w:val="0"/>
    <w:rPr>
      <w:kern w:val="2"/>
      <w:sz w:val="18"/>
      <w:szCs w:val="18"/>
    </w:rPr>
  </w:style>
  <w:style w:type="paragraph" w:customStyle="1" w:styleId="15">
    <w:name w:val="表格文字"/>
    <w:basedOn w:val="1"/>
    <w:qFormat/>
    <w:uiPriority w:val="0"/>
    <w:pPr>
      <w:spacing w:before="25" w:after="25"/>
      <w:jc w:val="left"/>
    </w:pPr>
    <w:rPr>
      <w:spacing w:val="10"/>
      <w:kern w:val="0"/>
      <w:sz w:val="24"/>
    </w:rPr>
  </w:style>
  <w:style w:type="paragraph" w:customStyle="1" w:styleId="16">
    <w:name w:val="列表段落1"/>
    <w:basedOn w:val="1"/>
    <w:qFormat/>
    <w:uiPriority w:val="0"/>
    <w:pPr>
      <w:ind w:firstLine="420" w:firstLineChars="200"/>
    </w:pPr>
    <w:rPr>
      <w:rFonts w:ascii="Calibri" w:hAnsi="Calibri"/>
    </w:rPr>
  </w:style>
  <w:style w:type="paragraph" w:customStyle="1" w:styleId="17">
    <w:name w:val="文档正文"/>
    <w:basedOn w:val="1"/>
    <w:qFormat/>
    <w:uiPriority w:val="0"/>
    <w:pPr>
      <w:adjustRightInd w:val="0"/>
      <w:spacing w:line="480" w:lineRule="atLeast"/>
      <w:ind w:firstLine="567" w:firstLineChars="200"/>
      <w:textAlignment w:val="baseline"/>
    </w:pPr>
    <w:rPr>
      <w:rFonts w:ascii="长城仿宋"/>
      <w:kern w:val="0"/>
    </w:rPr>
  </w:style>
  <w:style w:type="paragraph" w:customStyle="1" w:styleId="18">
    <w:name w:val="Table Paragraph"/>
    <w:basedOn w:val="1"/>
    <w:qFormat/>
    <w:uiPriority w:val="0"/>
    <w:pPr>
      <w:autoSpaceDE w:val="0"/>
      <w:autoSpaceDN w:val="0"/>
      <w:adjustRightInd w:val="0"/>
      <w:jc w:val="left"/>
    </w:pPr>
    <w:rPr>
      <w:rFonts w:ascii="宋体" w:hAnsi="宋体" w:cs="宋体"/>
      <w:kern w:val="0"/>
      <w:sz w:val="24"/>
    </w:rPr>
  </w:style>
  <w:style w:type="paragraph" w:customStyle="1" w:styleId="19">
    <w:name w:val="列出段落1"/>
    <w:basedOn w:val="1"/>
    <w:qFormat/>
    <w:uiPriority w:val="0"/>
    <w:pPr>
      <w:suppressAutoHyphens/>
      <w:ind w:firstLine="420"/>
    </w:pPr>
    <w:rPr>
      <w:rFonts w:cs="Calibri"/>
      <w:kern w:val="0"/>
      <w:sz w:val="2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9129d0d5-5a24-462b-8cbd-6c0b65c9c813</errorID>
      <errorWord>(</errorWord>
      <group>L1_Format</group>
      <groupName>格式问题</groupName>
      <ability>L2_HalfPunc_CN</ability>
      <abilityName/>
      <candidateList>
        <item>（</item>
      </candidateList>
      <explain>文本全半角错误。</explain>
      <paraID>7CE118DC</paraID>
      <start>15</start>
      <end>16</end>
      <status>modified</status>
      <modifiedWord>（</modifiedWord>
      <trackRevisions>false</trackRevisions>
    </reviewItem>
    <reviewItem>
      <errorID>c8a12139-23bb-4166-8d6f-bdb901497e38</errorID>
      <errorWord>)</errorWord>
      <group>L1_Format</group>
      <groupName>格式问题</groupName>
      <ability>L2_HalfPunc_CN</ability>
      <abilityName/>
      <candidateList>
        <item>）</item>
      </candidateList>
      <explain>文本全半角错误。</explain>
      <paraID>7CE118DC</paraID>
      <start>24</start>
      <end>25</end>
      <status>modified</status>
      <modifiedWord>）</modifiedWord>
      <trackRevisions>false</trackRevisions>
    </reviewItem>
    <reviewItem>
      <errorID>7257561f-022c-4d68-8e01-a7843af748fc</errorID>
      <errorWord>(</errorWord>
      <group>L1_Format</group>
      <groupName>格式问题</groupName>
      <ability>L2_HalfPunc_CN</ability>
      <abilityName/>
      <candidateList>
        <item>（</item>
      </candidateList>
      <explain>文本全半角错误。</explain>
      <paraID>7D1972D5</paraID>
      <start>21</start>
      <end>22</end>
      <status>modified</status>
      <modifiedWord>（</modifiedWord>
      <trackRevisions>false</trackRevisions>
    </reviewItem>
    <reviewItem>
      <errorID>04b980c4-0c0d-4aaa-9936-29604a7dda01</errorID>
      <errorWord>签定</errorWord>
      <group>L1_Word</group>
      <groupName>字词问题</groupName>
      <ability>L2_Typo</ability>
      <abilityName>字词错误</abilityName>
      <candidateList>
        <item>签订</item>
      </candidateList>
      <explain>〈动〉订立条约或合同并签字：两国～了贸易议定书和支付协定。</explain>
      <paraID>6424DAB7</paraID>
      <start>76</start>
      <end>78</end>
      <status>modified</status>
      <modifiedWord>签订</modifiedWord>
      <trackRevisions>false</trackRevisions>
    </reviewItem>
    <reviewItem>
      <errorID>73a798e7-1438-4bb0-9083-a38328d20820</errorID>
      <errorWord>做</errorWord>
      <group>L1_Word</group>
      <groupName>字词问题</groupName>
      <ability>L2_Typo</ability>
      <abilityName>字词错误</abilityName>
      <candidateList>
        <item>作</item>
      </candidateList>
      <explain>存在发音相同字词的误用。</explain>
      <paraID>6424DAB7</paraID>
      <start>90</start>
      <end>91</end>
      <status>modified</status>
      <modifiedWord>作</modifiedWord>
      <trackRevisions>false</trackRevisions>
    </reviewItem>
    <reviewItem>
      <errorID>919f857e-f50a-486f-b30f-3769ec45550e</errorID>
      <errorWord>其它</errorWord>
      <group>L1_Word</group>
      <groupName>字词问题</groupName>
      <ability>L2_Alias</ability>
      <abilityName>也作/曾用词</abilityName>
      <candidateList>
        <item>其他</item>
      </candidateList>
      <explain>词汇[其它]为不规范表述或旧称，其规范书面表述为[其他]。</explain>
      <paraID>1A9BF9B7</paraID>
      <start>24</start>
      <end>26</end>
      <status>ignored</status>
      <modifiedWord/>
      <trackRevisions>false</trackRevisions>
    </reviewItem>
    <reviewItem>
      <errorID>9a4aca0d-7278-4569-8f93-5f0e8bf8ece0</errorID>
      <errorWord>后</errorWord>
      <group>L1_Word</group>
      <groupName>字词问题</groupName>
      <ability>L2_Typo</ability>
      <abilityName>字词错误</abilityName>
      <candidateList>
        <item>后支</item>
      </candidateList>
      <explain/>
      <paraID>472B2E4F</paraID>
      <start>52</start>
      <end>54</end>
      <status>modified</status>
      <modifiedWord>后支</modifiedWord>
      <trackRevisions>false</trackRevisions>
    </reviewItem>
    <reviewItem>
      <errorID>8909c17a-733f-499e-a8af-8f24ede1b26b</errorID>
      <errorWord>加具</errorWord>
      <group>L1_Word</group>
      <groupName>字词问题</groupName>
      <ability>L2_Typo</ability>
      <abilityName>字词错误</abilityName>
      <candidateList>
        <item>加盖</item>
      </candidateList>
      <explain/>
      <paraID>2DFF6D48</paraID>
      <start>103</start>
      <end>105</end>
      <status>modified</status>
      <modifiedWord>加盖</modifiedWord>
      <trackRevisions>false</trackRevisions>
    </reviewItem>
    <reviewItem>
      <errorID>aa9f8d50-2d2b-418e-8553-6fab923cc1d6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19190F6E</paraID>
      <start>0</start>
      <end>3</end>
      <status>modified</status>
      <modifiedWord>11.</modifiedWord>
      <trackRevisions>false</trackRevisions>
    </reviewItem>
    <reviewItem>
      <errorID>bfacc3a4-e569-42bf-ac83-2690708ee786</errorID>
      <errorWord>,</errorWord>
      <group>L1_Format</group>
      <groupName>格式问题</groupName>
      <ability>L2_HalfPunc_CN</ability>
      <abilityName/>
      <candidateList>
        <item>，</item>
      </candidateList>
      <explain>文本全半角错误。</explain>
      <paraID>2B0C8A38</paraID>
      <start>21</start>
      <end>22</end>
      <status>modified</status>
      <modifiedWord>，</modifiedWord>
      <trackRevisions>false</trackRevisions>
    </reviewItem>
    <reviewItem>
      <errorID>4d58ea6c-85c1-47e3-81c4-72c06dcd8aef</errorID>
      <errorWord>,</errorWord>
      <group>L1_Format</group>
      <groupName>格式问题</groupName>
      <ability>L2_HalfPunc_CN</ability>
      <abilityName/>
      <candidateList>
        <item>，</item>
      </candidateList>
      <explain>文本全半角错误。</explain>
      <paraID>2B0C8A38</paraID>
      <start>49</start>
      <end>50</end>
      <status>modified</status>
      <modifiedWord>，</modifiedWord>
      <trackRevisions>false</trackRevisions>
    </reviewItem>
    <reviewItem>
      <errorID>fd02b64f-f2de-4e5c-9a81-dc8b3536bf47</errorID>
      <errorWord>(</errorWord>
      <group>L1_Format</group>
      <groupName>格式问题</groupName>
      <ability>L2_HalfPunc_CN</ability>
      <abilityName/>
      <candidateList>
        <item>（</item>
      </candidateList>
      <explain>文本全半角错误。</explain>
      <paraID>2B0C8A38</paraID>
      <start>91</start>
      <end>92</end>
      <status>modified</status>
      <modifiedWord>（</modifiedWord>
      <trackRevisions>false</trackRevisions>
    </reviewItem>
    <reviewItem>
      <errorID>697f9b45-2dab-426d-ba4e-2d60c31832cd</errorID>
      <errorWord>)</errorWord>
      <group>L1_Format</group>
      <groupName>格式问题</groupName>
      <ability>L2_HalfPunc_CN</ability>
      <abilityName/>
      <candidateList>
        <item>）</item>
      </candidateList>
      <explain>文本全半角错误。</explain>
      <paraID>2B0C8A38</paraID>
      <start>102</start>
      <end>103</end>
      <status>modified</status>
      <modifiedWord>）</modifiedWord>
      <trackRevisions>false</trackRevisions>
    </reviewItem>
    <reviewItem>
      <errorID>eba851ea-d920-499f-bbf0-e0e76dd6f8d5</errorID>
      <errorWord>[2020]</errorWord>
      <group>L1_Punc</group>
      <groupName>标点问题</groupName>
      <ability>L2_Punc_CN</ability>
      <abilityName/>
      <candidateList>
        <item>〔2020〕</item>
      </candidateList>
      <explain/>
      <paraID>26279610</paraID>
      <start>31</start>
      <end>37</end>
      <status>modified</status>
      <modifiedWord>〔2020〕</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ae0af4-1f38-42ab-a980-a5eb113defc9}">
  <ds:schemaRefs/>
</ds:datastoreItem>
</file>

<file path=docProps/app.xml><?xml version="1.0" encoding="utf-8"?>
<Properties xmlns="http://schemas.openxmlformats.org/officeDocument/2006/extended-properties" xmlns:vt="http://schemas.openxmlformats.org/officeDocument/2006/docPropsVTypes">
  <Template>Normal.dotm</Template>
  <Pages>9</Pages>
  <Words>3376</Words>
  <Characters>3455</Characters>
  <Lines>16</Lines>
  <Paragraphs>4</Paragraphs>
  <TotalTime>2</TotalTime>
  <ScaleCrop>false</ScaleCrop>
  <LinksUpToDate>false</LinksUpToDate>
  <CharactersWithSpaces>3540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2020-07-30T19:09:00Z</dcterms:created>
  <dc:creator>kcs</dc:creator>
  <cp:lastModifiedBy>廖勇坚</cp:lastModifiedBy>
  <cp:lastPrinted>2026-06-29T09:55:00Z</cp:lastPrinted>
  <dcterms:modified xsi:type="dcterms:W3CDTF">2026-06-29T02:53:23Z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52392A3825134E638BE9C4706468DCA6_13</vt:lpwstr>
  </property>
  <property fmtid="{D5CDD505-2E9C-101B-9397-08002B2CF9AE}" pid="4" name="KSOTemplateDocerSaveRecord">
    <vt:lpwstr>eyJoZGlkIjoiMjk5NTg2YjM2YTA0NjU1YTQ2MTM4MTcwMDJiNmZhZDUiLCJ1c2VySWQiOiIzNDUwNjU2MDIifQ==</vt:lpwstr>
  </property>
</Properties>
</file>