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深圳市坪山区科技创新局第三期新能源（汽车）和智能网联产业系列讲座服务项目招标方案</w:t>
      </w:r>
    </w:p>
    <w:p>
      <w:pPr>
        <w:rPr>
          <w:rFonts w:hint="eastAsia"/>
          <w:lang w:val="en-US" w:eastAsia="zh-CN"/>
        </w:rPr>
      </w:pPr>
    </w:p>
    <w:p>
      <w:pPr>
        <w:ind w:left="1600" w:leftChars="0" w:hanging="1600" w:hangingChars="500"/>
        <w:rPr>
          <w:rFonts w:hint="eastAsia"/>
          <w:lang w:val="en-US" w:eastAsia="zh-CN"/>
        </w:rPr>
      </w:pPr>
      <w:r>
        <w:rPr>
          <w:rFonts w:hint="eastAsia"/>
          <w:lang w:val="en-US" w:eastAsia="zh-CN"/>
        </w:rPr>
        <w:t>项目名称：第三期新能源（汽车）和智能网联产业系列讲座服务</w:t>
      </w:r>
    </w:p>
    <w:p>
      <w:pPr>
        <w:ind w:left="0" w:leftChars="0" w:firstLine="0" w:firstLineChars="0"/>
        <w:rPr>
          <w:rFonts w:hint="eastAsia"/>
          <w:lang w:val="en-US" w:eastAsia="zh-CN"/>
        </w:rPr>
      </w:pPr>
      <w:r>
        <w:rPr>
          <w:rFonts w:hint="eastAsia"/>
          <w:lang w:val="en-US" w:eastAsia="zh-CN"/>
        </w:rPr>
        <w:t>采购人：深圳市坪山区科技创新局</w:t>
      </w:r>
    </w:p>
    <w:p>
      <w:pPr>
        <w:pStyle w:val="3"/>
        <w:bidi w:val="0"/>
        <w:rPr>
          <w:rFonts w:hint="eastAsia"/>
          <w:b w:val="0"/>
          <w:bCs w:val="0"/>
          <w:lang w:val="en-US" w:eastAsia="zh-CN"/>
        </w:rPr>
      </w:pPr>
      <w:r>
        <w:rPr>
          <w:rFonts w:hint="eastAsia"/>
          <w:b w:val="0"/>
          <w:bCs w:val="0"/>
          <w:lang w:val="en-US" w:eastAsia="zh-CN"/>
        </w:rPr>
        <w:t>一、采购项目概况</w:t>
      </w:r>
    </w:p>
    <w:p>
      <w:pPr>
        <w:rPr>
          <w:rFonts w:hint="eastAsia"/>
          <w:lang w:val="en-US" w:eastAsia="zh-CN"/>
        </w:rPr>
      </w:pPr>
      <w:r>
        <w:rPr>
          <w:rFonts w:hint="eastAsia"/>
          <w:lang w:val="en-US" w:eastAsia="zh-CN"/>
        </w:rPr>
        <w:t>为把握新能源（汽车）和智能网联产业发展动向，探讨坪山区新能源（汽车）和智能网联产业的机遇与挑战，加强坪山新能源（汽车）和智能网联产业关键核心技术研发创新能力，进一步推动行业内专业、高效的交流与合作，促进行业健康快速发展，坪山区科技创新局拟举办第三期新能源（汽车）和智能网联产业系列讲座</w:t>
      </w:r>
      <w:r>
        <w:rPr>
          <w:rFonts w:hint="eastAsia" w:ascii="仿宋_GB2312" w:hAnsi="仿宋_GB2312" w:cs="仿宋_GB2312"/>
          <w:lang w:val="en-US" w:eastAsia="zh-CN"/>
        </w:rPr>
        <w:t>。</w:t>
      </w:r>
      <w:r>
        <w:rPr>
          <w:rFonts w:hint="eastAsia"/>
          <w:lang w:val="en-US" w:eastAsia="zh-CN"/>
        </w:rPr>
        <w:t>为</w:t>
      </w:r>
      <w:r>
        <w:rPr>
          <w:rFonts w:hint="eastAsia" w:ascii="仿宋_GB2312" w:hAnsi="仿宋_GB2312" w:eastAsia="仿宋_GB2312" w:cs="仿宋_GB2312"/>
          <w:b w:val="0"/>
          <w:bCs w:val="0"/>
          <w:sz w:val="32"/>
          <w:szCs w:val="32"/>
          <w:lang w:eastAsia="zh-CN"/>
        </w:rPr>
        <w:t>顺利推进该项目，特制定本方案</w:t>
      </w:r>
      <w:r>
        <w:rPr>
          <w:rFonts w:hint="eastAsia"/>
          <w:lang w:val="en-US" w:eastAsia="zh-CN"/>
        </w:rPr>
        <w:t>。</w:t>
      </w:r>
    </w:p>
    <w:p>
      <w:pPr>
        <w:pStyle w:val="3"/>
        <w:bidi w:val="0"/>
        <w:rPr>
          <w:rFonts w:hint="eastAsia"/>
          <w:b w:val="0"/>
          <w:bCs w:val="0"/>
          <w:lang w:val="en-US" w:eastAsia="zh-CN"/>
        </w:rPr>
      </w:pPr>
      <w:r>
        <w:rPr>
          <w:rFonts w:hint="eastAsia"/>
          <w:b w:val="0"/>
          <w:bCs w:val="0"/>
          <w:lang w:val="en-US" w:eastAsia="zh-CN"/>
        </w:rPr>
        <w:t>二、项目管理和服务要求</w:t>
      </w:r>
    </w:p>
    <w:p>
      <w:pPr>
        <w:pageBreakBefore w:val="0"/>
        <w:widowControl w:val="0"/>
        <w:numPr>
          <w:ilvl w:val="0"/>
          <w:numId w:val="0"/>
        </w:numPr>
        <w:kinsoku/>
        <w:wordWrap/>
        <w:overflowPunct/>
        <w:topLinePunct w:val="0"/>
        <w:autoSpaceDE/>
        <w:autoSpaceDN/>
        <w:bidi w:val="0"/>
        <w:snapToGrid/>
        <w:spacing w:line="560" w:lineRule="atLeast"/>
        <w:ind w:firstLine="640" w:firstLineChars="200"/>
        <w:rPr>
          <w:rFonts w:hint="eastAsia" w:ascii="仿宋_GB2312" w:eastAsia="仿宋_GB2312"/>
          <w:sz w:val="32"/>
          <w:szCs w:val="32"/>
          <w:lang w:val="en-US" w:eastAsia="zh-CN"/>
        </w:rPr>
      </w:pPr>
      <w:r>
        <w:rPr>
          <w:rFonts w:hint="eastAsia" w:ascii="仿宋_GB2312"/>
          <w:sz w:val="32"/>
          <w:szCs w:val="32"/>
          <w:lang w:val="en-US" w:eastAsia="zh-CN"/>
        </w:rPr>
        <w:t>（一）</w:t>
      </w:r>
      <w:r>
        <w:rPr>
          <w:rFonts w:hint="eastAsia" w:ascii="仿宋_GB2312" w:eastAsia="仿宋_GB2312"/>
          <w:sz w:val="32"/>
          <w:szCs w:val="32"/>
          <w:lang w:eastAsia="zh-CN"/>
        </w:rPr>
        <w:t>为坪山区企业组织</w:t>
      </w:r>
      <w:r>
        <w:rPr>
          <w:rFonts w:hint="eastAsia" w:ascii="仿宋_GB2312"/>
          <w:sz w:val="32"/>
          <w:szCs w:val="32"/>
          <w:lang w:eastAsia="zh-CN"/>
        </w:rPr>
        <w:t>第三期</w:t>
      </w:r>
      <w:r>
        <w:rPr>
          <w:rFonts w:hint="eastAsia"/>
          <w:lang w:val="en-US" w:eastAsia="zh-CN"/>
        </w:rPr>
        <w:t>新能源（汽车）和智能网联产业系列讲座，根据坪山区科技创新局提供的讲座主题</w:t>
      </w:r>
      <w:r>
        <w:rPr>
          <w:rFonts w:hint="eastAsia" w:ascii="仿宋_GB2312" w:eastAsia="仿宋_GB2312"/>
          <w:sz w:val="32"/>
          <w:szCs w:val="32"/>
          <w:lang w:val="en-US" w:eastAsia="zh-CN"/>
        </w:rPr>
        <w:t>制定活动方案</w:t>
      </w:r>
      <w:r>
        <w:rPr>
          <w:rFonts w:hint="eastAsia" w:ascii="仿宋_GB2312"/>
          <w:sz w:val="32"/>
          <w:szCs w:val="32"/>
          <w:lang w:val="en-US" w:eastAsia="zh-CN"/>
        </w:rPr>
        <w:t>，</w:t>
      </w:r>
      <w:r>
        <w:rPr>
          <w:rFonts w:hint="eastAsia" w:ascii="仿宋_GB2312" w:eastAsia="仿宋_GB2312"/>
          <w:sz w:val="32"/>
          <w:szCs w:val="32"/>
          <w:lang w:val="en-US" w:eastAsia="zh-CN"/>
        </w:rPr>
        <w:t>安排</w:t>
      </w:r>
      <w:r>
        <w:rPr>
          <w:rFonts w:hint="eastAsia" w:ascii="仿宋_GB2312"/>
          <w:sz w:val="32"/>
          <w:szCs w:val="32"/>
          <w:lang w:val="en-US" w:eastAsia="zh-CN"/>
        </w:rPr>
        <w:t>主持、</w:t>
      </w:r>
      <w:r>
        <w:rPr>
          <w:rFonts w:hint="eastAsia" w:ascii="仿宋_GB2312" w:eastAsia="仿宋_GB2312"/>
          <w:sz w:val="32"/>
          <w:szCs w:val="32"/>
          <w:lang w:val="en-US" w:eastAsia="zh-CN"/>
        </w:rPr>
        <w:t>摄影及礼仪</w:t>
      </w:r>
      <w:r>
        <w:rPr>
          <w:rFonts w:hint="eastAsia" w:ascii="仿宋_GB2312"/>
          <w:sz w:val="32"/>
          <w:szCs w:val="32"/>
          <w:lang w:val="en-US" w:eastAsia="zh-CN"/>
        </w:rPr>
        <w:t>，协助</w:t>
      </w:r>
      <w:r>
        <w:rPr>
          <w:rFonts w:hint="eastAsia"/>
          <w:lang w:val="en-US" w:eastAsia="zh-CN"/>
        </w:rPr>
        <w:t>坪山区科技创新局邀请讲座讲师</w:t>
      </w:r>
      <w:r>
        <w:rPr>
          <w:rFonts w:hint="eastAsia" w:ascii="仿宋_GB2312" w:eastAsia="仿宋_GB2312"/>
          <w:sz w:val="32"/>
          <w:szCs w:val="32"/>
          <w:lang w:val="en-US" w:eastAsia="zh-CN"/>
        </w:rPr>
        <w:t>。</w:t>
      </w:r>
    </w:p>
    <w:p>
      <w:pPr>
        <w:pageBreakBefore w:val="0"/>
        <w:widowControl w:val="0"/>
        <w:numPr>
          <w:ilvl w:val="0"/>
          <w:numId w:val="0"/>
        </w:numPr>
        <w:kinsoku/>
        <w:wordWrap/>
        <w:overflowPunct/>
        <w:topLinePunct w:val="0"/>
        <w:autoSpaceDE/>
        <w:autoSpaceDN/>
        <w:bidi w:val="0"/>
        <w:snapToGrid/>
        <w:spacing w:line="560" w:lineRule="atLeast"/>
        <w:ind w:firstLine="640" w:firstLineChars="200"/>
        <w:rPr>
          <w:rFonts w:hint="eastAsia" w:ascii="仿宋_GB2312" w:eastAsia="仿宋_GB2312"/>
          <w:sz w:val="32"/>
          <w:szCs w:val="32"/>
          <w:lang w:val="en-US" w:eastAsia="zh-CN"/>
        </w:rPr>
      </w:pPr>
      <w:r>
        <w:rPr>
          <w:rFonts w:hint="eastAsia" w:ascii="仿宋_GB2312"/>
          <w:sz w:val="32"/>
          <w:szCs w:val="32"/>
          <w:lang w:val="en-US" w:eastAsia="zh-CN"/>
        </w:rPr>
        <w:t>（二）</w:t>
      </w:r>
      <w:r>
        <w:rPr>
          <w:rFonts w:hint="eastAsia" w:ascii="仿宋_GB2312" w:eastAsia="仿宋_GB2312"/>
          <w:sz w:val="32"/>
          <w:szCs w:val="32"/>
          <w:lang w:val="en-US" w:eastAsia="zh-CN"/>
        </w:rPr>
        <w:t>活动组织实施过程中</w:t>
      </w:r>
      <w:r>
        <w:rPr>
          <w:rFonts w:hint="eastAsia" w:ascii="仿宋_GB2312"/>
          <w:sz w:val="32"/>
          <w:szCs w:val="32"/>
          <w:lang w:val="en-US" w:eastAsia="zh-CN"/>
        </w:rPr>
        <w:t>动员</w:t>
      </w:r>
      <w:r>
        <w:rPr>
          <w:rFonts w:hint="eastAsia" w:ascii="仿宋_GB2312" w:eastAsia="仿宋_GB2312"/>
          <w:sz w:val="32"/>
          <w:szCs w:val="32"/>
          <w:lang w:val="en-US" w:eastAsia="zh-CN"/>
        </w:rPr>
        <w:t>企业参会</w:t>
      </w:r>
      <w:r>
        <w:rPr>
          <w:rFonts w:hint="eastAsia" w:ascii="仿宋_GB2312"/>
          <w:sz w:val="32"/>
          <w:szCs w:val="32"/>
          <w:lang w:val="en-US" w:eastAsia="zh-CN"/>
        </w:rPr>
        <w:t>（设计H5邀请函），</w:t>
      </w:r>
      <w:r>
        <w:rPr>
          <w:rFonts w:hint="eastAsia" w:ascii="仿宋_GB2312" w:eastAsia="仿宋_GB2312"/>
          <w:sz w:val="32"/>
          <w:szCs w:val="32"/>
          <w:lang w:val="en-US" w:eastAsia="zh-CN"/>
        </w:rPr>
        <w:t>租赁活动场地</w:t>
      </w:r>
      <w:r>
        <w:rPr>
          <w:rFonts w:hint="eastAsia" w:ascii="仿宋_GB2312"/>
          <w:sz w:val="32"/>
          <w:szCs w:val="32"/>
          <w:lang w:val="en-US" w:eastAsia="zh-CN"/>
        </w:rPr>
        <w:t>，提供</w:t>
      </w:r>
      <w:r>
        <w:rPr>
          <w:rFonts w:hint="eastAsia" w:ascii="仿宋_GB2312" w:eastAsia="仿宋_GB2312"/>
          <w:sz w:val="32"/>
          <w:szCs w:val="32"/>
          <w:lang w:val="en-US" w:eastAsia="zh-CN"/>
        </w:rPr>
        <w:t>摄影、摄像、音响、灯光</w:t>
      </w:r>
      <w:r>
        <w:rPr>
          <w:rFonts w:hint="eastAsia" w:ascii="仿宋_GB2312"/>
          <w:sz w:val="32"/>
          <w:szCs w:val="32"/>
          <w:lang w:val="en-US" w:eastAsia="zh-CN"/>
        </w:rPr>
        <w:t>等</w:t>
      </w:r>
      <w:r>
        <w:rPr>
          <w:rFonts w:hint="eastAsia" w:ascii="仿宋_GB2312" w:eastAsia="仿宋_GB2312"/>
          <w:sz w:val="32"/>
          <w:szCs w:val="32"/>
          <w:lang w:val="en-US" w:eastAsia="zh-CN"/>
        </w:rPr>
        <w:t>器材</w:t>
      </w:r>
      <w:r>
        <w:rPr>
          <w:rFonts w:hint="eastAsia" w:ascii="仿宋_GB2312"/>
          <w:sz w:val="32"/>
          <w:szCs w:val="32"/>
          <w:lang w:val="en-US" w:eastAsia="zh-CN"/>
        </w:rPr>
        <w:t>及相应负责人员，组织</w:t>
      </w:r>
      <w:r>
        <w:rPr>
          <w:rFonts w:hint="eastAsia" w:ascii="仿宋_GB2312" w:eastAsia="仿宋_GB2312"/>
          <w:sz w:val="32"/>
          <w:szCs w:val="32"/>
          <w:lang w:val="en-US" w:eastAsia="zh-CN"/>
        </w:rPr>
        <w:t>企业</w:t>
      </w:r>
      <w:r>
        <w:rPr>
          <w:rFonts w:hint="eastAsia" w:ascii="仿宋_GB2312"/>
          <w:sz w:val="32"/>
          <w:szCs w:val="32"/>
          <w:lang w:val="en-US" w:eastAsia="zh-CN"/>
        </w:rPr>
        <w:t>报名（报名人数不少于150人）、</w:t>
      </w:r>
      <w:r>
        <w:rPr>
          <w:rFonts w:hint="eastAsia" w:ascii="仿宋_GB2312" w:eastAsia="仿宋_GB2312"/>
          <w:sz w:val="32"/>
          <w:szCs w:val="32"/>
          <w:lang w:val="en-US" w:eastAsia="zh-CN"/>
        </w:rPr>
        <w:t>参会签到、活动现场管理</w:t>
      </w:r>
      <w:r>
        <w:rPr>
          <w:rFonts w:hint="eastAsia" w:ascii="仿宋_GB2312"/>
          <w:sz w:val="32"/>
          <w:szCs w:val="32"/>
          <w:lang w:val="en-US" w:eastAsia="zh-CN"/>
        </w:rPr>
        <w:t>、茶歇</w:t>
      </w:r>
      <w:r>
        <w:rPr>
          <w:rFonts w:hint="eastAsia" w:ascii="仿宋_GB2312" w:eastAsia="仿宋_GB2312"/>
          <w:sz w:val="32"/>
          <w:szCs w:val="32"/>
          <w:lang w:val="en-US" w:eastAsia="zh-CN"/>
        </w:rPr>
        <w:t>等各项服务工作。</w:t>
      </w:r>
    </w:p>
    <w:p>
      <w:pPr>
        <w:pageBreakBefore w:val="0"/>
        <w:widowControl w:val="0"/>
        <w:numPr>
          <w:ilvl w:val="0"/>
          <w:numId w:val="0"/>
        </w:numPr>
        <w:kinsoku/>
        <w:wordWrap/>
        <w:overflowPunct/>
        <w:topLinePunct w:val="0"/>
        <w:autoSpaceDE/>
        <w:autoSpaceDN/>
        <w:bidi w:val="0"/>
        <w:snapToGrid/>
        <w:spacing w:line="560" w:lineRule="atLeast"/>
        <w:ind w:firstLine="640" w:firstLineChars="200"/>
        <w:rPr>
          <w:rFonts w:hint="eastAsia" w:ascii="仿宋_GB2312" w:eastAsia="仿宋_GB2312"/>
          <w:sz w:val="32"/>
          <w:szCs w:val="32"/>
          <w:lang w:val="en-US" w:eastAsia="zh-CN"/>
        </w:rPr>
      </w:pPr>
      <w:r>
        <w:rPr>
          <w:rFonts w:hint="eastAsia" w:ascii="仿宋_GB2312"/>
          <w:sz w:val="32"/>
          <w:szCs w:val="32"/>
          <w:lang w:val="en-US" w:eastAsia="zh-CN"/>
        </w:rPr>
        <w:t>（三）</w:t>
      </w:r>
      <w:r>
        <w:rPr>
          <w:rFonts w:hint="eastAsia" w:ascii="仿宋_GB2312" w:eastAsia="仿宋_GB2312"/>
          <w:sz w:val="32"/>
          <w:szCs w:val="32"/>
          <w:lang w:val="en-US" w:eastAsia="zh-CN"/>
        </w:rPr>
        <w:t>做好活动场地的布置</w:t>
      </w:r>
      <w:r>
        <w:rPr>
          <w:rFonts w:hint="eastAsia" w:ascii="仿宋_GB2312"/>
          <w:sz w:val="32"/>
          <w:szCs w:val="32"/>
          <w:lang w:val="en-US" w:eastAsia="zh-CN"/>
        </w:rPr>
        <w:t>、搭建工作，提供海报、签到板、背景板，做好现场</w:t>
      </w:r>
      <w:r>
        <w:rPr>
          <w:rFonts w:hint="eastAsia" w:ascii="仿宋_GB2312" w:eastAsia="仿宋_GB2312"/>
          <w:sz w:val="32"/>
          <w:szCs w:val="32"/>
          <w:lang w:val="en-US" w:eastAsia="zh-CN"/>
        </w:rPr>
        <w:t>安全工作，做好突发事件的应急预案，确保宣讲活动的顺利进行。</w:t>
      </w:r>
    </w:p>
    <w:p>
      <w:pPr>
        <w:rPr>
          <w:rFonts w:hint="eastAsia" w:ascii="仿宋_GB2312" w:eastAsia="仿宋_GB2312"/>
          <w:sz w:val="32"/>
          <w:szCs w:val="32"/>
          <w:lang w:val="en-US" w:eastAsia="zh-CN"/>
        </w:rPr>
      </w:pPr>
      <w:r>
        <w:rPr>
          <w:rFonts w:hint="eastAsia" w:ascii="仿宋_GB2312"/>
          <w:sz w:val="32"/>
          <w:szCs w:val="32"/>
          <w:lang w:val="en-US" w:eastAsia="zh-CN"/>
        </w:rPr>
        <w:t>（四）</w:t>
      </w:r>
      <w:r>
        <w:rPr>
          <w:rFonts w:hint="eastAsia" w:ascii="仿宋_GB2312" w:eastAsia="仿宋_GB2312"/>
          <w:sz w:val="32"/>
          <w:szCs w:val="32"/>
          <w:lang w:val="en-US" w:eastAsia="zh-CN"/>
        </w:rPr>
        <w:t>活动结束后提供活动总结及新闻宣传文字材料</w:t>
      </w:r>
      <w:r>
        <w:rPr>
          <w:rFonts w:hint="eastAsia" w:ascii="仿宋_GB2312"/>
          <w:sz w:val="32"/>
          <w:szCs w:val="32"/>
          <w:lang w:val="en-US" w:eastAsia="zh-CN"/>
        </w:rPr>
        <w:t>，动员媒体宣传</w:t>
      </w:r>
      <w:r>
        <w:rPr>
          <w:rFonts w:hint="eastAsia" w:ascii="仿宋_GB2312" w:eastAsia="仿宋_GB2312"/>
          <w:sz w:val="32"/>
          <w:szCs w:val="32"/>
          <w:lang w:val="en-US" w:eastAsia="zh-CN"/>
        </w:rPr>
        <w:t>。</w:t>
      </w:r>
    </w:p>
    <w:p>
      <w:pPr>
        <w:pStyle w:val="3"/>
        <w:bidi w:val="0"/>
        <w:rPr>
          <w:rFonts w:hint="eastAsia"/>
          <w:b w:val="0"/>
          <w:bCs w:val="0"/>
          <w:lang w:val="en-US" w:eastAsia="zh-CN"/>
        </w:rPr>
      </w:pPr>
      <w:r>
        <w:rPr>
          <w:rFonts w:hint="eastAsia"/>
          <w:b w:val="0"/>
          <w:bCs w:val="0"/>
          <w:lang w:val="en-US" w:eastAsia="zh-CN"/>
        </w:rPr>
        <w:t>三、商务需求</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auto"/>
        <w:outlineLvl w:val="9"/>
        <w:rPr>
          <w:rFonts w:hint="default" w:ascii="楷体" w:hAnsi="楷体" w:eastAsia="楷体" w:cs="楷体"/>
          <w:sz w:val="32"/>
          <w:szCs w:val="32"/>
          <w:highlight w:val="none"/>
          <w:lang w:val="en-US"/>
        </w:rPr>
      </w:pPr>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服务期：</w:t>
      </w:r>
      <w:r>
        <w:rPr>
          <w:rFonts w:hint="eastAsia" w:ascii="楷体" w:hAnsi="楷体" w:eastAsia="楷体" w:cs="楷体"/>
          <w:sz w:val="32"/>
          <w:szCs w:val="32"/>
          <w:highlight w:val="none"/>
          <w:lang w:val="en-US" w:eastAsia="zh-CN"/>
        </w:rPr>
        <w:t>签订合同之日起至2020年9月12日</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服务地点：创新广场东部之芯</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auto"/>
        <w:outlineLvl w:val="9"/>
        <w:rPr>
          <w:rFonts w:hint="default" w:ascii="楷体" w:hAnsi="楷体" w:eastAsia="楷体" w:cs="楷体"/>
          <w:sz w:val="32"/>
          <w:szCs w:val="32"/>
          <w:lang w:val="en-US"/>
        </w:rPr>
      </w:pPr>
      <w:r>
        <w:rPr>
          <w:rFonts w:hint="eastAsia" w:ascii="楷体" w:hAnsi="楷体" w:eastAsia="楷体" w:cs="楷体"/>
          <w:sz w:val="32"/>
          <w:szCs w:val="32"/>
          <w:lang w:eastAsia="zh-CN"/>
        </w:rPr>
        <w:t>（三）预算限额：</w:t>
      </w:r>
      <w:r>
        <w:rPr>
          <w:rFonts w:hint="eastAsia" w:ascii="楷体" w:hAnsi="楷体" w:eastAsia="楷体" w:cs="楷体"/>
          <w:sz w:val="32"/>
          <w:szCs w:val="32"/>
          <w:lang w:val="en-US" w:eastAsia="zh-CN"/>
        </w:rPr>
        <w:t>49800元，其中专家费不得少于6000元（1人）</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（四）截止响应时间：2020年9月9日</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报价要求：</w:t>
      </w:r>
    </w:p>
    <w:p>
      <w:pPr>
        <w:rPr>
          <w:rFonts w:hint="eastAsia" w:ascii="仿宋_GB2312"/>
          <w:sz w:val="32"/>
          <w:szCs w:val="32"/>
          <w:lang w:val="en-US" w:eastAsia="zh-CN"/>
        </w:rPr>
      </w:pPr>
      <w:r>
        <w:rPr>
          <w:rFonts w:hint="eastAsia" w:ascii="仿宋_GB2312"/>
          <w:sz w:val="32"/>
          <w:szCs w:val="32"/>
          <w:lang w:val="en-US" w:eastAsia="zh-CN"/>
        </w:rPr>
        <w:t>1.本项目服务费采用包干制，应包括服务成本、专家费用、法定税费和企业的利润。由企业根据采购文件所提供的资料自行测算报价；一经中选，报价总价作为中选单位与采购人签定的合同金额，合同期限内不做调整；</w:t>
      </w:r>
    </w:p>
    <w:p>
      <w:pPr>
        <w:rPr>
          <w:rFonts w:hint="eastAsia" w:ascii="仿宋_GB2312"/>
          <w:sz w:val="32"/>
          <w:szCs w:val="32"/>
          <w:lang w:val="en-US" w:eastAsia="zh-CN"/>
        </w:rPr>
      </w:pPr>
      <w:r>
        <w:rPr>
          <w:rFonts w:hint="eastAsia" w:ascii="仿宋_GB2312"/>
          <w:sz w:val="32"/>
          <w:szCs w:val="32"/>
          <w:lang w:val="en-US" w:eastAsia="zh-CN"/>
        </w:rPr>
        <w:t>2.响应人应根据本企业的成本自行决定报价，但不得以低于其企业成本报价；</w:t>
      </w:r>
    </w:p>
    <w:p>
      <w:pPr>
        <w:rPr>
          <w:rFonts w:hint="eastAsia" w:ascii="仿宋_GB2312"/>
          <w:sz w:val="32"/>
          <w:szCs w:val="32"/>
          <w:lang w:val="en-US" w:eastAsia="zh-CN"/>
        </w:rPr>
      </w:pPr>
      <w:r>
        <w:rPr>
          <w:rFonts w:hint="eastAsia" w:ascii="仿宋_GB2312"/>
          <w:sz w:val="32"/>
          <w:szCs w:val="32"/>
          <w:lang w:val="en-US" w:eastAsia="zh-CN"/>
        </w:rPr>
        <w:t>3.响应人的报价不得超过财政预算限额；</w:t>
      </w:r>
    </w:p>
    <w:p>
      <w:pPr>
        <w:rPr>
          <w:rFonts w:hint="eastAsia" w:ascii="仿宋_GB2312"/>
          <w:sz w:val="32"/>
          <w:szCs w:val="32"/>
          <w:lang w:val="en-US" w:eastAsia="zh-CN"/>
        </w:rPr>
      </w:pPr>
      <w:r>
        <w:rPr>
          <w:rFonts w:hint="eastAsia" w:ascii="仿宋_GB2312"/>
          <w:sz w:val="32"/>
          <w:szCs w:val="32"/>
          <w:lang w:val="en-US" w:eastAsia="zh-CN"/>
        </w:rPr>
        <w:t>4.响应人的报价，应是本项目采购范围和采购文件及合同条款上所列的各项内容中所述的全部，不得以任何理由予以重复，并以响应人最终提出的综合单价或总价为依据；</w:t>
      </w:r>
    </w:p>
    <w:p>
      <w:pPr>
        <w:rPr>
          <w:rFonts w:hint="eastAsia" w:ascii="仿宋_GB2312"/>
          <w:sz w:val="32"/>
          <w:szCs w:val="32"/>
          <w:lang w:val="en-US" w:eastAsia="zh-CN"/>
        </w:rPr>
      </w:pPr>
      <w:r>
        <w:rPr>
          <w:rFonts w:hint="eastAsia" w:ascii="仿宋_GB2312"/>
          <w:sz w:val="32"/>
          <w:szCs w:val="32"/>
          <w:lang w:val="en-US" w:eastAsia="zh-CN"/>
        </w:rPr>
        <w:t>5.除非采购人通过修改采购文件予以更正，否则，响应人应毫无例外地按响应文件所列的清单中项目和数量填报综合单价和合价。响应人未填综合单价或合价的项目，在实施后，将不得以支付，并视作该项费用已包括在其它有价款的综合单价或合价内；</w:t>
      </w:r>
    </w:p>
    <w:p>
      <w:pPr>
        <w:rPr>
          <w:rFonts w:hint="eastAsia" w:ascii="仿宋_GB2312"/>
          <w:sz w:val="32"/>
          <w:szCs w:val="32"/>
          <w:lang w:val="en-US" w:eastAsia="zh-CN"/>
        </w:rPr>
      </w:pPr>
      <w:r>
        <w:rPr>
          <w:rFonts w:hint="eastAsia" w:ascii="仿宋_GB2312"/>
          <w:sz w:val="32"/>
          <w:szCs w:val="32"/>
          <w:lang w:val="en-US" w:eastAsia="zh-CN"/>
        </w:rPr>
        <w:t>6.响应人应先到项目地点踏勘以充分了解项目的位置、情况、道路及任何其它足以影响报价的情况，任何因忽视或误解项目情况而导致的索赔或服务期限延长申请将不获批准；</w:t>
      </w:r>
    </w:p>
    <w:p>
      <w:pPr>
        <w:rPr>
          <w:rFonts w:hint="eastAsia" w:ascii="仿宋_GB2312"/>
          <w:sz w:val="32"/>
          <w:szCs w:val="32"/>
          <w:lang w:val="en-US" w:eastAsia="zh-CN"/>
        </w:rPr>
      </w:pPr>
      <w:r>
        <w:rPr>
          <w:rFonts w:hint="eastAsia" w:ascii="仿宋_GB2312"/>
          <w:sz w:val="32"/>
          <w:szCs w:val="32"/>
          <w:lang w:val="en-US" w:eastAsia="zh-CN"/>
        </w:rPr>
        <w:t>7.响应人不得期望通过索赔等方式获取补偿，否则，除可能遭到拒绝外，还可能将被作为不良行为记录在案，并可能影响其以后参加的政府采购项目。各响应人在报价时，应充分考虑报价的风险。</w:t>
      </w:r>
    </w:p>
    <w:p>
      <w:pPr>
        <w:rPr>
          <w:rFonts w:hint="eastAsia" w:ascii="仿宋_GB2312"/>
          <w:sz w:val="32"/>
          <w:szCs w:val="32"/>
          <w:lang w:val="en-US" w:eastAsia="zh-CN"/>
        </w:rPr>
      </w:pPr>
      <w:r>
        <w:rPr>
          <w:rFonts w:hint="eastAsia" w:ascii="仿宋_GB2312"/>
          <w:sz w:val="32"/>
          <w:szCs w:val="32"/>
          <w:lang w:val="en-US" w:eastAsia="zh-CN"/>
        </w:rPr>
        <w:t>8.付款方式：以最终签订的合同为准。</w:t>
      </w:r>
    </w:p>
    <w:p>
      <w:pPr>
        <w:rPr>
          <w:rFonts w:hint="eastAsia" w:ascii="仿宋_GB2312"/>
          <w:sz w:val="32"/>
          <w:szCs w:val="32"/>
          <w:lang w:val="en-US" w:eastAsia="zh-CN"/>
        </w:rPr>
      </w:pPr>
      <w:r>
        <w:rPr>
          <w:rFonts w:hint="eastAsia" w:ascii="仿宋_GB2312"/>
          <w:sz w:val="32"/>
          <w:szCs w:val="32"/>
          <w:lang w:val="en-US" w:eastAsia="zh-CN"/>
        </w:rPr>
        <w:t>9.违约责任：在合同履行过程中，一方因违约或重大过失造成对方经济损失的应当赔偿。如乙方未在约定时间内按要求完成合同义务，甲方有权按照服务报价扣减相应的金额，同时要求乙方按本合同总金额的20%支付违约金，违约金不足以弥补甲方的损失的，乙方应赔偿甲方的损失；乙方因违反本合同保密义务的，应当向甲方支付7200元的违约金，违约金不足以弥补甲方的损失的，乙方应赔偿甲方的损失；违约赔偿责任包括但不限于诉讼费、律师费、保全费、直接经济损失和间接经济损失。</w:t>
      </w:r>
    </w:p>
    <w:p>
      <w:pPr>
        <w:rPr>
          <w:rFonts w:hint="eastAsia" w:ascii="仿宋_GB2312"/>
          <w:sz w:val="32"/>
          <w:szCs w:val="32"/>
          <w:lang w:val="en-US" w:eastAsia="zh-CN"/>
        </w:rPr>
      </w:pPr>
    </w:p>
    <w:p>
      <w:pPr>
        <w:pStyle w:val="3"/>
        <w:bidi w:val="0"/>
        <w:rPr>
          <w:rFonts w:hint="eastAsia"/>
          <w:b w:val="0"/>
          <w:bCs w:val="0"/>
        </w:rPr>
      </w:pPr>
      <w:r>
        <w:rPr>
          <w:rFonts w:hint="eastAsia"/>
          <w:b w:val="0"/>
          <w:bCs w:val="0"/>
          <w:lang w:val="en-US" w:eastAsia="zh-CN"/>
        </w:rPr>
        <w:t>四、评标方法</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outlineLvl w:val="9"/>
        <w:rPr>
          <w:rFonts w:ascii="宋体" w:hAnsi="宋体" w:eastAsia="宋体" w:cs="Times New Roman"/>
          <w:b/>
          <w:bCs/>
          <w:color w:val="000000"/>
          <w:sz w:val="21"/>
          <w:szCs w:val="21"/>
          <w:lang w:val="en-US" w:eastAsia="zh-CN"/>
        </w:rPr>
      </w:pPr>
      <w:r>
        <w:rPr>
          <w:rFonts w:hint="eastAsia" w:ascii="宋体" w:hAnsi="宋体" w:eastAsia="宋体" w:cs="Times New Roman"/>
          <w:b/>
          <w:bCs/>
          <w:color w:val="000000"/>
          <w:sz w:val="21"/>
          <w:szCs w:val="21"/>
          <w:lang w:val="en-US" w:eastAsia="zh-CN"/>
        </w:rPr>
        <w:t>评分细则表</w:t>
      </w:r>
    </w:p>
    <w:tbl>
      <w:tblPr>
        <w:tblStyle w:val="7"/>
        <w:tblW w:w="98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396"/>
        <w:gridCol w:w="646"/>
        <w:gridCol w:w="5723"/>
        <w:gridCol w:w="1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475" w:type="dxa"/>
            <w:gridSpan w:val="4"/>
            <w:vAlign w:val="center"/>
          </w:tcPr>
          <w:p>
            <w:pPr>
              <w:widowControl w:val="0"/>
              <w:autoSpaceDE w:val="0"/>
              <w:autoSpaceDN w:val="0"/>
              <w:adjustRightInd w:val="0"/>
              <w:spacing w:line="240" w:lineRule="auto"/>
              <w:ind w:firstLine="0" w:firstLineChars="0"/>
              <w:jc w:val="center"/>
              <w:rPr>
                <w:rFonts w:ascii="宋体" w:hAnsi="宋体" w:eastAsia="宋体" w:cs="Times New Roman"/>
                <w:b/>
                <w:color w:val="000000"/>
                <w:sz w:val="21"/>
                <w:szCs w:val="21"/>
                <w:lang w:val="zh-CN" w:eastAsia="zh-CN"/>
              </w:rPr>
            </w:pPr>
            <w:r>
              <w:rPr>
                <w:rFonts w:hint="eastAsia" w:ascii="宋体" w:hAnsi="宋体" w:eastAsia="宋体" w:cs="Times New Roman"/>
                <w:b/>
                <w:color w:val="000000"/>
                <w:sz w:val="21"/>
                <w:szCs w:val="21"/>
                <w:lang w:val="zh-CN" w:eastAsia="zh-CN"/>
              </w:rPr>
              <w:t>评分项及评分规则</w:t>
            </w:r>
          </w:p>
        </w:tc>
        <w:tc>
          <w:tcPr>
            <w:tcW w:w="1379" w:type="dxa"/>
            <w:vAlign w:val="center"/>
          </w:tcPr>
          <w:p>
            <w:pPr>
              <w:widowControl w:val="0"/>
              <w:autoSpaceDE w:val="0"/>
              <w:autoSpaceDN w:val="0"/>
              <w:adjustRightInd w:val="0"/>
              <w:spacing w:line="240" w:lineRule="auto"/>
              <w:ind w:firstLine="0" w:firstLineChars="0"/>
              <w:jc w:val="center"/>
              <w:rPr>
                <w:rFonts w:ascii="宋体" w:hAnsi="宋体" w:eastAsia="宋体" w:cs="Times New Roman"/>
                <w:b/>
                <w:color w:val="000000"/>
                <w:sz w:val="21"/>
                <w:szCs w:val="21"/>
                <w:lang w:val="zh-CN" w:eastAsia="zh-CN"/>
              </w:rPr>
            </w:pPr>
            <w:r>
              <w:rPr>
                <w:rFonts w:hint="eastAsia" w:ascii="宋体" w:hAnsi="宋体" w:eastAsia="宋体" w:cs="Times New Roman"/>
                <w:b/>
                <w:color w:val="000000"/>
                <w:sz w:val="21"/>
                <w:szCs w:val="21"/>
                <w:lang w:val="zh-CN" w:eastAsia="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475" w:type="dxa"/>
            <w:gridSpan w:val="4"/>
            <w:vAlign w:val="center"/>
          </w:tcPr>
          <w:p>
            <w:pPr>
              <w:widowControl w:val="0"/>
              <w:autoSpaceDE w:val="0"/>
              <w:autoSpaceDN w:val="0"/>
              <w:adjustRightInd w:val="0"/>
              <w:spacing w:line="240" w:lineRule="auto"/>
              <w:ind w:firstLine="0" w:firstLineChars="0"/>
              <w:jc w:val="center"/>
              <w:rPr>
                <w:rFonts w:ascii="宋体" w:hAnsi="宋体" w:eastAsia="宋体" w:cs="Times New Roman"/>
                <w:b/>
                <w:color w:val="000000"/>
                <w:sz w:val="21"/>
                <w:szCs w:val="21"/>
                <w:lang w:val="zh-CN" w:eastAsia="zh-CN"/>
              </w:rPr>
            </w:pPr>
            <w:r>
              <w:rPr>
                <w:rFonts w:hint="eastAsia" w:ascii="宋体" w:hAnsi="宋体" w:eastAsia="宋体" w:cs="Times New Roman"/>
                <w:b/>
                <w:color w:val="000000"/>
                <w:sz w:val="21"/>
                <w:szCs w:val="21"/>
                <w:lang w:val="zh-CN" w:eastAsia="zh-CN"/>
              </w:rPr>
              <w:t>一、价格部分</w:t>
            </w:r>
          </w:p>
        </w:tc>
        <w:tc>
          <w:tcPr>
            <w:tcW w:w="1379" w:type="dxa"/>
            <w:vAlign w:val="center"/>
          </w:tcPr>
          <w:p>
            <w:pPr>
              <w:widowControl w:val="0"/>
              <w:autoSpaceDE w:val="0"/>
              <w:autoSpaceDN w:val="0"/>
              <w:adjustRightInd w:val="0"/>
              <w:spacing w:line="240" w:lineRule="auto"/>
              <w:ind w:firstLine="0" w:firstLineChars="0"/>
              <w:jc w:val="center"/>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64" w:hRule="atLeast"/>
          <w:jc w:val="center"/>
        </w:trPr>
        <w:tc>
          <w:tcPr>
            <w:tcW w:w="8475" w:type="dxa"/>
            <w:gridSpan w:val="4"/>
            <w:vAlign w:val="center"/>
          </w:tcPr>
          <w:p>
            <w:pPr>
              <w:widowControl w:val="0"/>
              <w:autoSpaceDE w:val="0"/>
              <w:autoSpaceDN w:val="0"/>
              <w:adjustRightInd w:val="0"/>
              <w:spacing w:line="240" w:lineRule="auto"/>
              <w:ind w:firstLine="420" w:firstLineChars="200"/>
              <w:jc w:val="left"/>
              <w:rPr>
                <w:rFonts w:ascii="宋体" w:hAnsi="宋体" w:eastAsia="宋体" w:cs="Times New Roman"/>
                <w:sz w:val="21"/>
                <w:szCs w:val="21"/>
                <w:lang w:val="en-US" w:eastAsia="zh-CN"/>
              </w:rPr>
            </w:pPr>
            <w:r>
              <w:rPr>
                <w:rFonts w:ascii="宋体" w:hAnsi="宋体" w:eastAsia="宋体" w:cs="Times New Roman"/>
                <w:sz w:val="21"/>
                <w:szCs w:val="21"/>
                <w:lang w:val="en-US" w:eastAsia="zh-CN"/>
              </w:rPr>
              <w:t>综合评分法中的价格分统一采用低价优先法计算,即满足招标文件要求且投标价格最低的投标报价为评标基准价,其价格分为满分。其他投标人的价格分统一按照下列公式计算</w:t>
            </w:r>
            <w:r>
              <w:rPr>
                <w:rFonts w:hint="eastAsia" w:ascii="宋体" w:hAnsi="宋体" w:eastAsia="宋体" w:cs="Times New Roman"/>
                <w:sz w:val="21"/>
                <w:szCs w:val="21"/>
                <w:lang w:val="en-US" w:eastAsia="zh-CN"/>
              </w:rPr>
              <w:t>：</w:t>
            </w:r>
            <w:r>
              <w:rPr>
                <w:rFonts w:ascii="宋体" w:hAnsi="宋体" w:eastAsia="宋体" w:cs="Times New Roman"/>
                <w:sz w:val="21"/>
                <w:szCs w:val="21"/>
                <w:lang w:val="en-US" w:eastAsia="zh-CN"/>
              </w:rPr>
              <w:t>投标报价得分=(评标基准价/投标报价)×</w:t>
            </w:r>
            <w:r>
              <w:rPr>
                <w:rFonts w:hint="eastAsia" w:ascii="宋体" w:hAnsi="宋体" w:eastAsia="宋体" w:cs="Times New Roman"/>
                <w:sz w:val="21"/>
                <w:szCs w:val="21"/>
                <w:lang w:val="en-US" w:eastAsia="zh-CN"/>
              </w:rPr>
              <w:t>权重</w:t>
            </w:r>
          </w:p>
          <w:p>
            <w:pPr>
              <w:widowControl w:val="0"/>
              <w:spacing w:line="240" w:lineRule="auto"/>
              <w:ind w:firstLine="420" w:firstLineChars="200"/>
              <w:rPr>
                <w:rFonts w:ascii="宋体" w:hAnsi="宋体" w:eastAsia="宋体" w:cs="Times New Roman"/>
                <w:color w:val="000000"/>
                <w:sz w:val="21"/>
                <w:szCs w:val="21"/>
                <w:lang w:val="zh-CN" w:eastAsia="zh-CN"/>
              </w:rPr>
            </w:pPr>
            <w:r>
              <w:rPr>
                <w:rFonts w:hint="eastAsia" w:ascii="宋体" w:hAnsi="宋体" w:eastAsia="宋体" w:cs="Times New Roman"/>
                <w:sz w:val="21"/>
                <w:szCs w:val="21"/>
                <w:lang w:val="en-US" w:eastAsia="zh-CN"/>
              </w:rPr>
              <w:t>备注：若供应商为小型或微型企业或监狱企业，将对所提供的由其制造的货物、承担工程、提供服务或提供其他小型或微型企业或监狱企业的货物的价格予以6%的扣除，用扣除后的价格参加评审，监狱企业应当提供由省级以上监狱管理局、戒毒管理局（含新疆生产建设兵团）出具的属于监狱企业的证明文件，中小企业提供《中小企业声明函》。</w:t>
            </w:r>
          </w:p>
        </w:tc>
        <w:tc>
          <w:tcPr>
            <w:tcW w:w="1379" w:type="dxa"/>
            <w:vAlign w:val="center"/>
          </w:tcPr>
          <w:p>
            <w:pPr>
              <w:widowControl w:val="0"/>
              <w:autoSpaceDE w:val="0"/>
              <w:autoSpaceDN w:val="0"/>
              <w:adjustRightInd w:val="0"/>
              <w:spacing w:line="240" w:lineRule="auto"/>
              <w:ind w:firstLine="0" w:firstLineChars="0"/>
              <w:jc w:val="center"/>
              <w:rPr>
                <w:rFonts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评分方式</w:t>
            </w:r>
          </w:p>
          <w:p>
            <w:pPr>
              <w:widowControl w:val="0"/>
              <w:autoSpaceDE w:val="0"/>
              <w:autoSpaceDN w:val="0"/>
              <w:adjustRightInd w:val="0"/>
              <w:spacing w:line="240" w:lineRule="auto"/>
              <w:ind w:firstLine="0" w:firstLineChars="0"/>
              <w:jc w:val="center"/>
              <w:rPr>
                <w:rFonts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475" w:type="dxa"/>
            <w:gridSpan w:val="4"/>
            <w:vAlign w:val="center"/>
          </w:tcPr>
          <w:p>
            <w:pPr>
              <w:widowControl w:val="0"/>
              <w:autoSpaceDE w:val="0"/>
              <w:autoSpaceDN w:val="0"/>
              <w:adjustRightInd w:val="0"/>
              <w:spacing w:line="240" w:lineRule="auto"/>
              <w:ind w:firstLine="0" w:firstLineChars="0"/>
              <w:jc w:val="center"/>
              <w:rPr>
                <w:rFonts w:ascii="宋体" w:hAnsi="宋体" w:eastAsia="宋体" w:cs="Times New Roman"/>
                <w:b/>
                <w:color w:val="000000"/>
                <w:sz w:val="21"/>
                <w:szCs w:val="21"/>
                <w:lang w:val="en-US" w:eastAsia="zh-CN"/>
              </w:rPr>
            </w:pPr>
            <w:r>
              <w:rPr>
                <w:rFonts w:hint="eastAsia" w:ascii="宋体" w:hAnsi="宋体" w:eastAsia="宋体" w:cs="Times New Roman"/>
                <w:b/>
                <w:color w:val="000000"/>
                <w:sz w:val="21"/>
                <w:szCs w:val="21"/>
                <w:lang w:val="zh-CN" w:eastAsia="zh-CN"/>
              </w:rPr>
              <w:t>二、商务部分</w:t>
            </w:r>
          </w:p>
        </w:tc>
        <w:tc>
          <w:tcPr>
            <w:tcW w:w="1379" w:type="dxa"/>
            <w:vAlign w:val="center"/>
          </w:tcPr>
          <w:p>
            <w:pPr>
              <w:widowControl w:val="0"/>
              <w:autoSpaceDE w:val="0"/>
              <w:autoSpaceDN w:val="0"/>
              <w:adjustRightInd w:val="0"/>
              <w:spacing w:line="240" w:lineRule="auto"/>
              <w:ind w:firstLine="0" w:firstLineChars="0"/>
              <w:jc w:val="center"/>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10" w:type="dxa"/>
            <w:vAlign w:val="center"/>
          </w:tcPr>
          <w:p>
            <w:pPr>
              <w:widowControl w:val="0"/>
              <w:autoSpaceDE w:val="0"/>
              <w:autoSpaceDN w:val="0"/>
              <w:adjustRightInd w:val="0"/>
              <w:spacing w:line="240" w:lineRule="auto"/>
              <w:ind w:firstLine="0" w:firstLineChars="0"/>
              <w:jc w:val="center"/>
              <w:rPr>
                <w:rFonts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序号</w:t>
            </w:r>
          </w:p>
        </w:tc>
        <w:tc>
          <w:tcPr>
            <w:tcW w:w="1396" w:type="dxa"/>
            <w:vAlign w:val="center"/>
          </w:tcPr>
          <w:p>
            <w:pPr>
              <w:widowControl w:val="0"/>
              <w:autoSpaceDE w:val="0"/>
              <w:autoSpaceDN w:val="0"/>
              <w:adjustRightInd w:val="0"/>
              <w:spacing w:line="240" w:lineRule="auto"/>
              <w:ind w:firstLine="0" w:firstLineChars="0"/>
              <w:jc w:val="center"/>
              <w:rPr>
                <w:rFonts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内容</w:t>
            </w:r>
          </w:p>
        </w:tc>
        <w:tc>
          <w:tcPr>
            <w:tcW w:w="646" w:type="dxa"/>
            <w:vAlign w:val="center"/>
          </w:tcPr>
          <w:p>
            <w:pPr>
              <w:widowControl w:val="0"/>
              <w:autoSpaceDE w:val="0"/>
              <w:autoSpaceDN w:val="0"/>
              <w:adjustRightInd w:val="0"/>
              <w:spacing w:line="240" w:lineRule="auto"/>
              <w:ind w:firstLine="0" w:firstLineChars="0"/>
              <w:jc w:val="center"/>
              <w:rPr>
                <w:rFonts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权重</w:t>
            </w:r>
          </w:p>
        </w:tc>
        <w:tc>
          <w:tcPr>
            <w:tcW w:w="5723" w:type="dxa"/>
            <w:vAlign w:val="center"/>
          </w:tcPr>
          <w:p>
            <w:pPr>
              <w:widowControl w:val="0"/>
              <w:autoSpaceDE w:val="0"/>
              <w:autoSpaceDN w:val="0"/>
              <w:adjustRightInd w:val="0"/>
              <w:spacing w:line="240" w:lineRule="auto"/>
              <w:ind w:firstLine="0" w:firstLineChars="0"/>
              <w:jc w:val="center"/>
              <w:rPr>
                <w:rFonts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评分规则</w:t>
            </w:r>
          </w:p>
        </w:tc>
        <w:tc>
          <w:tcPr>
            <w:tcW w:w="1379" w:type="dxa"/>
            <w:vAlign w:val="center"/>
          </w:tcPr>
          <w:p>
            <w:pPr>
              <w:widowControl w:val="0"/>
              <w:autoSpaceDE w:val="0"/>
              <w:autoSpaceDN w:val="0"/>
              <w:adjustRightInd w:val="0"/>
              <w:spacing w:line="240" w:lineRule="auto"/>
              <w:ind w:firstLine="0" w:firstLineChars="0"/>
              <w:jc w:val="center"/>
              <w:rPr>
                <w:rFonts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10" w:type="dxa"/>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w:t>
            </w:r>
          </w:p>
        </w:tc>
        <w:tc>
          <w:tcPr>
            <w:tcW w:w="1396" w:type="dxa"/>
            <w:vAlign w:val="center"/>
          </w:tcPr>
          <w:p>
            <w:pPr>
              <w:widowControl w:val="0"/>
              <w:spacing w:line="240" w:lineRule="auto"/>
              <w:ind w:firstLine="0" w:firstLineChars="0"/>
              <w:jc w:val="center"/>
              <w:rPr>
                <w:rFonts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项目业绩</w:t>
            </w:r>
          </w:p>
        </w:tc>
        <w:tc>
          <w:tcPr>
            <w:tcW w:w="646" w:type="dxa"/>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15</w:t>
            </w:r>
          </w:p>
        </w:tc>
        <w:tc>
          <w:tcPr>
            <w:tcW w:w="5723" w:type="dxa"/>
            <w:vAlign w:val="center"/>
          </w:tcPr>
          <w:p>
            <w:pPr>
              <w:widowControl w:val="0"/>
              <w:spacing w:line="240" w:lineRule="auto"/>
              <w:ind w:firstLine="0" w:firstLineChars="0"/>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1、评审标准：</w:t>
            </w:r>
          </w:p>
          <w:p>
            <w:pPr>
              <w:widowControl w:val="0"/>
              <w:spacing w:line="36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投标人近3年（自201</w:t>
            </w:r>
            <w:r>
              <w:rPr>
                <w:rFonts w:ascii="宋体" w:hAnsi="宋体" w:eastAsia="宋体" w:cs="宋体"/>
                <w:color w:val="auto"/>
                <w:sz w:val="21"/>
                <w:szCs w:val="21"/>
                <w:lang w:val="en-US" w:eastAsia="zh-CN"/>
              </w:rPr>
              <w:t>6</w:t>
            </w:r>
            <w:r>
              <w:rPr>
                <w:rFonts w:hint="eastAsia" w:ascii="宋体" w:hAnsi="宋体" w:eastAsia="宋体" w:cs="宋体"/>
                <w:color w:val="auto"/>
                <w:sz w:val="21"/>
                <w:szCs w:val="21"/>
                <w:lang w:val="en-US" w:eastAsia="zh-CN"/>
              </w:rPr>
              <w:t>年1月1日至本项目开标之日）投标人具有政府行政机关、事业单位科技活动服务项目经验，过去3年以来承办相关科技活动项目，每提供1个案例得2.5分，本项最多得15分。</w:t>
            </w:r>
          </w:p>
          <w:p>
            <w:pPr>
              <w:widowControl w:val="0"/>
              <w:spacing w:line="240" w:lineRule="auto"/>
              <w:ind w:firstLine="0" w:firstLineChars="0"/>
              <w:rPr>
                <w:rFonts w:ascii="宋体" w:hAnsi="宋体" w:eastAsia="宋体" w:cs="Times New Roman"/>
                <w:b/>
                <w:kern w:val="0"/>
                <w:sz w:val="21"/>
                <w:szCs w:val="21"/>
                <w:lang w:val="zh-CN" w:eastAsia="zh-CN"/>
              </w:rPr>
            </w:pPr>
            <w:r>
              <w:rPr>
                <w:rFonts w:hint="eastAsia" w:ascii="宋体" w:hAnsi="宋体" w:eastAsia="宋体" w:cs="Times New Roman"/>
                <w:b/>
                <w:sz w:val="21"/>
                <w:szCs w:val="21"/>
                <w:lang w:val="en-US" w:eastAsia="zh-CN"/>
              </w:rPr>
              <w:t>2、证明文件</w:t>
            </w:r>
            <w:r>
              <w:rPr>
                <w:rFonts w:hint="eastAsia" w:ascii="宋体" w:hAnsi="宋体" w:eastAsia="宋体" w:cs="Times New Roman"/>
                <w:b/>
                <w:kern w:val="0"/>
                <w:sz w:val="21"/>
                <w:szCs w:val="21"/>
                <w:lang w:val="zh-CN" w:eastAsia="zh-CN"/>
              </w:rPr>
              <w:t xml:space="preserve">： </w:t>
            </w:r>
          </w:p>
          <w:p>
            <w:pPr>
              <w:widowControl w:val="0"/>
              <w:spacing w:line="240" w:lineRule="auto"/>
              <w:ind w:firstLine="0" w:firstLineChars="0"/>
              <w:jc w:val="left"/>
              <w:rPr>
                <w:rFonts w:ascii="Times New Roman" w:hAnsi="Times New Roman" w:eastAsia="宋体" w:cs="Times New Roman"/>
                <w:sz w:val="21"/>
                <w:lang w:val="en-US" w:eastAsia="zh-CN"/>
              </w:rPr>
            </w:pPr>
            <w:r>
              <w:rPr>
                <w:rFonts w:hint="eastAsia" w:ascii="宋体" w:hAnsi="宋体" w:eastAsia="宋体" w:cs="Times New Roman"/>
                <w:sz w:val="21"/>
                <w:szCs w:val="21"/>
                <w:lang w:val="zh-CN" w:eastAsia="zh-CN"/>
              </w:rPr>
              <w:t>以上累计计分，要求提供合同关键信息扫描件（原件备查）作为业绩证明资料，无证明资料或专家无法判断是否得分的业绩，一律作不得分处理得分业绩。</w:t>
            </w:r>
          </w:p>
        </w:tc>
        <w:tc>
          <w:tcPr>
            <w:tcW w:w="1379" w:type="dxa"/>
            <w:vAlign w:val="center"/>
          </w:tcPr>
          <w:p>
            <w:pPr>
              <w:widowControl w:val="0"/>
              <w:spacing w:line="240" w:lineRule="auto"/>
              <w:ind w:firstLine="0" w:firstLineChars="0"/>
              <w:jc w:val="center"/>
              <w:rPr>
                <w:rFonts w:hint="eastAsia" w:eastAsia="宋体" w:cs="Times New Roman"/>
                <w:kern w:val="2"/>
                <w:sz w:val="21"/>
                <w:lang w:val="en-US" w:eastAsia="zh-CN"/>
              </w:rPr>
            </w:pPr>
            <w:r>
              <w:rPr>
                <w:rFonts w:hint="eastAsia" w:eastAsia="宋体" w:cs="Times New Roman"/>
                <w:kern w:val="2"/>
                <w:sz w:val="21"/>
                <w:lang w:val="en-US" w:eastAsia="zh-CN"/>
              </w:rPr>
              <w:t>采购小组</w:t>
            </w:r>
          </w:p>
          <w:p>
            <w:pPr>
              <w:widowControl w:val="0"/>
              <w:spacing w:line="240" w:lineRule="auto"/>
              <w:ind w:firstLine="0" w:firstLineChars="0"/>
              <w:jc w:val="center"/>
              <w:rPr>
                <w:rFonts w:ascii="Times New Roman" w:hAnsi="Times New Roman" w:eastAsia="宋体" w:cs="Times New Roman"/>
                <w:sz w:val="21"/>
                <w:lang w:val="en-US" w:eastAsia="zh-CN"/>
              </w:rPr>
            </w:pPr>
            <w:r>
              <w:rPr>
                <w:rFonts w:hint="eastAsia" w:ascii="Calibri" w:hAnsi="Calibri" w:eastAsia="宋体" w:cs="Times New Roman"/>
                <w:kern w:val="2"/>
                <w:sz w:val="21"/>
                <w:lang w:val="en-US" w:eastAsia="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10" w:type="dxa"/>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sz w:val="21"/>
                <w:lang w:val="en-US" w:eastAsia="zh-CN"/>
              </w:rPr>
            </w:pPr>
            <w:r>
              <w:rPr>
                <w:rFonts w:hint="eastAsia" w:ascii="宋体" w:hAnsi="宋体" w:eastAsia="宋体" w:cs="Times New Roman"/>
                <w:sz w:val="21"/>
                <w:szCs w:val="21"/>
                <w:lang w:val="en-US" w:eastAsia="zh-CN"/>
              </w:rPr>
              <w:t>2</w:t>
            </w:r>
          </w:p>
        </w:tc>
        <w:tc>
          <w:tcPr>
            <w:tcW w:w="1396" w:type="dxa"/>
            <w:vAlign w:val="center"/>
          </w:tcPr>
          <w:p>
            <w:pPr>
              <w:widowControl w:val="0"/>
              <w:spacing w:line="240" w:lineRule="auto"/>
              <w:ind w:firstLine="0" w:firstLineChars="0"/>
              <w:jc w:val="center"/>
              <w:rPr>
                <w:rFonts w:hint="eastAsia" w:ascii="Times New Roman" w:hAnsi="Times New Roman" w:eastAsia="宋体" w:cs="Times New Roman"/>
                <w:sz w:val="21"/>
                <w:lang w:val="en-US" w:eastAsia="zh-CN"/>
              </w:rPr>
            </w:pPr>
            <w:r>
              <w:rPr>
                <w:rFonts w:hint="eastAsia" w:ascii="宋体" w:hAnsi="宋体" w:eastAsia="宋体" w:cs="Times New Roman"/>
                <w:kern w:val="0"/>
                <w:sz w:val="21"/>
                <w:szCs w:val="21"/>
                <w:lang w:val="en-US" w:eastAsia="zh-CN"/>
              </w:rPr>
              <w:t>履约评价情况</w:t>
            </w:r>
          </w:p>
        </w:tc>
        <w:tc>
          <w:tcPr>
            <w:tcW w:w="646" w:type="dxa"/>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10</w:t>
            </w:r>
          </w:p>
        </w:tc>
        <w:tc>
          <w:tcPr>
            <w:tcW w:w="5723" w:type="dxa"/>
            <w:vAlign w:val="top"/>
          </w:tcPr>
          <w:p>
            <w:pPr>
              <w:widowControl w:val="0"/>
              <w:spacing w:line="240" w:lineRule="auto"/>
              <w:ind w:firstLine="0" w:firstLineChars="0"/>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1.评审标准：</w:t>
            </w:r>
          </w:p>
          <w:p>
            <w:pPr>
              <w:widowControl w:val="0"/>
              <w:spacing w:line="240" w:lineRule="auto"/>
              <w:ind w:firstLine="0" w:firstLineChars="0"/>
              <w:rPr>
                <w:rFonts w:hint="eastAsia" w:ascii="宋体" w:hAnsi="宋体" w:eastAsia="宋体" w:cs="Times New Roman"/>
                <w:b/>
                <w:bCs/>
                <w:sz w:val="21"/>
                <w:szCs w:val="21"/>
                <w:lang w:val="en-US" w:eastAsia="zh-CN"/>
              </w:rPr>
            </w:pPr>
            <w:r>
              <w:rPr>
                <w:rFonts w:ascii="宋体" w:hAnsi="宋体" w:eastAsia="宋体" w:cs="宋体"/>
                <w:kern w:val="0"/>
                <w:sz w:val="21"/>
                <w:szCs w:val="21"/>
                <w:lang w:val="en-US" w:eastAsia="zh-CN"/>
              </w:rPr>
              <w:t>投标人在本项目投标截止时间前同类项目，经服务单位考核评价为优或满意的，每提供一</w:t>
            </w:r>
            <w:r>
              <w:rPr>
                <w:rFonts w:hint="eastAsia" w:ascii="宋体" w:hAnsi="宋体" w:eastAsia="宋体" w:cs="宋体"/>
                <w:kern w:val="0"/>
                <w:sz w:val="21"/>
                <w:szCs w:val="21"/>
                <w:lang w:val="en-US" w:eastAsia="zh-CN"/>
              </w:rPr>
              <w:t>个</w:t>
            </w:r>
            <w:r>
              <w:rPr>
                <w:rFonts w:ascii="宋体" w:hAnsi="宋体" w:eastAsia="宋体" w:cs="宋体"/>
                <w:kern w:val="0"/>
                <w:sz w:val="21"/>
                <w:szCs w:val="21"/>
                <w:lang w:val="en-US" w:eastAsia="zh-CN"/>
              </w:rPr>
              <w:t>得5</w:t>
            </w:r>
            <w:r>
              <w:rPr>
                <w:rFonts w:hint="eastAsia" w:ascii="宋体" w:hAnsi="宋体" w:eastAsia="宋体" w:cs="宋体"/>
                <w:kern w:val="0"/>
                <w:sz w:val="21"/>
                <w:szCs w:val="21"/>
                <w:lang w:val="en-US" w:eastAsia="zh-CN"/>
              </w:rPr>
              <w:t>分</w:t>
            </w:r>
            <w:r>
              <w:rPr>
                <w:rFonts w:ascii="宋体" w:hAnsi="宋体" w:eastAsia="宋体" w:cs="宋体"/>
                <w:kern w:val="0"/>
                <w:sz w:val="21"/>
                <w:szCs w:val="21"/>
                <w:lang w:val="en-US" w:eastAsia="zh-CN"/>
              </w:rPr>
              <w:t>，最多得10</w:t>
            </w:r>
            <w:r>
              <w:rPr>
                <w:rFonts w:hint="eastAsia" w:ascii="宋体" w:hAnsi="宋体" w:eastAsia="宋体" w:cs="宋体"/>
                <w:kern w:val="0"/>
                <w:sz w:val="21"/>
                <w:szCs w:val="21"/>
                <w:lang w:val="en-US" w:eastAsia="zh-CN"/>
              </w:rPr>
              <w:t>分</w:t>
            </w:r>
            <w:r>
              <w:rPr>
                <w:rFonts w:ascii="宋体" w:hAnsi="宋体" w:eastAsia="宋体" w:cs="宋体"/>
                <w:kern w:val="0"/>
                <w:sz w:val="21"/>
                <w:szCs w:val="21"/>
                <w:lang w:val="en-US" w:eastAsia="zh-CN"/>
              </w:rPr>
              <w:t>。</w:t>
            </w:r>
          </w:p>
          <w:p>
            <w:pPr>
              <w:widowControl w:val="0"/>
              <w:spacing w:line="240" w:lineRule="auto"/>
              <w:ind w:firstLine="0" w:firstLineChars="0"/>
              <w:rPr>
                <w:rFonts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2.证明文件：</w:t>
            </w:r>
          </w:p>
          <w:p>
            <w:pPr>
              <w:widowControl w:val="0"/>
              <w:spacing w:line="240" w:lineRule="auto"/>
              <w:ind w:firstLine="0" w:firstLineChars="0"/>
              <w:rPr>
                <w:rFonts w:hint="eastAsia" w:ascii="宋体" w:hAnsi="宋体" w:eastAsia="宋体" w:cs="Times New Roman"/>
                <w:sz w:val="21"/>
                <w:szCs w:val="21"/>
                <w:lang w:val="zh-CN" w:eastAsia="zh-CN"/>
              </w:rPr>
            </w:pPr>
            <w:r>
              <w:rPr>
                <w:rFonts w:ascii="宋体" w:hAnsi="宋体" w:eastAsia="宋体" w:cs="宋体"/>
                <w:kern w:val="0"/>
                <w:sz w:val="21"/>
                <w:szCs w:val="21"/>
                <w:lang w:val="en-US" w:eastAsia="zh-CN"/>
              </w:rPr>
              <w:t>须提供原中标（成交）通知书、原采购合同文本和考核评价为优或满意的相关证明文件扫</w:t>
            </w:r>
            <w:bookmarkStart w:id="0" w:name="_GoBack"/>
            <w:bookmarkEnd w:id="0"/>
            <w:r>
              <w:rPr>
                <w:rFonts w:ascii="宋体" w:hAnsi="宋体" w:eastAsia="宋体" w:cs="宋体"/>
                <w:kern w:val="0"/>
                <w:sz w:val="21"/>
                <w:szCs w:val="21"/>
                <w:lang w:val="en-US" w:eastAsia="zh-CN"/>
              </w:rPr>
              <w:t>描件，如未按要求提供该项以上证明完整资料的不计分。</w:t>
            </w:r>
          </w:p>
        </w:tc>
        <w:tc>
          <w:tcPr>
            <w:tcW w:w="1379" w:type="dxa"/>
            <w:vAlign w:val="center"/>
          </w:tcPr>
          <w:p>
            <w:pPr>
              <w:widowControl w:val="0"/>
              <w:kinsoku w:val="0"/>
              <w:overflowPunct w:val="0"/>
              <w:autoSpaceDE w:val="0"/>
              <w:autoSpaceDN w:val="0"/>
              <w:adjustRightInd w:val="0"/>
              <w:ind w:firstLine="0" w:firstLineChars="0"/>
              <w:jc w:val="center"/>
              <w:rPr>
                <w:rFonts w:hint="eastAsia" w:eastAsia="宋体" w:cs="Times New Roman"/>
                <w:kern w:val="2"/>
                <w:sz w:val="21"/>
                <w:lang w:val="en-US" w:eastAsia="zh-CN"/>
              </w:rPr>
            </w:pPr>
            <w:r>
              <w:rPr>
                <w:rFonts w:hint="eastAsia" w:eastAsia="宋体" w:cs="Times New Roman"/>
                <w:kern w:val="2"/>
                <w:sz w:val="21"/>
                <w:lang w:val="en-US" w:eastAsia="zh-CN"/>
              </w:rPr>
              <w:t>采购小组</w:t>
            </w:r>
          </w:p>
          <w:p>
            <w:pPr>
              <w:widowControl w:val="0"/>
              <w:kinsoku w:val="0"/>
              <w:overflowPunct w:val="0"/>
              <w:autoSpaceDE w:val="0"/>
              <w:autoSpaceDN w:val="0"/>
              <w:adjustRightInd w:val="0"/>
              <w:ind w:firstLine="0" w:firstLineChars="0"/>
              <w:jc w:val="center"/>
              <w:rPr>
                <w:rFonts w:hint="eastAsia" w:ascii="Calibri" w:hAnsi="Calibri" w:eastAsia="宋体" w:cs="Times New Roman"/>
                <w:kern w:val="2"/>
                <w:sz w:val="21"/>
                <w:lang w:val="en-US" w:eastAsia="zh-CN"/>
              </w:rPr>
            </w:pPr>
            <w:r>
              <w:rPr>
                <w:rFonts w:hint="eastAsia" w:ascii="Calibri" w:hAnsi="Calibri" w:eastAsia="宋体" w:cs="Times New Roman"/>
                <w:kern w:val="2"/>
                <w:sz w:val="21"/>
                <w:lang w:val="en-US" w:eastAsia="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0" w:hRule="atLeast"/>
          <w:jc w:val="center"/>
        </w:trPr>
        <w:tc>
          <w:tcPr>
            <w:tcW w:w="710" w:type="dxa"/>
            <w:vAlign w:val="center"/>
          </w:tcPr>
          <w:p>
            <w:pPr>
              <w:widowControl w:val="0"/>
              <w:autoSpaceDE w:val="0"/>
              <w:autoSpaceDN w:val="0"/>
              <w:adjustRightInd w:val="0"/>
              <w:spacing w:line="240" w:lineRule="auto"/>
              <w:ind w:firstLine="0" w:firstLineChars="0"/>
              <w:jc w:val="center"/>
              <w:rPr>
                <w:rFonts w:hint="eastAsia" w:ascii="Times New Roman" w:hAnsi="Times New Roman" w:eastAsia="宋体" w:cs="Times New Roman"/>
                <w:sz w:val="21"/>
                <w:lang w:val="en-US" w:eastAsia="zh-CN"/>
              </w:rPr>
            </w:pPr>
            <w:r>
              <w:rPr>
                <w:rFonts w:hint="eastAsia" w:ascii="宋体" w:hAnsi="宋体" w:eastAsia="宋体" w:cs="Times New Roman"/>
                <w:sz w:val="21"/>
                <w:szCs w:val="21"/>
                <w:lang w:val="en-US" w:eastAsia="zh-CN"/>
              </w:rPr>
              <w:t>3</w:t>
            </w:r>
          </w:p>
        </w:tc>
        <w:tc>
          <w:tcPr>
            <w:tcW w:w="1396" w:type="dxa"/>
            <w:vAlign w:val="center"/>
          </w:tcPr>
          <w:p>
            <w:pPr>
              <w:widowControl w:val="0"/>
              <w:spacing w:line="240" w:lineRule="auto"/>
              <w:ind w:firstLine="0" w:firstLineChars="0"/>
              <w:jc w:val="center"/>
              <w:rPr>
                <w:rFonts w:hint="eastAsia" w:ascii="Times New Roman" w:hAnsi="Times New Roman" w:eastAsia="宋体" w:cs="Times New Roman"/>
                <w:sz w:val="21"/>
                <w:lang w:val="en-US" w:eastAsia="zh-CN"/>
              </w:rPr>
            </w:pPr>
            <w:r>
              <w:rPr>
                <w:rFonts w:hint="eastAsia" w:ascii="宋体" w:hAnsi="宋体" w:eastAsia="宋体" w:cs="Times New Roman"/>
                <w:kern w:val="0"/>
                <w:sz w:val="21"/>
                <w:szCs w:val="21"/>
                <w:lang w:val="en-US" w:eastAsia="zh-CN"/>
              </w:rPr>
              <w:t>诚信档案</w:t>
            </w:r>
          </w:p>
        </w:tc>
        <w:tc>
          <w:tcPr>
            <w:tcW w:w="646" w:type="dxa"/>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5</w:t>
            </w:r>
          </w:p>
        </w:tc>
        <w:tc>
          <w:tcPr>
            <w:tcW w:w="5723" w:type="dxa"/>
            <w:vAlign w:val="top"/>
          </w:tcPr>
          <w:p>
            <w:pPr>
              <w:widowControl w:val="0"/>
              <w:spacing w:line="240" w:lineRule="auto"/>
              <w:ind w:firstLine="0" w:firstLineChars="0"/>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1.评审标准：</w:t>
            </w:r>
          </w:p>
          <w:p>
            <w:pPr>
              <w:widowControl w:val="0"/>
              <w:spacing w:line="240" w:lineRule="auto"/>
              <w:ind w:firstLine="0" w:firstLineChars="0"/>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根据深圳市财政委员会政府采购诚信管理相关规定，对投标人被记录诚信档案的情况进行评审（对于受过行政处罚供应商，行政处罚期满后，可参与政府采购活动，其诚信分不再扣减。）</w:t>
            </w:r>
          </w:p>
          <w:p>
            <w:pPr>
              <w:widowControl w:val="0"/>
              <w:spacing w:line="240" w:lineRule="auto"/>
              <w:ind w:firstLine="0" w:firstLineChars="0"/>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2.证明文件：</w:t>
            </w:r>
          </w:p>
          <w:p>
            <w:pPr>
              <w:widowControl w:val="0"/>
              <w:spacing w:line="240" w:lineRule="auto"/>
              <w:ind w:firstLine="0" w:firstLineChars="0"/>
              <w:rPr>
                <w:rFonts w:hint="eastAsia" w:ascii="宋体" w:hAnsi="宋体" w:eastAsia="宋体" w:cs="Times New Roman"/>
                <w:sz w:val="21"/>
                <w:szCs w:val="21"/>
                <w:lang w:val="zh-CN" w:eastAsia="zh-CN"/>
              </w:rPr>
            </w:pPr>
            <w:r>
              <w:rPr>
                <w:rFonts w:hint="eastAsia" w:ascii="宋体" w:hAnsi="宋体" w:eastAsia="宋体" w:cs="Times New Roman"/>
                <w:b w:val="0"/>
                <w:bCs w:val="0"/>
                <w:sz w:val="21"/>
                <w:szCs w:val="21"/>
                <w:lang w:val="en-US" w:eastAsia="zh-CN"/>
              </w:rPr>
              <w:t>须提供《诚信承诺函》，如若投标人承诺与实际情况不相符，将按照虚假投标的情况报相关主管部门处理，承诺函应按招标文件格式填写原件。</w:t>
            </w:r>
          </w:p>
        </w:tc>
        <w:tc>
          <w:tcPr>
            <w:tcW w:w="1379" w:type="dxa"/>
            <w:vAlign w:val="center"/>
          </w:tcPr>
          <w:p>
            <w:pPr>
              <w:widowControl w:val="0"/>
              <w:kinsoku w:val="0"/>
              <w:overflowPunct w:val="0"/>
              <w:autoSpaceDE w:val="0"/>
              <w:autoSpaceDN w:val="0"/>
              <w:adjustRightInd w:val="0"/>
              <w:ind w:firstLine="0" w:firstLineChars="0"/>
              <w:jc w:val="center"/>
              <w:rPr>
                <w:rFonts w:hint="eastAsia" w:eastAsia="宋体" w:cs="Times New Roman"/>
                <w:kern w:val="2"/>
                <w:sz w:val="21"/>
                <w:lang w:val="en-US" w:eastAsia="zh-CN"/>
              </w:rPr>
            </w:pPr>
            <w:r>
              <w:rPr>
                <w:rFonts w:hint="eastAsia" w:eastAsia="宋体" w:cs="Times New Roman"/>
                <w:kern w:val="2"/>
                <w:sz w:val="21"/>
                <w:lang w:val="en-US" w:eastAsia="zh-CN"/>
              </w:rPr>
              <w:t>采购小组</w:t>
            </w:r>
          </w:p>
          <w:p>
            <w:pPr>
              <w:widowControl w:val="0"/>
              <w:kinsoku w:val="0"/>
              <w:overflowPunct w:val="0"/>
              <w:autoSpaceDE w:val="0"/>
              <w:autoSpaceDN w:val="0"/>
              <w:adjustRightInd w:val="0"/>
              <w:ind w:firstLine="0" w:firstLineChars="0"/>
              <w:jc w:val="center"/>
              <w:rPr>
                <w:rFonts w:hint="eastAsia" w:ascii="宋体" w:hAnsi="宋体" w:eastAsia="宋体" w:cs="宋体"/>
                <w:kern w:val="0"/>
                <w:sz w:val="24"/>
                <w:lang w:val="en-US" w:eastAsia="zh-CN"/>
              </w:rPr>
            </w:pPr>
            <w:r>
              <w:rPr>
                <w:rFonts w:hint="eastAsia" w:ascii="Calibri" w:hAnsi="Calibri" w:eastAsia="宋体" w:cs="Times New Roman"/>
                <w:kern w:val="2"/>
                <w:sz w:val="21"/>
                <w:lang w:val="en-US" w:eastAsia="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75" w:type="dxa"/>
            <w:gridSpan w:val="4"/>
            <w:vAlign w:val="center"/>
          </w:tcPr>
          <w:p>
            <w:pPr>
              <w:widowControl w:val="0"/>
              <w:autoSpaceDE w:val="0"/>
              <w:autoSpaceDN w:val="0"/>
              <w:adjustRightInd w:val="0"/>
              <w:spacing w:line="240" w:lineRule="auto"/>
              <w:ind w:firstLine="0" w:firstLineChars="0"/>
              <w:jc w:val="center"/>
              <w:rPr>
                <w:rFonts w:ascii="宋体" w:hAnsi="宋体" w:eastAsia="宋体" w:cs="Times New Roman"/>
                <w:b/>
                <w:sz w:val="21"/>
                <w:szCs w:val="21"/>
                <w:lang w:val="zh-CN" w:eastAsia="zh-CN"/>
              </w:rPr>
            </w:pPr>
            <w:r>
              <w:rPr>
                <w:rFonts w:hint="eastAsia" w:ascii="宋体" w:hAnsi="宋体" w:eastAsia="宋体" w:cs="Times New Roman"/>
                <w:b/>
                <w:sz w:val="21"/>
                <w:szCs w:val="21"/>
                <w:lang w:val="zh-CN" w:eastAsia="zh-CN"/>
              </w:rPr>
              <w:t>三、技术部分</w:t>
            </w:r>
          </w:p>
        </w:tc>
        <w:tc>
          <w:tcPr>
            <w:tcW w:w="1379" w:type="dxa"/>
            <w:vAlign w:val="center"/>
          </w:tcPr>
          <w:p>
            <w:pPr>
              <w:widowControl w:val="0"/>
              <w:autoSpaceDE w:val="0"/>
              <w:autoSpaceDN w:val="0"/>
              <w:adjustRightInd w:val="0"/>
              <w:spacing w:line="240" w:lineRule="auto"/>
              <w:ind w:firstLine="210" w:firstLineChars="10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710" w:type="dxa"/>
            <w:vAlign w:val="center"/>
          </w:tcPr>
          <w:p>
            <w:pPr>
              <w:widowControl w:val="0"/>
              <w:autoSpaceDE w:val="0"/>
              <w:autoSpaceDN w:val="0"/>
              <w:adjustRightInd w:val="0"/>
              <w:spacing w:line="240" w:lineRule="auto"/>
              <w:ind w:firstLine="0" w:firstLineChars="0"/>
              <w:jc w:val="center"/>
              <w:rPr>
                <w:rFonts w:ascii="宋体" w:hAnsi="宋体" w:eastAsia="宋体" w:cs="Times New Roman"/>
                <w:sz w:val="21"/>
                <w:szCs w:val="21"/>
                <w:lang w:val="en-US" w:eastAsia="zh-CN"/>
              </w:rPr>
            </w:pPr>
            <w:r>
              <w:rPr>
                <w:rFonts w:hint="eastAsia" w:ascii="宋体" w:hAnsi="宋体" w:eastAsia="宋体" w:cs="Times New Roman"/>
                <w:sz w:val="21"/>
                <w:szCs w:val="21"/>
                <w:lang w:val="zh-CN" w:eastAsia="zh-CN"/>
              </w:rPr>
              <w:t>序号</w:t>
            </w:r>
          </w:p>
        </w:tc>
        <w:tc>
          <w:tcPr>
            <w:tcW w:w="1396" w:type="dxa"/>
            <w:vAlign w:val="center"/>
          </w:tcPr>
          <w:p>
            <w:pPr>
              <w:widowControl w:val="0"/>
              <w:autoSpaceDE w:val="0"/>
              <w:autoSpaceDN w:val="0"/>
              <w:adjustRightInd w:val="0"/>
              <w:spacing w:line="240" w:lineRule="auto"/>
              <w:ind w:firstLine="0" w:firstLineChars="0"/>
              <w:jc w:val="center"/>
              <w:rPr>
                <w:rFonts w:ascii="宋体" w:hAnsi="宋体" w:eastAsia="宋体" w:cs="Times New Roman"/>
                <w:sz w:val="21"/>
                <w:szCs w:val="21"/>
                <w:lang w:val="en-US" w:eastAsia="zh-CN"/>
              </w:rPr>
            </w:pPr>
            <w:r>
              <w:rPr>
                <w:rFonts w:hint="eastAsia" w:ascii="宋体" w:hAnsi="宋体" w:eastAsia="宋体" w:cs="Times New Roman"/>
                <w:sz w:val="21"/>
                <w:szCs w:val="21"/>
                <w:lang w:val="zh-CN" w:eastAsia="zh-CN"/>
              </w:rPr>
              <w:t>内容</w:t>
            </w:r>
          </w:p>
        </w:tc>
        <w:tc>
          <w:tcPr>
            <w:tcW w:w="646" w:type="dxa"/>
            <w:vAlign w:val="center"/>
          </w:tcPr>
          <w:p>
            <w:pPr>
              <w:widowControl w:val="0"/>
              <w:autoSpaceDE w:val="0"/>
              <w:autoSpaceDN w:val="0"/>
              <w:adjustRightInd w:val="0"/>
              <w:spacing w:line="240" w:lineRule="auto"/>
              <w:ind w:firstLine="0" w:firstLineChars="0"/>
              <w:jc w:val="center"/>
              <w:rPr>
                <w:rFonts w:ascii="宋体" w:hAnsi="宋体" w:eastAsia="宋体" w:cs="Times New Roman"/>
                <w:sz w:val="21"/>
                <w:szCs w:val="21"/>
                <w:lang w:val="en-US" w:eastAsia="zh-CN"/>
              </w:rPr>
            </w:pPr>
            <w:r>
              <w:rPr>
                <w:rFonts w:hint="eastAsia" w:ascii="宋体" w:hAnsi="宋体" w:eastAsia="宋体" w:cs="Times New Roman"/>
                <w:sz w:val="21"/>
                <w:szCs w:val="21"/>
                <w:lang w:val="zh-CN" w:eastAsia="zh-CN"/>
              </w:rPr>
              <w:t>权重</w:t>
            </w:r>
          </w:p>
        </w:tc>
        <w:tc>
          <w:tcPr>
            <w:tcW w:w="5723" w:type="dxa"/>
            <w:vAlign w:val="center"/>
          </w:tcPr>
          <w:p>
            <w:pPr>
              <w:widowControl w:val="0"/>
              <w:autoSpaceDE w:val="0"/>
              <w:autoSpaceDN w:val="0"/>
              <w:adjustRightInd w:val="0"/>
              <w:spacing w:line="240" w:lineRule="auto"/>
              <w:ind w:firstLine="0" w:firstLineChars="0"/>
              <w:jc w:val="center"/>
              <w:rPr>
                <w:rFonts w:ascii="宋体" w:hAnsi="宋体" w:eastAsia="宋体" w:cs="Times New Roman"/>
                <w:sz w:val="21"/>
                <w:szCs w:val="21"/>
                <w:lang w:val="zh-CN" w:eastAsia="zh-CN"/>
              </w:rPr>
            </w:pPr>
            <w:r>
              <w:rPr>
                <w:rFonts w:hint="eastAsia" w:ascii="宋体" w:hAnsi="宋体" w:eastAsia="宋体" w:cs="Times New Roman"/>
                <w:sz w:val="21"/>
                <w:szCs w:val="21"/>
                <w:lang w:val="zh-CN" w:eastAsia="zh-CN"/>
              </w:rPr>
              <w:t>评分规则</w:t>
            </w:r>
          </w:p>
        </w:tc>
        <w:tc>
          <w:tcPr>
            <w:tcW w:w="1379" w:type="dxa"/>
            <w:vAlign w:val="center"/>
          </w:tcPr>
          <w:p>
            <w:pPr>
              <w:widowControl w:val="0"/>
              <w:autoSpaceDE w:val="0"/>
              <w:autoSpaceDN w:val="0"/>
              <w:adjustRightInd w:val="0"/>
              <w:spacing w:line="240" w:lineRule="auto"/>
              <w:ind w:firstLine="0" w:firstLineChars="0"/>
              <w:jc w:val="center"/>
              <w:rPr>
                <w:rFonts w:ascii="宋体" w:hAnsi="宋体" w:eastAsia="宋体" w:cs="Times New Roman"/>
                <w:sz w:val="21"/>
                <w:szCs w:val="21"/>
                <w:lang w:val="zh-CN" w:eastAsia="zh-CN"/>
              </w:rPr>
            </w:pPr>
            <w:r>
              <w:rPr>
                <w:rFonts w:hint="eastAsia" w:ascii="宋体" w:hAnsi="宋体" w:eastAsia="宋体" w:cs="Times New Roman"/>
                <w:sz w:val="21"/>
                <w:szCs w:val="21"/>
                <w:lang w:val="zh-CN" w:eastAsia="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10" w:type="dxa"/>
            <w:vAlign w:val="center"/>
          </w:tcPr>
          <w:p>
            <w:pPr>
              <w:widowControl w:val="0"/>
              <w:autoSpaceDE w:val="0"/>
              <w:autoSpaceDN w:val="0"/>
              <w:adjustRightInd w:val="0"/>
              <w:spacing w:line="240" w:lineRule="auto"/>
              <w:ind w:firstLine="0" w:firstLineChars="0"/>
              <w:jc w:val="left"/>
              <w:rPr>
                <w:rFonts w:ascii="宋体" w:hAnsi="宋体" w:eastAsia="宋体" w:cs="Times New Roman"/>
                <w:sz w:val="21"/>
                <w:szCs w:val="21"/>
                <w:lang w:val="zh-CN" w:eastAsia="zh-CN"/>
              </w:rPr>
            </w:pPr>
            <w:r>
              <w:rPr>
                <w:rFonts w:ascii="宋体" w:hAnsi="宋体" w:eastAsia="宋体" w:cs="Times New Roman"/>
                <w:sz w:val="21"/>
                <w:szCs w:val="21"/>
                <w:lang w:val="zh-CN" w:eastAsia="zh-CN"/>
              </w:rPr>
              <w:t>1</w:t>
            </w:r>
          </w:p>
        </w:tc>
        <w:tc>
          <w:tcPr>
            <w:tcW w:w="1396" w:type="dxa"/>
            <w:vAlign w:val="center"/>
          </w:tcPr>
          <w:p>
            <w:pPr>
              <w:widowControl w:val="0"/>
              <w:autoSpaceDE w:val="0"/>
              <w:autoSpaceDN w:val="0"/>
              <w:adjustRightInd w:val="0"/>
              <w:spacing w:line="240" w:lineRule="auto"/>
              <w:ind w:firstLine="0" w:firstLineChars="0"/>
              <w:jc w:val="center"/>
              <w:rPr>
                <w:rFonts w:ascii="宋体" w:hAnsi="宋体" w:eastAsia="宋体" w:cs="Times New Roman"/>
                <w:kern w:val="0"/>
                <w:sz w:val="21"/>
                <w:szCs w:val="21"/>
                <w:lang w:val="zh-CN" w:eastAsia="zh-CN"/>
              </w:rPr>
            </w:pPr>
            <w:r>
              <w:rPr>
                <w:rFonts w:hint="eastAsia" w:ascii="宋体" w:hAnsi="宋体" w:eastAsia="宋体" w:cs="Times New Roman"/>
                <w:kern w:val="0"/>
                <w:sz w:val="21"/>
                <w:szCs w:val="21"/>
                <w:lang w:val="zh-CN" w:eastAsia="zh-CN"/>
              </w:rPr>
              <w:t>背景解读、现状分析/实施方案</w:t>
            </w:r>
          </w:p>
        </w:tc>
        <w:tc>
          <w:tcPr>
            <w:tcW w:w="646" w:type="dxa"/>
            <w:vAlign w:val="center"/>
          </w:tcPr>
          <w:p>
            <w:pPr>
              <w:widowControl w:val="0"/>
              <w:autoSpaceDE w:val="0"/>
              <w:autoSpaceDN w:val="0"/>
              <w:adjustRightInd w:val="0"/>
              <w:spacing w:line="240" w:lineRule="auto"/>
              <w:ind w:firstLine="0" w:firstLineChars="0"/>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15</w:t>
            </w:r>
          </w:p>
        </w:tc>
        <w:tc>
          <w:tcPr>
            <w:tcW w:w="5723" w:type="dxa"/>
            <w:vAlign w:val="center"/>
          </w:tcPr>
          <w:p>
            <w:pPr>
              <w:widowControl w:val="0"/>
              <w:autoSpaceDE w:val="0"/>
              <w:autoSpaceDN w:val="0"/>
              <w:adjustRightInd w:val="0"/>
              <w:spacing w:line="240" w:lineRule="auto"/>
              <w:ind w:firstLine="0" w:firstLineChars="0"/>
              <w:rPr>
                <w:rFonts w:ascii="宋体" w:hAnsi="宋体" w:eastAsia="宋体" w:cs="Times New Roman"/>
                <w:b/>
                <w:kern w:val="0"/>
                <w:sz w:val="21"/>
                <w:szCs w:val="21"/>
                <w:lang w:val="en-US" w:eastAsia="zh-CN"/>
              </w:rPr>
            </w:pPr>
            <w:r>
              <w:rPr>
                <w:rFonts w:hint="eastAsia" w:ascii="宋体" w:hAnsi="宋体" w:eastAsia="宋体" w:cs="Times New Roman"/>
                <w:b/>
                <w:kern w:val="0"/>
                <w:sz w:val="21"/>
                <w:szCs w:val="21"/>
                <w:lang w:val="en-US" w:eastAsia="zh-CN"/>
              </w:rPr>
              <w:t>考察内容：</w:t>
            </w:r>
          </w:p>
          <w:p>
            <w:pPr>
              <w:widowControl w:val="0"/>
              <w:autoSpaceDE w:val="0"/>
              <w:autoSpaceDN w:val="0"/>
              <w:adjustRightInd w:val="0"/>
              <w:spacing w:line="240" w:lineRule="auto"/>
              <w:ind w:firstLine="0" w:firstLineChars="0"/>
              <w:rPr>
                <w:rFonts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 xml:space="preserve"> 1. 对现状问题是否认识清晰，分析到位；</w:t>
            </w:r>
          </w:p>
          <w:p>
            <w:pPr>
              <w:widowControl w:val="0"/>
              <w:autoSpaceDE w:val="0"/>
              <w:autoSpaceDN w:val="0"/>
              <w:adjustRightInd w:val="0"/>
              <w:spacing w:line="240" w:lineRule="auto"/>
              <w:ind w:firstLine="0" w:firstLineChars="0"/>
              <w:rPr>
                <w:rFonts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 xml:space="preserve"> 2.活动方案的措施、方法是否科学、完整，富有吸引力和趣味性； </w:t>
            </w:r>
          </w:p>
          <w:p>
            <w:pPr>
              <w:widowControl w:val="0"/>
              <w:autoSpaceDE w:val="0"/>
              <w:autoSpaceDN w:val="0"/>
              <w:adjustRightInd w:val="0"/>
              <w:spacing w:line="240" w:lineRule="auto"/>
              <w:ind w:firstLine="105" w:firstLineChars="50"/>
              <w:rPr>
                <w:rFonts w:ascii="宋体" w:hAnsi="宋体" w:eastAsia="宋体" w:cs="Times New Roman"/>
                <w:kern w:val="0"/>
                <w:sz w:val="21"/>
                <w:szCs w:val="21"/>
                <w:lang w:val="zh-CN" w:eastAsia="zh-CN"/>
              </w:rPr>
            </w:pPr>
            <w:r>
              <w:rPr>
                <w:rFonts w:hint="eastAsia" w:ascii="宋体" w:hAnsi="宋体" w:eastAsia="宋体" w:cs="Times New Roman"/>
                <w:kern w:val="0"/>
                <w:sz w:val="21"/>
                <w:szCs w:val="21"/>
                <w:lang w:val="en-US" w:eastAsia="zh-CN"/>
              </w:rPr>
              <w:t>3. 项目课程设计、工作流程是否合理。按照投标文件响应情况进行横向比较，进行评分：优得15分、良10分、中6分、差3分。</w:t>
            </w:r>
          </w:p>
        </w:tc>
        <w:tc>
          <w:tcPr>
            <w:tcW w:w="1379" w:type="dxa"/>
            <w:vAlign w:val="center"/>
          </w:tcPr>
          <w:p>
            <w:pPr>
              <w:widowControl w:val="0"/>
              <w:autoSpaceDE w:val="0"/>
              <w:autoSpaceDN w:val="0"/>
              <w:adjustRightInd w:val="0"/>
              <w:spacing w:line="240" w:lineRule="auto"/>
              <w:ind w:firstLine="0" w:firstLineChars="0"/>
              <w:jc w:val="center"/>
              <w:rPr>
                <w:rFonts w:hint="eastAsia" w:eastAsia="宋体" w:cs="Times New Roman"/>
                <w:kern w:val="2"/>
                <w:sz w:val="21"/>
                <w:lang w:val="en-US" w:eastAsia="zh-CN"/>
              </w:rPr>
            </w:pPr>
            <w:r>
              <w:rPr>
                <w:rFonts w:hint="eastAsia" w:eastAsia="宋体" w:cs="Times New Roman"/>
                <w:kern w:val="2"/>
                <w:sz w:val="21"/>
                <w:lang w:val="en-US" w:eastAsia="zh-CN"/>
              </w:rPr>
              <w:t>采购小组</w:t>
            </w:r>
          </w:p>
          <w:p>
            <w:pPr>
              <w:widowControl w:val="0"/>
              <w:autoSpaceDE w:val="0"/>
              <w:autoSpaceDN w:val="0"/>
              <w:adjustRightInd w:val="0"/>
              <w:spacing w:line="240" w:lineRule="auto"/>
              <w:ind w:firstLine="0" w:firstLineChars="0"/>
              <w:jc w:val="center"/>
              <w:rPr>
                <w:rFonts w:ascii="宋体" w:hAnsi="宋体" w:eastAsia="宋体" w:cs="Times New Roman"/>
                <w:sz w:val="21"/>
                <w:szCs w:val="21"/>
                <w:lang w:val="zh-CN" w:eastAsia="zh-CN"/>
              </w:rPr>
            </w:pPr>
            <w:r>
              <w:rPr>
                <w:rFonts w:hint="eastAsia" w:ascii="Calibri" w:hAnsi="Calibri" w:eastAsia="宋体" w:cs="Times New Roman"/>
                <w:kern w:val="2"/>
                <w:sz w:val="21"/>
                <w:lang w:val="en-US" w:eastAsia="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10" w:type="dxa"/>
            <w:vAlign w:val="center"/>
          </w:tcPr>
          <w:p>
            <w:pPr>
              <w:widowControl w:val="0"/>
              <w:autoSpaceDE w:val="0"/>
              <w:autoSpaceDN w:val="0"/>
              <w:adjustRightInd w:val="0"/>
              <w:spacing w:line="240" w:lineRule="auto"/>
              <w:ind w:firstLine="0" w:firstLineChars="0"/>
              <w:jc w:val="left"/>
              <w:rPr>
                <w:rFonts w:ascii="宋体" w:hAnsi="宋体" w:eastAsia="宋体" w:cs="Times New Roman"/>
                <w:sz w:val="21"/>
                <w:szCs w:val="21"/>
                <w:lang w:val="zh-CN" w:eastAsia="zh-CN"/>
              </w:rPr>
            </w:pPr>
            <w:r>
              <w:rPr>
                <w:rFonts w:hint="eastAsia" w:ascii="宋体" w:hAnsi="宋体" w:eastAsia="宋体" w:cs="Times New Roman"/>
                <w:sz w:val="21"/>
                <w:szCs w:val="21"/>
                <w:lang w:val="zh-CN" w:eastAsia="zh-CN"/>
              </w:rPr>
              <w:t>2</w:t>
            </w:r>
          </w:p>
        </w:tc>
        <w:tc>
          <w:tcPr>
            <w:tcW w:w="1396" w:type="dxa"/>
            <w:vAlign w:val="center"/>
          </w:tcPr>
          <w:p>
            <w:pPr>
              <w:widowControl w:val="0"/>
              <w:autoSpaceDE w:val="0"/>
              <w:autoSpaceDN w:val="0"/>
              <w:adjustRightInd w:val="0"/>
              <w:spacing w:line="240" w:lineRule="auto"/>
              <w:ind w:firstLine="0" w:firstLineChars="0"/>
              <w:jc w:val="center"/>
              <w:rPr>
                <w:rFonts w:ascii="宋体" w:hAnsi="宋体" w:eastAsia="宋体" w:cs="Times New Roman"/>
                <w:kern w:val="0"/>
                <w:sz w:val="21"/>
                <w:szCs w:val="21"/>
                <w:lang w:val="zh-CN" w:eastAsia="zh-CN"/>
              </w:rPr>
            </w:pPr>
            <w:r>
              <w:rPr>
                <w:rFonts w:hint="eastAsia" w:ascii="宋体" w:hAnsi="宋体" w:eastAsia="宋体" w:cs="Times New Roman"/>
                <w:kern w:val="0"/>
                <w:sz w:val="21"/>
                <w:szCs w:val="21"/>
                <w:lang w:val="zh-CN" w:eastAsia="zh-CN"/>
              </w:rPr>
              <w:t>项目重点</w:t>
            </w:r>
          </w:p>
          <w:p>
            <w:pPr>
              <w:widowControl w:val="0"/>
              <w:autoSpaceDE w:val="0"/>
              <w:autoSpaceDN w:val="0"/>
              <w:adjustRightInd w:val="0"/>
              <w:spacing w:line="240" w:lineRule="auto"/>
              <w:ind w:firstLine="0" w:firstLineChars="0"/>
              <w:jc w:val="center"/>
              <w:rPr>
                <w:rFonts w:ascii="宋体" w:hAnsi="宋体" w:eastAsia="宋体" w:cs="Times New Roman"/>
                <w:kern w:val="0"/>
                <w:sz w:val="21"/>
                <w:szCs w:val="21"/>
                <w:lang w:val="zh-CN" w:eastAsia="zh-CN"/>
              </w:rPr>
            </w:pPr>
            <w:r>
              <w:rPr>
                <w:rFonts w:hint="eastAsia" w:ascii="宋体" w:hAnsi="宋体" w:eastAsia="宋体" w:cs="Times New Roman"/>
                <w:kern w:val="0"/>
                <w:sz w:val="21"/>
                <w:szCs w:val="21"/>
                <w:lang w:val="zh-CN" w:eastAsia="zh-CN"/>
              </w:rPr>
              <w:t>难点分析、应对措施及相关的合理化建议</w:t>
            </w:r>
          </w:p>
        </w:tc>
        <w:tc>
          <w:tcPr>
            <w:tcW w:w="646" w:type="dxa"/>
            <w:vAlign w:val="center"/>
          </w:tcPr>
          <w:p>
            <w:pPr>
              <w:widowControl w:val="0"/>
              <w:autoSpaceDE w:val="0"/>
              <w:autoSpaceDN w:val="0"/>
              <w:adjustRightInd w:val="0"/>
              <w:spacing w:line="240" w:lineRule="auto"/>
              <w:ind w:firstLine="0" w:firstLineChars="0"/>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15</w:t>
            </w:r>
          </w:p>
        </w:tc>
        <w:tc>
          <w:tcPr>
            <w:tcW w:w="5723" w:type="dxa"/>
            <w:vAlign w:val="center"/>
          </w:tcPr>
          <w:p>
            <w:pPr>
              <w:widowControl w:val="0"/>
              <w:autoSpaceDE w:val="0"/>
              <w:autoSpaceDN w:val="0"/>
              <w:adjustRightInd w:val="0"/>
              <w:spacing w:line="240" w:lineRule="auto"/>
              <w:ind w:firstLine="0" w:firstLineChars="0"/>
              <w:rPr>
                <w:rFonts w:ascii="宋体" w:hAnsi="宋体" w:eastAsia="宋体" w:cs="Times New Roman"/>
                <w:kern w:val="0"/>
                <w:sz w:val="21"/>
                <w:szCs w:val="21"/>
                <w:lang w:val="en-US" w:eastAsia="zh-CN"/>
              </w:rPr>
            </w:pPr>
            <w:r>
              <w:rPr>
                <w:rFonts w:hint="eastAsia" w:ascii="宋体" w:hAnsi="宋体" w:eastAsia="宋体" w:cs="Times New Roman"/>
                <w:b/>
                <w:kern w:val="0"/>
                <w:sz w:val="21"/>
                <w:szCs w:val="21"/>
                <w:lang w:val="en-US" w:eastAsia="zh-CN"/>
              </w:rPr>
              <w:t>1、考察内容：</w:t>
            </w:r>
            <w:r>
              <w:rPr>
                <w:rFonts w:hint="eastAsia" w:ascii="宋体" w:hAnsi="宋体" w:eastAsia="宋体" w:cs="Times New Roman"/>
                <w:kern w:val="0"/>
                <w:sz w:val="21"/>
                <w:szCs w:val="21"/>
                <w:lang w:val="en-US" w:eastAsia="zh-CN"/>
              </w:rPr>
              <w:t xml:space="preserve"> </w:t>
            </w:r>
          </w:p>
          <w:p>
            <w:pPr>
              <w:widowControl w:val="0"/>
              <w:autoSpaceDE w:val="0"/>
              <w:autoSpaceDN w:val="0"/>
              <w:adjustRightInd w:val="0"/>
              <w:spacing w:line="240" w:lineRule="auto"/>
              <w:ind w:firstLine="105" w:firstLineChars="50"/>
              <w:rPr>
                <w:rFonts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 对项目的认知是否全面，主要内容是否科学完整；</w:t>
            </w:r>
          </w:p>
          <w:p>
            <w:pPr>
              <w:widowControl w:val="0"/>
              <w:autoSpaceDE w:val="0"/>
              <w:autoSpaceDN w:val="0"/>
              <w:adjustRightInd w:val="0"/>
              <w:spacing w:line="240" w:lineRule="auto"/>
              <w:ind w:firstLine="0" w:firstLineChars="0"/>
              <w:rPr>
                <w:rFonts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 xml:space="preserve"> 2. 对项目的重点难点是否把握到位，分析准确；</w:t>
            </w:r>
          </w:p>
          <w:p>
            <w:pPr>
              <w:widowControl w:val="0"/>
              <w:autoSpaceDE w:val="0"/>
              <w:autoSpaceDN w:val="0"/>
              <w:adjustRightInd w:val="0"/>
              <w:spacing w:line="240" w:lineRule="auto"/>
              <w:ind w:firstLine="0" w:firstLineChars="0"/>
              <w:rPr>
                <w:rFonts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 xml:space="preserve"> 3. 应对措施及相关建议是否合理。按照投标文件响应情况进行横向比较进行评分：优得15分、良10分、中6分、差3分。</w:t>
            </w:r>
          </w:p>
        </w:tc>
        <w:tc>
          <w:tcPr>
            <w:tcW w:w="1379" w:type="dxa"/>
            <w:vAlign w:val="center"/>
          </w:tcPr>
          <w:p>
            <w:pPr>
              <w:widowControl w:val="0"/>
              <w:autoSpaceDE w:val="0"/>
              <w:autoSpaceDN w:val="0"/>
              <w:adjustRightInd w:val="0"/>
              <w:spacing w:line="240" w:lineRule="auto"/>
              <w:ind w:firstLine="0" w:firstLineChars="0"/>
              <w:jc w:val="center"/>
              <w:rPr>
                <w:rFonts w:hint="eastAsia" w:eastAsia="宋体" w:cs="Times New Roman"/>
                <w:kern w:val="2"/>
                <w:sz w:val="21"/>
                <w:lang w:val="en-US" w:eastAsia="zh-CN"/>
              </w:rPr>
            </w:pPr>
            <w:r>
              <w:rPr>
                <w:rFonts w:hint="eastAsia" w:eastAsia="宋体" w:cs="Times New Roman"/>
                <w:kern w:val="2"/>
                <w:sz w:val="21"/>
                <w:lang w:val="en-US" w:eastAsia="zh-CN"/>
              </w:rPr>
              <w:t>采购小组</w:t>
            </w:r>
          </w:p>
          <w:p>
            <w:pPr>
              <w:widowControl w:val="0"/>
              <w:autoSpaceDE w:val="0"/>
              <w:autoSpaceDN w:val="0"/>
              <w:adjustRightInd w:val="0"/>
              <w:spacing w:line="240" w:lineRule="auto"/>
              <w:ind w:firstLine="0" w:firstLineChars="0"/>
              <w:jc w:val="center"/>
              <w:rPr>
                <w:rFonts w:ascii="宋体" w:hAnsi="宋体" w:eastAsia="宋体" w:cs="Times New Roman"/>
                <w:sz w:val="21"/>
                <w:szCs w:val="21"/>
                <w:lang w:val="zh-CN" w:eastAsia="zh-CN"/>
              </w:rPr>
            </w:pPr>
            <w:r>
              <w:rPr>
                <w:rFonts w:hint="eastAsia" w:ascii="Calibri" w:hAnsi="Calibri" w:eastAsia="宋体" w:cs="Times New Roman"/>
                <w:kern w:val="2"/>
                <w:sz w:val="21"/>
                <w:lang w:val="en-US" w:eastAsia="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3" w:hRule="atLeast"/>
          <w:jc w:val="center"/>
        </w:trPr>
        <w:tc>
          <w:tcPr>
            <w:tcW w:w="710" w:type="dxa"/>
            <w:tcBorders>
              <w:top w:val="single" w:color="auto" w:sz="6" w:space="0"/>
              <w:left w:val="single" w:color="auto" w:sz="6" w:space="0"/>
              <w:right w:val="single" w:color="auto" w:sz="6" w:space="0"/>
            </w:tcBorders>
            <w:vAlign w:val="center"/>
          </w:tcPr>
          <w:p>
            <w:pPr>
              <w:widowControl w:val="0"/>
              <w:autoSpaceDE w:val="0"/>
              <w:autoSpaceDN w:val="0"/>
              <w:adjustRightInd w:val="0"/>
              <w:spacing w:line="240" w:lineRule="auto"/>
              <w:ind w:firstLine="0" w:firstLineChars="0"/>
              <w:jc w:val="center"/>
              <w:rPr>
                <w:rFonts w:ascii="宋体" w:hAnsi="宋体" w:eastAsia="宋体" w:cs="Times New Roman"/>
                <w:sz w:val="21"/>
                <w:szCs w:val="21"/>
                <w:lang w:val="zh-CN" w:eastAsia="zh-CN"/>
              </w:rPr>
            </w:pPr>
            <w:r>
              <w:rPr>
                <w:rFonts w:hint="eastAsia" w:ascii="宋体" w:hAnsi="宋体" w:eastAsia="宋体" w:cs="Times New Roman"/>
                <w:sz w:val="21"/>
                <w:szCs w:val="21"/>
                <w:lang w:val="zh-CN" w:eastAsia="zh-CN"/>
              </w:rPr>
              <w:t>3</w:t>
            </w:r>
          </w:p>
        </w:tc>
        <w:tc>
          <w:tcPr>
            <w:tcW w:w="1396" w:type="dxa"/>
            <w:tcBorders>
              <w:top w:val="single" w:color="auto" w:sz="6" w:space="0"/>
              <w:left w:val="single" w:color="auto" w:sz="6" w:space="0"/>
              <w:right w:val="single" w:color="auto" w:sz="6" w:space="0"/>
            </w:tcBorders>
            <w:vAlign w:val="center"/>
          </w:tcPr>
          <w:p>
            <w:pPr>
              <w:widowControl w:val="0"/>
              <w:autoSpaceDE w:val="0"/>
              <w:autoSpaceDN w:val="0"/>
              <w:adjustRightInd w:val="0"/>
              <w:spacing w:line="240" w:lineRule="auto"/>
              <w:ind w:firstLine="0" w:firstLineChars="0"/>
              <w:jc w:val="center"/>
              <w:rPr>
                <w:rFonts w:ascii="宋体" w:hAnsi="宋体" w:eastAsia="宋体" w:cs="Times New Roman"/>
                <w:sz w:val="21"/>
                <w:szCs w:val="21"/>
                <w:lang w:val="en-US" w:eastAsia="zh-CN"/>
              </w:rPr>
            </w:pPr>
            <w:r>
              <w:rPr>
                <w:rFonts w:hint="eastAsia" w:ascii="宋体" w:hAnsi="宋体" w:eastAsia="宋体" w:cs="Times New Roman"/>
                <w:sz w:val="21"/>
                <w:szCs w:val="21"/>
                <w:lang w:val="en-US" w:eastAsia="zh-CN"/>
              </w:rPr>
              <w:t>拟安排的项目负责人情况及项目团队成员（项目负责人除外）情况</w:t>
            </w:r>
          </w:p>
        </w:tc>
        <w:tc>
          <w:tcPr>
            <w:tcW w:w="646" w:type="dxa"/>
            <w:tcBorders>
              <w:top w:val="single" w:color="auto" w:sz="6" w:space="0"/>
              <w:left w:val="single" w:color="auto" w:sz="6" w:space="0"/>
              <w:right w:val="single" w:color="auto" w:sz="6" w:space="0"/>
            </w:tcBorders>
            <w:vAlign w:val="center"/>
          </w:tcPr>
          <w:p>
            <w:pPr>
              <w:widowControl w:val="0"/>
              <w:autoSpaceDE w:val="0"/>
              <w:autoSpaceDN w:val="0"/>
              <w:adjustRightInd w:val="0"/>
              <w:spacing w:line="240" w:lineRule="auto"/>
              <w:ind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5723"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40" w:lineRule="auto"/>
              <w:ind w:firstLine="0" w:firstLineChars="0"/>
              <w:rPr>
                <w:rFonts w:hint="eastAsia" w:ascii="宋体" w:hAnsi="宋体" w:eastAsia="宋体" w:cs="Times New Roman"/>
                <w:b/>
                <w:kern w:val="0"/>
                <w:sz w:val="21"/>
                <w:szCs w:val="21"/>
                <w:lang w:val="en-US" w:eastAsia="zh-CN"/>
              </w:rPr>
            </w:pPr>
            <w:r>
              <w:rPr>
                <w:rFonts w:hint="eastAsia" w:ascii="宋体" w:hAnsi="宋体" w:eastAsia="宋体" w:cs="Times New Roman"/>
                <w:b/>
                <w:kern w:val="0"/>
                <w:sz w:val="21"/>
                <w:szCs w:val="21"/>
                <w:lang w:val="en-US" w:eastAsia="zh-CN"/>
              </w:rPr>
              <w:t>1、考察内容：</w:t>
            </w:r>
          </w:p>
          <w:p>
            <w:pPr>
              <w:widowControl w:val="0"/>
              <w:spacing w:line="360" w:lineRule="auto"/>
              <w:ind w:firstLine="0" w:firstLineChars="0"/>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eastAsia="宋体" w:cs="宋体"/>
                <w:color w:val="auto"/>
                <w:sz w:val="21"/>
                <w:szCs w:val="21"/>
                <w:lang w:val="en-US" w:eastAsia="zh-CN"/>
              </w:rPr>
              <w:t>该项目负责人具备本科学历，得20%分；具备研究生或以上学历，得30%分，其他情况不得分；</w:t>
            </w:r>
          </w:p>
          <w:p>
            <w:pPr>
              <w:widowControl w:val="0"/>
              <w:spacing w:line="360" w:lineRule="auto"/>
              <w:ind w:firstLine="0" w:firstLineChars="0"/>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（2）</w:t>
            </w:r>
            <w:r>
              <w:rPr>
                <w:rFonts w:hint="eastAsia" w:ascii="宋体" w:hAnsi="宋体" w:eastAsia="宋体" w:cs="宋体"/>
                <w:color w:val="auto"/>
                <w:sz w:val="21"/>
                <w:szCs w:val="21"/>
                <w:lang w:val="en-US" w:eastAsia="zh-CN"/>
              </w:rPr>
              <w:t>该项目负责人</w:t>
            </w:r>
            <w:r>
              <w:rPr>
                <w:rFonts w:hint="eastAsia" w:ascii="宋体" w:hAnsi="宋体" w:eastAsia="宋体" w:cs="宋体"/>
                <w:bCs/>
                <w:color w:val="auto"/>
                <w:sz w:val="21"/>
                <w:szCs w:val="21"/>
                <w:lang w:val="en-US" w:eastAsia="zh-CN"/>
              </w:rPr>
              <w:t>具有培训、活动组织相关</w:t>
            </w:r>
            <w:r>
              <w:rPr>
                <w:rFonts w:hint="eastAsia" w:ascii="宋体" w:hAnsi="宋体" w:eastAsia="宋体" w:cs="宋体"/>
                <w:color w:val="auto"/>
                <w:sz w:val="21"/>
                <w:szCs w:val="21"/>
                <w:lang w:val="en-US" w:eastAsia="zh-CN"/>
              </w:rPr>
              <w:t>经验五年以下的得20%分，五年以上得30%分，其他情况不得分；</w:t>
            </w:r>
          </w:p>
          <w:p>
            <w:pPr>
              <w:widowControl w:val="0"/>
              <w:spacing w:line="360" w:lineRule="auto"/>
              <w:ind w:firstLine="0" w:firstLineChars="0"/>
              <w:rPr>
                <w:rFonts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（3）</w:t>
            </w:r>
            <w:r>
              <w:rPr>
                <w:rFonts w:hint="eastAsia" w:ascii="宋体" w:hAnsi="宋体" w:eastAsia="宋体" w:cs="宋体"/>
                <w:color w:val="auto"/>
                <w:sz w:val="21"/>
                <w:szCs w:val="21"/>
                <w:lang w:val="en-US" w:eastAsia="zh-CN"/>
              </w:rPr>
              <w:t>该项目团队成员具备3人得10%分，3人以上得20%分（不含项目负责人），其他情况不得分；</w:t>
            </w:r>
          </w:p>
          <w:p>
            <w:pPr>
              <w:widowControl w:val="0"/>
              <w:spacing w:line="360" w:lineRule="auto"/>
              <w:ind w:firstLine="0" w:firstLineChars="0"/>
              <w:jc w:val="both"/>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（4）该项目团队成员中3人具备大专学历的，得10%分；3人具备本科或以上学历，得20%分，其他情况不得分。</w:t>
            </w:r>
          </w:p>
          <w:p>
            <w:pPr>
              <w:widowControl w:val="0"/>
              <w:autoSpaceDE w:val="0"/>
              <w:autoSpaceDN w:val="0"/>
              <w:adjustRightInd w:val="0"/>
              <w:spacing w:line="240" w:lineRule="auto"/>
              <w:ind w:firstLine="0" w:firstLineChars="0"/>
              <w:rPr>
                <w:rFonts w:ascii="宋体" w:hAnsi="宋体" w:eastAsia="宋体" w:cs="Times New Roman"/>
                <w:b/>
                <w:kern w:val="0"/>
                <w:sz w:val="21"/>
                <w:szCs w:val="21"/>
                <w:lang w:val="en-US" w:eastAsia="zh-CN"/>
              </w:rPr>
            </w:pPr>
            <w:r>
              <w:rPr>
                <w:rFonts w:hint="eastAsia" w:ascii="宋体" w:hAnsi="宋体" w:eastAsia="宋体" w:cs="Times New Roman"/>
                <w:b/>
                <w:kern w:val="0"/>
                <w:sz w:val="21"/>
                <w:szCs w:val="21"/>
                <w:lang w:val="en-US" w:eastAsia="zh-CN"/>
              </w:rPr>
              <w:t>2、证明文件：</w:t>
            </w:r>
          </w:p>
          <w:p>
            <w:pPr>
              <w:widowControl w:val="0"/>
              <w:numPr>
                <w:ilvl w:val="0"/>
                <w:numId w:val="1"/>
              </w:numPr>
              <w:spacing w:line="360" w:lineRule="auto"/>
              <w:ind w:firstLine="0" w:firstLineChars="0"/>
              <w:rPr>
                <w:rFonts w:ascii="宋体" w:hAnsi="宋体" w:eastAsia="宋体" w:cs="宋体"/>
                <w:sz w:val="21"/>
                <w:szCs w:val="21"/>
                <w:lang w:val="en-US" w:eastAsia="zh-CN"/>
              </w:rPr>
            </w:pPr>
            <w:r>
              <w:rPr>
                <w:rFonts w:hint="eastAsia" w:ascii="宋体" w:hAnsi="宋体" w:eastAsia="宋体" w:cs="宋体"/>
                <w:sz w:val="21"/>
                <w:szCs w:val="21"/>
                <w:lang w:val="en-US" w:eastAsia="zh-CN"/>
              </w:rPr>
              <w:t>提供相关人员毕业证书；</w:t>
            </w:r>
          </w:p>
          <w:p>
            <w:pPr>
              <w:widowControl w:val="0"/>
              <w:numPr>
                <w:ilvl w:val="0"/>
                <w:numId w:val="1"/>
              </w:numPr>
              <w:spacing w:line="360" w:lineRule="auto"/>
              <w:ind w:firstLine="0" w:firstLineChars="0"/>
              <w:rPr>
                <w:rFonts w:ascii="宋体" w:hAnsi="宋体" w:eastAsia="宋体" w:cs="宋体"/>
                <w:sz w:val="21"/>
                <w:szCs w:val="21"/>
                <w:lang w:val="en-US" w:eastAsia="zh-CN"/>
              </w:rPr>
            </w:pPr>
            <w:r>
              <w:rPr>
                <w:rFonts w:hint="eastAsia" w:ascii="宋体" w:hAnsi="宋体" w:eastAsia="宋体" w:cs="宋体"/>
                <w:sz w:val="21"/>
                <w:szCs w:val="21"/>
                <w:lang w:val="en-US" w:eastAsia="zh-CN"/>
              </w:rPr>
              <w:t>提供相关人员技术资格证书复印件；</w:t>
            </w:r>
          </w:p>
          <w:p>
            <w:pPr>
              <w:widowControl w:val="0"/>
              <w:numPr>
                <w:ilvl w:val="0"/>
                <w:numId w:val="1"/>
              </w:numPr>
              <w:spacing w:line="360" w:lineRule="auto"/>
              <w:ind w:firstLine="0" w:firstLineChars="0"/>
              <w:rPr>
                <w:rFonts w:ascii="宋体" w:hAnsi="宋体" w:eastAsia="宋体" w:cs="宋体"/>
                <w:sz w:val="21"/>
                <w:szCs w:val="21"/>
                <w:lang w:val="en-US" w:eastAsia="zh-CN"/>
              </w:rPr>
            </w:pPr>
            <w:r>
              <w:rPr>
                <w:rFonts w:hint="eastAsia" w:ascii="宋体" w:hAnsi="宋体" w:eastAsia="宋体" w:cs="宋体"/>
                <w:sz w:val="21"/>
                <w:szCs w:val="21"/>
                <w:lang w:val="en-US" w:eastAsia="zh-CN"/>
              </w:rPr>
              <w:t>提供工作经历履历表，并提供与履历相符合的证明材料(劳动合同、聘任书等扫描件）</w:t>
            </w:r>
          </w:p>
          <w:p>
            <w:pPr>
              <w:widowControl w:val="0"/>
              <w:autoSpaceDE w:val="0"/>
              <w:autoSpaceDN w:val="0"/>
              <w:adjustRightInd w:val="0"/>
              <w:spacing w:line="240" w:lineRule="auto"/>
              <w:ind w:firstLine="0" w:firstLineChars="0"/>
              <w:rPr>
                <w:rFonts w:hint="eastAsia" w:ascii="宋体" w:hAnsi="宋体" w:eastAsia="宋体" w:cs="Times New Roman"/>
                <w:kern w:val="0"/>
                <w:sz w:val="21"/>
                <w:szCs w:val="21"/>
                <w:lang w:val="en-US" w:eastAsia="zh-CN"/>
              </w:rPr>
            </w:pPr>
            <w:r>
              <w:rPr>
                <w:rFonts w:hint="eastAsia" w:ascii="宋体" w:hAnsi="宋体" w:eastAsia="宋体" w:cs="宋体"/>
                <w:sz w:val="21"/>
                <w:szCs w:val="21"/>
                <w:lang w:val="en-US" w:eastAsia="zh-CN"/>
              </w:rPr>
              <w:t>注：（未按要求提供或提供不清晰导致专家无法判断的不得分，原件备查）。</w:t>
            </w:r>
          </w:p>
        </w:tc>
        <w:tc>
          <w:tcPr>
            <w:tcW w:w="1379" w:type="dxa"/>
            <w:tcBorders>
              <w:top w:val="single" w:color="auto" w:sz="6" w:space="0"/>
              <w:left w:val="single" w:color="auto" w:sz="6" w:space="0"/>
              <w:right w:val="single" w:color="auto" w:sz="6" w:space="0"/>
            </w:tcBorders>
            <w:vAlign w:val="center"/>
          </w:tcPr>
          <w:p>
            <w:pPr>
              <w:widowControl w:val="0"/>
              <w:autoSpaceDE w:val="0"/>
              <w:autoSpaceDN w:val="0"/>
              <w:adjustRightInd w:val="0"/>
              <w:spacing w:line="240" w:lineRule="auto"/>
              <w:ind w:firstLine="0" w:firstLineChars="0"/>
              <w:jc w:val="center"/>
              <w:rPr>
                <w:rFonts w:hint="eastAsia" w:eastAsia="宋体" w:cs="Times New Roman"/>
                <w:kern w:val="2"/>
                <w:sz w:val="21"/>
                <w:lang w:val="en-US" w:eastAsia="zh-CN"/>
              </w:rPr>
            </w:pPr>
            <w:r>
              <w:rPr>
                <w:rFonts w:hint="eastAsia" w:eastAsia="宋体" w:cs="Times New Roman"/>
                <w:kern w:val="2"/>
                <w:sz w:val="21"/>
                <w:lang w:val="en-US" w:eastAsia="zh-CN"/>
              </w:rPr>
              <w:t>采购小组</w:t>
            </w:r>
          </w:p>
          <w:p>
            <w:pPr>
              <w:widowControl w:val="0"/>
              <w:autoSpaceDE w:val="0"/>
              <w:autoSpaceDN w:val="0"/>
              <w:adjustRightInd w:val="0"/>
              <w:spacing w:line="240" w:lineRule="auto"/>
              <w:ind w:firstLine="0" w:firstLineChars="0"/>
              <w:jc w:val="center"/>
              <w:rPr>
                <w:rFonts w:ascii="宋体" w:hAnsi="宋体" w:eastAsia="宋体" w:cs="Times New Roman"/>
                <w:sz w:val="21"/>
                <w:szCs w:val="21"/>
                <w:lang w:val="zh-CN" w:eastAsia="zh-CN"/>
              </w:rPr>
            </w:pPr>
            <w:r>
              <w:rPr>
                <w:rFonts w:hint="eastAsia" w:ascii="Calibri" w:hAnsi="Calibri" w:eastAsia="宋体" w:cs="Times New Roman"/>
                <w:kern w:val="2"/>
                <w:sz w:val="21"/>
                <w:lang w:val="en-US" w:eastAsia="zh-CN"/>
              </w:rPr>
              <w:t>打分</w:t>
            </w:r>
          </w:p>
        </w:tc>
      </w:tr>
    </w:tbl>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以上</w:t>
      </w:r>
      <w:r>
        <w:rPr>
          <w:rFonts w:hint="eastAsia" w:ascii="仿宋_GB2312" w:hAnsi="仿宋_GB2312" w:eastAsia="仿宋_GB2312" w:cs="仿宋_GB2312"/>
          <w:snapToGrid w:val="0"/>
          <w:color w:val="000000"/>
          <w:kern w:val="0"/>
          <w:sz w:val="32"/>
          <w:szCs w:val="32"/>
        </w:rPr>
        <w:t>得分精确到小数点后两位</w:t>
      </w:r>
      <w:r>
        <w:rPr>
          <w:rFonts w:hint="eastAsia" w:ascii="仿宋_GB2312" w:hAnsi="仿宋_GB2312" w:eastAsia="仿宋_GB2312" w:cs="仿宋_GB2312"/>
          <w:snapToGrid w:val="0"/>
          <w:color w:val="000000"/>
          <w:kern w:val="0"/>
          <w:sz w:val="32"/>
          <w:szCs w:val="32"/>
          <w:lang w:eastAsia="zh-CN"/>
        </w:rPr>
        <w:t>。其中，</w:t>
      </w:r>
      <w:r>
        <w:rPr>
          <w:rFonts w:hint="eastAsia" w:ascii="仿宋_GB2312" w:hAnsi="仿宋_GB2312" w:eastAsia="仿宋_GB2312" w:cs="仿宋_GB2312"/>
          <w:color w:val="000000"/>
          <w:sz w:val="32"/>
          <w:szCs w:val="32"/>
        </w:rPr>
        <w:t>评分细则表中要求原件备查的资料，如需查验原件，</w:t>
      </w:r>
      <w:r>
        <w:rPr>
          <w:rFonts w:hint="eastAsia" w:ascii="仿宋_GB2312" w:hAnsi="仿宋_GB2312" w:eastAsia="仿宋_GB2312" w:cs="仿宋_GB2312"/>
          <w:color w:val="000000"/>
          <w:sz w:val="32"/>
          <w:szCs w:val="32"/>
          <w:lang w:val="en-US" w:eastAsia="zh-CN"/>
        </w:rPr>
        <w:t>采购方</w:t>
      </w:r>
      <w:r>
        <w:rPr>
          <w:rFonts w:hint="eastAsia" w:ascii="仿宋_GB2312" w:hAnsi="仿宋_GB2312" w:eastAsia="仿宋_GB2312" w:cs="仿宋_GB2312"/>
          <w:color w:val="000000"/>
          <w:sz w:val="32"/>
          <w:szCs w:val="32"/>
        </w:rPr>
        <w:t>将提前通知各报名参加投标的供应商，各供应商应在递交投标文件截止时间前同时递交评分表中的原件备查资料的原件，如经通知后未提交原件的或未按时提交原件的该评分项不得分。所有递交的原件备查资料在评审完毕后，归还各投标供应商。</w:t>
      </w:r>
    </w:p>
    <w:p>
      <w:pPr>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p>
    <w:p>
      <w:pPr>
        <w:kinsoku/>
        <w:wordWrap w:val="0"/>
        <w:overflowPunct/>
        <w:topLinePunct w:val="0"/>
        <w:bidi w:val="0"/>
        <w:spacing w:line="56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深圳市坪山区</w:t>
      </w:r>
      <w:r>
        <w:rPr>
          <w:rFonts w:hint="eastAsia" w:ascii="仿宋_GB2312" w:hAnsi="仿宋_GB2312" w:eastAsia="仿宋_GB2312" w:cs="仿宋_GB2312"/>
          <w:color w:val="000000"/>
          <w:sz w:val="32"/>
          <w:szCs w:val="32"/>
          <w:lang w:val="en-US" w:eastAsia="zh-CN"/>
        </w:rPr>
        <w:t xml:space="preserve">科技创新局    </w:t>
      </w:r>
    </w:p>
    <w:p>
      <w:pPr>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2020</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7</w:t>
      </w:r>
      <w:r>
        <w:rPr>
          <w:rFonts w:hint="eastAsia" w:ascii="仿宋_GB2312" w:hAnsi="仿宋_GB2312" w:eastAsia="仿宋_GB2312" w:cs="仿宋_GB2312"/>
          <w:color w:val="000000"/>
          <w:sz w:val="32"/>
          <w:szCs w:val="32"/>
        </w:rPr>
        <w:t>日</w:t>
      </w:r>
      <w:r>
        <w:rPr>
          <w:rFonts w:hint="eastAsia" w:ascii="仿宋_GB2312" w:hAnsi="仿宋_GB2312" w:cs="仿宋_GB2312"/>
          <w:color w:val="000000"/>
          <w:sz w:val="32"/>
          <w:szCs w:val="32"/>
          <w:lang w:val="en-US" w:eastAsia="zh-CN"/>
        </w:rPr>
        <w:t xml:space="preserve"> </w:t>
      </w:r>
    </w:p>
    <w:p>
      <w:pPr>
        <w:rPr>
          <w:rFonts w:hint="eastAsia" w:ascii="仿宋_GB2312"/>
          <w:sz w:val="32"/>
          <w:szCs w:val="32"/>
          <w:lang w:val="en-US" w:eastAsia="zh-CN"/>
        </w:rPr>
      </w:pP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231A2"/>
    <w:multiLevelType w:val="singleLevel"/>
    <w:tmpl w:val="B85231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416C"/>
    <w:rsid w:val="04C675D0"/>
    <w:rsid w:val="04C72103"/>
    <w:rsid w:val="05C677B8"/>
    <w:rsid w:val="0FD5416C"/>
    <w:rsid w:val="18DB2CD1"/>
    <w:rsid w:val="1B137769"/>
    <w:rsid w:val="1B4062BA"/>
    <w:rsid w:val="20294273"/>
    <w:rsid w:val="3A0960B2"/>
    <w:rsid w:val="3B854C46"/>
    <w:rsid w:val="3C4A16EF"/>
    <w:rsid w:val="3C821EB6"/>
    <w:rsid w:val="41C11282"/>
    <w:rsid w:val="42BB257C"/>
    <w:rsid w:val="4B800274"/>
    <w:rsid w:val="4E35049A"/>
    <w:rsid w:val="514609A0"/>
    <w:rsid w:val="5F214111"/>
    <w:rsid w:val="65DF5D00"/>
    <w:rsid w:val="71C97F3B"/>
    <w:rsid w:val="736F7EEC"/>
    <w:rsid w:val="737A159D"/>
    <w:rsid w:val="77066D85"/>
    <w:rsid w:val="77E71864"/>
    <w:rsid w:val="7E18346E"/>
    <w:rsid w:val="7F5EE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640" w:firstLineChars="200"/>
      <w:jc w:val="both"/>
    </w:pPr>
    <w:rPr>
      <w:rFonts w:ascii="Calibri" w:hAnsi="Calibri" w:eastAsia="仿宋_GB2312" w:cstheme="minorBidi"/>
      <w:kern w:val="2"/>
      <w:sz w:val="32"/>
    </w:rPr>
  </w:style>
  <w:style w:type="paragraph" w:styleId="2">
    <w:name w:val="heading 1"/>
    <w:basedOn w:val="1"/>
    <w:next w:val="1"/>
    <w:link w:val="10"/>
    <w:qFormat/>
    <w:uiPriority w:val="0"/>
    <w:pPr>
      <w:spacing w:before="0" w:beforeAutospacing="0" w:after="0" w:afterAutospacing="0"/>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4"/>
    <w:next w:val="5"/>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sz w:val="32"/>
      <w:szCs w:val="24"/>
    </w:rPr>
  </w:style>
  <w:style w:type="paragraph" w:styleId="4">
    <w:name w:val="heading 3"/>
    <w:basedOn w:val="5"/>
    <w:next w:val="1"/>
    <w:semiHidden/>
    <w:unhideWhenUsed/>
    <w:qFormat/>
    <w:uiPriority w:val="0"/>
    <w:pPr>
      <w:spacing w:before="0" w:beforeAutospacing="0" w:after="0" w:afterAutospacing="0"/>
      <w:jc w:val="left"/>
      <w:outlineLvl w:val="2"/>
    </w:pPr>
    <w:rPr>
      <w:rFonts w:hint="eastAsia" w:ascii="宋体" w:hAnsi="宋体" w:eastAsia="楷体" w:cs="宋体"/>
      <w:kern w:val="0"/>
      <w:szCs w:val="27"/>
      <w:lang w:bidi="ar"/>
    </w:rPr>
  </w:style>
  <w:style w:type="paragraph" w:styleId="5">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customStyle="1" w:styleId="9">
    <w:name w:val="大标题"/>
    <w:basedOn w:val="2"/>
    <w:next w:val="1"/>
    <w:qFormat/>
    <w:uiPriority w:val="0"/>
  </w:style>
  <w:style w:type="character" w:customStyle="1" w:styleId="10">
    <w:name w:val="标题 1 字符"/>
    <w:basedOn w:val="8"/>
    <w:link w:val="2"/>
    <w:qFormat/>
    <w:uiPriority w:val="9"/>
    <w:rPr>
      <w:rFonts w:eastAsia="方正小标宋简体" w:asciiTheme="minorAscii" w:hAnsiTheme="minorAscii"/>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2020-09-04T16:07:00Z</dcterms:created>
  <dc:creator>刘盛涛</dc:creator>
  <cp:lastModifiedBy>liujiaming</cp:lastModifiedBy>
  <dcterms:modified xsi:type="dcterms:W3CDTF">2023-10-27T16:14:20Z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