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beforeLines="50" w:after="156" w:afterLines="50" w:line="560" w:lineRule="exact"/>
        <w:rPr>
          <w:rFonts w:asciiTheme="minorEastAsia" w:hAnsiTheme="minorEastAsia" w:eastAsiaTheme="minorEastAsia" w:cstheme="minorEastAsia"/>
          <w:b/>
          <w:kern w:val="2"/>
          <w:sz w:val="44"/>
          <w:szCs w:val="44"/>
        </w:rPr>
      </w:pPr>
      <w:r>
        <w:rPr>
          <w:rFonts w:hint="eastAsia" w:asciiTheme="minorEastAsia" w:hAnsiTheme="minorEastAsia" w:eastAsiaTheme="minorEastAsia" w:cstheme="minorEastAsia"/>
          <w:b/>
          <w:kern w:val="2"/>
          <w:sz w:val="44"/>
          <w:szCs w:val="44"/>
        </w:rPr>
        <w:t>深圳市生物医药创新产业园区标识牌检测项目招标方案</w:t>
      </w:r>
    </w:p>
    <w:p>
      <w:pPr>
        <w:spacing w:line="560" w:lineRule="exact"/>
        <w:ind w:left="1600" w:hanging="1600" w:hangingChars="500"/>
        <w:outlineLvl w:val="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Theme="minorEastAsia" w:hAnsiTheme="minorEastAsia" w:eastAsiaTheme="minorEastAsia" w:cstheme="minorEastAsia"/>
          <w:b/>
          <w:sz w:val="44"/>
          <w:szCs w:val="44"/>
        </w:rPr>
      </w:pPr>
      <w:r>
        <w:rPr>
          <w:rFonts w:hint="eastAsia" w:ascii="仿宋_GB2312" w:hAnsi="仿宋_GB2312" w:eastAsia="仿宋_GB2312" w:cs="仿宋_GB2312"/>
          <w:sz w:val="32"/>
          <w:szCs w:val="22"/>
        </w:rPr>
        <w:t>项目名称：深圳市生物医药创新产业园区标识牌检测项目招标方案</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采购人：深圳市坪山区科</w:t>
      </w:r>
      <w:r>
        <w:rPr>
          <w:rFonts w:hint="eastAsia" w:ascii="仿宋_GB2312" w:hAnsi="仿宋_GB2312" w:eastAsia="仿宋_GB2312" w:cs="仿宋_GB2312"/>
          <w:sz w:val="32"/>
          <w:szCs w:val="22"/>
          <w:lang w:eastAsia="zh-CN"/>
        </w:rPr>
        <w:t>技</w:t>
      </w:r>
      <w:r>
        <w:rPr>
          <w:rFonts w:hint="eastAsia" w:ascii="仿宋_GB2312" w:hAnsi="仿宋_GB2312" w:eastAsia="仿宋_GB2312" w:cs="仿宋_GB2312"/>
          <w:sz w:val="32"/>
          <w:szCs w:val="22"/>
        </w:rPr>
        <w:t>创</w:t>
      </w:r>
      <w:r>
        <w:rPr>
          <w:rFonts w:hint="eastAsia" w:ascii="仿宋_GB2312" w:hAnsi="仿宋_GB2312" w:eastAsia="仿宋_GB2312" w:cs="仿宋_GB2312"/>
          <w:sz w:val="32"/>
          <w:szCs w:val="22"/>
          <w:lang w:eastAsia="zh-CN"/>
        </w:rPr>
        <w:t>新</w:t>
      </w:r>
      <w:r>
        <w:rPr>
          <w:rFonts w:hint="eastAsia" w:ascii="仿宋_GB2312" w:hAnsi="仿宋_GB2312" w:eastAsia="仿宋_GB2312" w:cs="仿宋_GB2312"/>
          <w:sz w:val="32"/>
          <w:szCs w:val="22"/>
        </w:rPr>
        <w:t xml:space="preserve">局 </w:t>
      </w:r>
    </w:p>
    <w:p>
      <w:pPr>
        <w:keepNext w:val="0"/>
        <w:keepLines w:val="0"/>
        <w:pageBreakBefore w:val="0"/>
        <w:widowControl w:val="0"/>
        <w:kinsoku/>
        <w:wordWrap/>
        <w:overflowPunct/>
        <w:topLinePunct w:val="0"/>
        <w:autoSpaceDE/>
        <w:autoSpaceDN/>
        <w:bidi w:val="0"/>
        <w:snapToGrid/>
        <w:spacing w:line="560" w:lineRule="exact"/>
        <w:ind w:firstLine="640" w:firstLineChars="200"/>
        <w:outlineLvl w:val="0"/>
        <w:rPr>
          <w:rFonts w:ascii="仿宋_GB2312" w:hAnsi="仿宋_GB2312" w:eastAsia="仿宋_GB2312" w:cs="仿宋_GB2312"/>
          <w:sz w:val="32"/>
          <w:szCs w:val="32"/>
        </w:rPr>
      </w:pPr>
    </w:p>
    <w:p>
      <w:pPr>
        <w:pStyle w:val="3"/>
        <w:keepNext w:val="0"/>
        <w:keepLines w:val="0"/>
        <w:pageBreakBefore w:val="0"/>
        <w:widowControl w:val="0"/>
        <w:numPr>
          <w:ilvl w:val="0"/>
          <w:numId w:val="1"/>
        </w:numPr>
        <w:kinsoku/>
        <w:wordWrap/>
        <w:overflowPunct/>
        <w:topLinePunct w:val="0"/>
        <w:autoSpaceDE/>
        <w:autoSpaceDN/>
        <w:bidi w:val="0"/>
        <w:snapToGrid/>
        <w:spacing w:before="156" w:beforeLines="50" w:after="156" w:afterLines="50"/>
        <w:ind w:firstLine="640" w:firstLineChars="200"/>
        <w:jc w:val="both"/>
        <w:rPr>
          <w:rFonts w:ascii="黑体" w:hAnsi="黑体" w:eastAsia="黑体" w:cs="黑体"/>
          <w:bCs/>
          <w:sz w:val="32"/>
          <w:szCs w:val="32"/>
        </w:rPr>
      </w:pPr>
      <w:r>
        <w:rPr>
          <w:rFonts w:hint="eastAsia" w:ascii="黑体" w:hAnsi="黑体" w:eastAsia="黑体" w:cs="黑体"/>
          <w:bCs/>
          <w:sz w:val="32"/>
          <w:szCs w:val="32"/>
        </w:rPr>
        <w:t>采购项目概况</w:t>
      </w:r>
    </w:p>
    <w:p>
      <w:pPr>
        <w:pStyle w:val="2"/>
        <w:keepNext w:val="0"/>
        <w:keepLines w:val="0"/>
        <w:pageBreakBefore w:val="0"/>
        <w:widowControl w:val="0"/>
        <w:kinsoku/>
        <w:wordWrap/>
        <w:overflowPunct/>
        <w:topLinePunct w:val="0"/>
        <w:autoSpaceDE/>
        <w:autoSpaceDN/>
        <w:bidi w:val="0"/>
        <w:snapToGrid/>
        <w:ind w:firstLine="640" w:firstLineChars="200"/>
        <w:rPr>
          <w:rFonts w:hint="eastAsia" w:ascii="仿宋_GB2312" w:hAnsi="仿宋_GB2312" w:eastAsia="仿宋_GB2312"/>
          <w:spacing w:val="0"/>
          <w:kern w:val="2"/>
          <w:sz w:val="32"/>
          <w:szCs w:val="32"/>
          <w:lang w:eastAsia="zh-CN"/>
        </w:rPr>
      </w:pPr>
      <w:r>
        <w:rPr>
          <w:rFonts w:hint="eastAsia" w:ascii="仿宋_GB2312" w:hAnsi="仿宋_GB2312" w:eastAsia="仿宋_GB2312"/>
          <w:spacing w:val="0"/>
          <w:kern w:val="2"/>
          <w:sz w:val="32"/>
          <w:szCs w:val="32"/>
        </w:rPr>
        <w:t>生物医药创新产业园1号楼、10号楼顶分别设置了“深圳（坪山）国家生物产业基地”标识牌，有限期为2020年10月15日至2022年10月14日，共两年。</w:t>
      </w:r>
      <w:r>
        <w:rPr>
          <w:rFonts w:hint="eastAsia" w:ascii="仿宋_GB2312" w:hAnsi="仿宋_GB2312" w:eastAsia="仿宋_GB2312"/>
          <w:spacing w:val="0"/>
          <w:kern w:val="2"/>
          <w:sz w:val="32"/>
          <w:szCs w:val="32"/>
          <w:lang w:eastAsia="zh-CN"/>
        </w:rPr>
        <w:t>现需要</w:t>
      </w:r>
      <w:r>
        <w:rPr>
          <w:rFonts w:hint="eastAsia" w:ascii="仿宋_GB2312" w:hAnsi="仿宋_GB2312" w:eastAsia="仿宋_GB2312"/>
          <w:spacing w:val="0"/>
          <w:kern w:val="2"/>
          <w:sz w:val="32"/>
          <w:szCs w:val="32"/>
        </w:rPr>
        <w:t>标识牌检测报告，该报告须由具有检验检测机构资质认定证书资质的机构编制方</w:t>
      </w:r>
      <w:r>
        <w:rPr>
          <w:rFonts w:hint="eastAsia" w:ascii="仿宋_GB2312" w:hAnsi="仿宋_GB2312" w:eastAsia="仿宋_GB2312"/>
          <w:spacing w:val="0"/>
          <w:kern w:val="2"/>
          <w:sz w:val="32"/>
          <w:szCs w:val="32"/>
          <w:lang w:eastAsia="zh-CN"/>
        </w:rPr>
        <w:t>出具</w:t>
      </w:r>
      <w:r>
        <w:rPr>
          <w:rFonts w:hint="eastAsia" w:ascii="仿宋_GB2312" w:hAnsi="仿宋_GB2312" w:eastAsia="仿宋_GB2312"/>
          <w:spacing w:val="0"/>
          <w:kern w:val="2"/>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cs="仿宋_GB2312"/>
          <w:sz w:val="32"/>
          <w:szCs w:val="22"/>
        </w:rPr>
        <w:t>鉴于此，我局按照相关要求，开展</w:t>
      </w:r>
      <w:r>
        <w:rPr>
          <w:rFonts w:hint="eastAsia" w:ascii="仿宋_GB2312" w:hAnsi="仿宋_GB2312" w:eastAsia="仿宋_GB2312"/>
          <w:sz w:val="32"/>
          <w:szCs w:val="32"/>
        </w:rPr>
        <w:t>对</w:t>
      </w:r>
      <w:r>
        <w:rPr>
          <w:rFonts w:hint="eastAsia" w:ascii="仿宋_GB2312" w:hAnsi="仿宋_GB2312" w:eastAsia="仿宋_GB2312" w:cs="仿宋_GB2312"/>
          <w:sz w:val="32"/>
          <w:szCs w:val="22"/>
        </w:rPr>
        <w:t>深圳市生物医药创新产业园区标识牌</w:t>
      </w:r>
      <w:r>
        <w:rPr>
          <w:rFonts w:hint="eastAsia" w:ascii="仿宋_GB2312" w:hAnsi="仿宋_GB2312" w:eastAsia="仿宋_GB2312"/>
          <w:sz w:val="32"/>
          <w:szCs w:val="32"/>
        </w:rPr>
        <w:t>结构质量安全性进行检测鉴定。</w:t>
      </w:r>
    </w:p>
    <w:p>
      <w:pPr>
        <w:pStyle w:val="2"/>
        <w:keepNext w:val="0"/>
        <w:keepLines w:val="0"/>
        <w:pageBreakBefore w:val="0"/>
        <w:widowControl w:val="0"/>
        <w:kinsoku/>
        <w:wordWrap/>
        <w:overflowPunct/>
        <w:topLinePunct w:val="0"/>
        <w:autoSpaceDE/>
        <w:autoSpaceDN/>
        <w:bidi w:val="0"/>
        <w:snapToGrid/>
        <w:ind w:firstLine="520" w:firstLineChars="200"/>
      </w:pPr>
    </w:p>
    <w:p>
      <w:pPr>
        <w:pStyle w:val="3"/>
        <w:keepNext w:val="0"/>
        <w:keepLines w:val="0"/>
        <w:pageBreakBefore w:val="0"/>
        <w:widowControl w:val="0"/>
        <w:numPr>
          <w:ilvl w:val="0"/>
          <w:numId w:val="1"/>
        </w:numPr>
        <w:kinsoku/>
        <w:wordWrap/>
        <w:overflowPunct/>
        <w:topLinePunct w:val="0"/>
        <w:autoSpaceDE/>
        <w:autoSpaceDN/>
        <w:bidi w:val="0"/>
        <w:snapToGrid/>
        <w:spacing w:before="156" w:beforeLines="50" w:after="156" w:afterLines="50"/>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采购项目内容</w:t>
      </w:r>
    </w:p>
    <w:p>
      <w:pPr>
        <w:pStyle w:val="2"/>
        <w:keepNext w:val="0"/>
        <w:keepLines w:val="0"/>
        <w:pageBreakBefore w:val="0"/>
        <w:widowControl w:val="0"/>
        <w:kinsoku/>
        <w:wordWrap/>
        <w:overflowPunct/>
        <w:topLinePunct w:val="0"/>
        <w:autoSpaceDE/>
        <w:autoSpaceDN/>
        <w:bidi w:val="0"/>
        <w:snapToGrid/>
        <w:ind w:firstLine="640" w:firstLineChars="200"/>
        <w:rPr>
          <w:rFonts w:ascii="仿宋_GB2312" w:hAnsi="仿宋_GB2312" w:eastAsia="仿宋_GB2312"/>
          <w:spacing w:val="0"/>
          <w:kern w:val="2"/>
          <w:sz w:val="32"/>
          <w:szCs w:val="32"/>
        </w:rPr>
      </w:pPr>
      <w:r>
        <w:rPr>
          <w:rFonts w:hint="eastAsia" w:ascii="仿宋_GB2312" w:hAnsi="仿宋_GB2312" w:eastAsia="仿宋_GB2312"/>
          <w:spacing w:val="0"/>
          <w:kern w:val="2"/>
          <w:sz w:val="32"/>
          <w:szCs w:val="32"/>
        </w:rPr>
        <w:t>根据</w:t>
      </w:r>
      <w:r>
        <w:rPr>
          <w:rFonts w:ascii="仿宋_GB2312" w:hAnsi="仿宋_GB2312" w:eastAsia="仿宋_GB2312"/>
          <w:spacing w:val="0"/>
          <w:kern w:val="2"/>
          <w:sz w:val="32"/>
          <w:szCs w:val="32"/>
        </w:rPr>
        <w:t>《钢结构设计规范》（GB 50017-2003)</w:t>
      </w:r>
      <w:r>
        <w:rPr>
          <w:rFonts w:hint="eastAsia" w:ascii="仿宋_GB2312" w:hAnsi="仿宋_GB2312" w:eastAsia="仿宋_GB2312"/>
          <w:spacing w:val="0"/>
          <w:kern w:val="2"/>
          <w:sz w:val="32"/>
          <w:szCs w:val="32"/>
        </w:rPr>
        <w:t>、</w:t>
      </w:r>
      <w:r>
        <w:rPr>
          <w:rFonts w:ascii="仿宋_GB2312" w:hAnsi="仿宋_GB2312" w:eastAsia="仿宋_GB2312"/>
          <w:spacing w:val="0"/>
          <w:kern w:val="2"/>
          <w:sz w:val="32"/>
          <w:szCs w:val="32"/>
        </w:rPr>
        <w:t>《钢结构工程施工质量验收规范》（GB 50205-2001）</w:t>
      </w:r>
      <w:r>
        <w:rPr>
          <w:rFonts w:hint="eastAsia" w:ascii="仿宋_GB2312" w:hAnsi="仿宋_GB2312" w:eastAsia="仿宋_GB2312"/>
          <w:spacing w:val="0"/>
          <w:kern w:val="2"/>
          <w:sz w:val="32"/>
          <w:szCs w:val="32"/>
        </w:rPr>
        <w:t>、</w:t>
      </w:r>
      <w:r>
        <w:rPr>
          <w:rFonts w:ascii="仿宋_GB2312" w:hAnsi="仿宋_GB2312" w:eastAsia="仿宋_GB2312"/>
          <w:spacing w:val="0"/>
          <w:kern w:val="2"/>
          <w:sz w:val="32"/>
          <w:szCs w:val="32"/>
        </w:rPr>
        <w:t>《建筑结构荷载规范》（GB 50009-2012)</w:t>
      </w:r>
      <w:r>
        <w:rPr>
          <w:rFonts w:hint="eastAsia" w:ascii="仿宋_GB2312" w:hAnsi="仿宋_GB2312" w:eastAsia="仿宋_GB2312"/>
          <w:spacing w:val="0"/>
          <w:kern w:val="2"/>
          <w:sz w:val="32"/>
          <w:szCs w:val="32"/>
        </w:rPr>
        <w:t>、</w:t>
      </w:r>
      <w:r>
        <w:rPr>
          <w:rFonts w:ascii="仿宋_GB2312" w:hAnsi="仿宋_GB2312" w:eastAsia="仿宋_GB2312"/>
          <w:spacing w:val="0"/>
          <w:kern w:val="2"/>
          <w:sz w:val="32"/>
          <w:szCs w:val="32"/>
        </w:rPr>
        <w:t>《户外广告设施钢结构技术规程》(CECS 148:2003)</w:t>
      </w:r>
      <w:r>
        <w:rPr>
          <w:rFonts w:hint="eastAsia" w:ascii="仿宋_GB2312" w:hAnsi="仿宋_GB2312" w:eastAsia="仿宋_GB2312"/>
          <w:spacing w:val="0"/>
          <w:kern w:val="2"/>
          <w:sz w:val="32"/>
          <w:szCs w:val="32"/>
        </w:rPr>
        <w:t>等国家规范标准，对广告招牌进行如下方面检测：</w:t>
      </w:r>
    </w:p>
    <w:p>
      <w:pPr>
        <w:pStyle w:val="2"/>
        <w:keepNext w:val="0"/>
        <w:keepLines w:val="0"/>
        <w:pageBreakBefore w:val="0"/>
        <w:widowControl w:val="0"/>
        <w:numPr>
          <w:ilvl w:val="0"/>
          <w:numId w:val="2"/>
        </w:numPr>
        <w:kinsoku/>
        <w:wordWrap/>
        <w:overflowPunct/>
        <w:topLinePunct w:val="0"/>
        <w:autoSpaceDE/>
        <w:autoSpaceDN/>
        <w:bidi w:val="0"/>
        <w:snapToGrid/>
        <w:ind w:firstLine="640" w:firstLineChars="200"/>
        <w:rPr>
          <w:rFonts w:ascii="仿宋_GB2312" w:hAnsi="仿宋_GB2312" w:eastAsia="仿宋_GB2312"/>
          <w:spacing w:val="0"/>
          <w:kern w:val="2"/>
          <w:sz w:val="32"/>
          <w:szCs w:val="32"/>
        </w:rPr>
      </w:pPr>
      <w:r>
        <w:rPr>
          <w:rFonts w:hint="eastAsia" w:ascii="仿宋_GB2312" w:hAnsi="仿宋_GB2312" w:eastAsia="仿宋_GB2312"/>
          <w:spacing w:val="0"/>
          <w:kern w:val="2"/>
          <w:sz w:val="32"/>
          <w:szCs w:val="32"/>
        </w:rPr>
        <w:t>结构体系检查：对构筑物结构布置、轴线尺寸等情况进行检查；</w:t>
      </w:r>
    </w:p>
    <w:p>
      <w:pPr>
        <w:pStyle w:val="2"/>
        <w:keepNext w:val="0"/>
        <w:keepLines w:val="0"/>
        <w:pageBreakBefore w:val="0"/>
        <w:widowControl w:val="0"/>
        <w:numPr>
          <w:ilvl w:val="0"/>
          <w:numId w:val="2"/>
        </w:numPr>
        <w:kinsoku/>
        <w:wordWrap/>
        <w:overflowPunct/>
        <w:topLinePunct w:val="0"/>
        <w:autoSpaceDE/>
        <w:autoSpaceDN/>
        <w:bidi w:val="0"/>
        <w:snapToGrid/>
        <w:ind w:firstLine="640" w:firstLineChars="200"/>
        <w:rPr>
          <w:rFonts w:ascii="仿宋_GB2312" w:hAnsi="仿宋_GB2312" w:eastAsia="仿宋_GB2312"/>
          <w:spacing w:val="0"/>
          <w:kern w:val="2"/>
          <w:sz w:val="32"/>
          <w:szCs w:val="32"/>
        </w:rPr>
      </w:pPr>
      <w:r>
        <w:rPr>
          <w:rFonts w:hint="eastAsia" w:ascii="仿宋_GB2312" w:hAnsi="仿宋_GB2312" w:eastAsia="仿宋_GB2312"/>
          <w:spacing w:val="0"/>
          <w:kern w:val="2"/>
          <w:sz w:val="32"/>
          <w:szCs w:val="32"/>
        </w:rPr>
        <w:t>对钢结构主要构件尺寸进行检测；</w:t>
      </w:r>
    </w:p>
    <w:p>
      <w:pPr>
        <w:pStyle w:val="2"/>
        <w:keepNext w:val="0"/>
        <w:keepLines w:val="0"/>
        <w:pageBreakBefore w:val="0"/>
        <w:widowControl w:val="0"/>
        <w:numPr>
          <w:ilvl w:val="0"/>
          <w:numId w:val="2"/>
        </w:numPr>
        <w:kinsoku/>
        <w:wordWrap/>
        <w:overflowPunct/>
        <w:topLinePunct w:val="0"/>
        <w:autoSpaceDE/>
        <w:autoSpaceDN/>
        <w:bidi w:val="0"/>
        <w:snapToGrid/>
        <w:ind w:firstLine="640" w:firstLineChars="200"/>
        <w:rPr>
          <w:rFonts w:ascii="仿宋_GB2312" w:hAnsi="仿宋_GB2312" w:eastAsia="仿宋_GB2312"/>
          <w:spacing w:val="0"/>
          <w:kern w:val="2"/>
          <w:sz w:val="32"/>
          <w:szCs w:val="32"/>
        </w:rPr>
      </w:pPr>
      <w:r>
        <w:rPr>
          <w:rFonts w:hint="eastAsia" w:ascii="仿宋_GB2312" w:hAnsi="仿宋_GB2312" w:eastAsia="仿宋_GB2312"/>
          <w:spacing w:val="0"/>
          <w:kern w:val="2"/>
          <w:sz w:val="32"/>
          <w:szCs w:val="32"/>
        </w:rPr>
        <w:t>对钢结构外观变形、锈蚀情况检查；</w:t>
      </w:r>
    </w:p>
    <w:p>
      <w:pPr>
        <w:pStyle w:val="2"/>
        <w:keepNext w:val="0"/>
        <w:keepLines w:val="0"/>
        <w:pageBreakBefore w:val="0"/>
        <w:widowControl w:val="0"/>
        <w:numPr>
          <w:ilvl w:val="0"/>
          <w:numId w:val="2"/>
        </w:numPr>
        <w:kinsoku/>
        <w:wordWrap/>
        <w:overflowPunct/>
        <w:topLinePunct w:val="0"/>
        <w:autoSpaceDE/>
        <w:autoSpaceDN/>
        <w:bidi w:val="0"/>
        <w:snapToGrid/>
        <w:ind w:firstLine="640" w:firstLineChars="200"/>
        <w:rPr>
          <w:rFonts w:ascii="仿宋_GB2312" w:hAnsi="仿宋_GB2312" w:eastAsia="仿宋_GB2312"/>
          <w:spacing w:val="0"/>
          <w:kern w:val="2"/>
          <w:sz w:val="32"/>
          <w:szCs w:val="32"/>
        </w:rPr>
      </w:pPr>
      <w:r>
        <w:rPr>
          <w:rFonts w:hint="eastAsia" w:ascii="仿宋_GB2312" w:hAnsi="仿宋_GB2312" w:eastAsia="仿宋_GB2312"/>
          <w:spacing w:val="0"/>
          <w:kern w:val="2"/>
          <w:sz w:val="32"/>
          <w:szCs w:val="32"/>
        </w:rPr>
        <w:t>检查钢结构的损伤情况；</w:t>
      </w:r>
    </w:p>
    <w:p>
      <w:pPr>
        <w:pStyle w:val="2"/>
        <w:keepNext w:val="0"/>
        <w:keepLines w:val="0"/>
        <w:pageBreakBefore w:val="0"/>
        <w:widowControl w:val="0"/>
        <w:numPr>
          <w:ilvl w:val="0"/>
          <w:numId w:val="2"/>
        </w:numPr>
        <w:kinsoku/>
        <w:wordWrap/>
        <w:overflowPunct/>
        <w:topLinePunct w:val="0"/>
        <w:autoSpaceDE/>
        <w:autoSpaceDN/>
        <w:bidi w:val="0"/>
        <w:snapToGrid/>
        <w:ind w:firstLine="640" w:firstLineChars="200"/>
        <w:rPr>
          <w:rFonts w:ascii="仿宋_GB2312" w:hAnsi="仿宋_GB2312" w:eastAsia="仿宋_GB2312"/>
          <w:spacing w:val="0"/>
          <w:kern w:val="2"/>
          <w:sz w:val="32"/>
          <w:szCs w:val="32"/>
        </w:rPr>
      </w:pPr>
      <w:r>
        <w:rPr>
          <w:rFonts w:hint="eastAsia" w:ascii="仿宋_GB2312" w:hAnsi="仿宋_GB2312" w:eastAsia="仿宋_GB2312"/>
          <w:spacing w:val="0"/>
          <w:kern w:val="2"/>
          <w:sz w:val="32"/>
          <w:szCs w:val="32"/>
        </w:rPr>
        <w:t>对广告牌电气线路情况进行检测；</w:t>
      </w:r>
    </w:p>
    <w:p>
      <w:pPr>
        <w:pStyle w:val="2"/>
        <w:keepNext w:val="0"/>
        <w:keepLines w:val="0"/>
        <w:pageBreakBefore w:val="0"/>
        <w:widowControl w:val="0"/>
        <w:numPr>
          <w:ilvl w:val="0"/>
          <w:numId w:val="2"/>
        </w:numPr>
        <w:kinsoku/>
        <w:wordWrap/>
        <w:overflowPunct/>
        <w:topLinePunct w:val="0"/>
        <w:autoSpaceDE/>
        <w:autoSpaceDN/>
        <w:bidi w:val="0"/>
        <w:snapToGrid/>
        <w:ind w:firstLine="640" w:firstLineChars="200"/>
        <w:rPr>
          <w:rFonts w:ascii="仿宋_GB2312" w:hAnsi="仿宋_GB2312" w:eastAsia="仿宋_GB2312"/>
          <w:spacing w:val="0"/>
          <w:kern w:val="2"/>
          <w:sz w:val="32"/>
          <w:szCs w:val="32"/>
        </w:rPr>
      </w:pPr>
      <w:r>
        <w:rPr>
          <w:rFonts w:hint="eastAsia" w:ascii="仿宋_GB2312" w:hAnsi="仿宋_GB2312" w:eastAsia="仿宋_GB2312"/>
          <w:spacing w:val="0"/>
          <w:kern w:val="2"/>
          <w:sz w:val="32"/>
          <w:szCs w:val="32"/>
        </w:rPr>
        <w:t>根据实际检测结果以及相关资料对结构进行验算，给出安全性鉴定结论和使用建议。</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sz w:val="32"/>
          <w:szCs w:val="22"/>
        </w:rPr>
      </w:pPr>
    </w:p>
    <w:p>
      <w:pPr>
        <w:pStyle w:val="3"/>
        <w:keepNext w:val="0"/>
        <w:keepLines w:val="0"/>
        <w:pageBreakBefore w:val="0"/>
        <w:widowControl w:val="0"/>
        <w:numPr>
          <w:ilvl w:val="0"/>
          <w:numId w:val="1"/>
        </w:numPr>
        <w:kinsoku/>
        <w:wordWrap/>
        <w:overflowPunct/>
        <w:topLinePunct w:val="0"/>
        <w:autoSpaceDE/>
        <w:autoSpaceDN/>
        <w:bidi w:val="0"/>
        <w:snapToGrid/>
        <w:spacing w:before="156" w:beforeLines="50" w:after="156" w:afterLines="50"/>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商务需求</w:t>
      </w:r>
    </w:p>
    <w:p>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640" w:firstLineChars="200"/>
        <w:jc w:val="lef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 xml:space="preserve">服务期：签订合同起至2022年11月30日 </w:t>
      </w:r>
    </w:p>
    <w:p>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640" w:firstLineChars="200"/>
        <w:jc w:val="lef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服务地点：深圳市生物医药创新产业园区</w:t>
      </w:r>
    </w:p>
    <w:p>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640" w:firstLineChars="200"/>
        <w:jc w:val="left"/>
        <w:rPr>
          <w:rFonts w:hint="eastAsia"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预算限额：</w:t>
      </w:r>
      <w:r>
        <w:rPr>
          <w:rFonts w:hint="eastAsia" w:ascii="仿宋_GB2312" w:hAnsi="仿宋_GB2312" w:eastAsia="仿宋_GB2312" w:cs="仿宋_GB2312"/>
          <w:sz w:val="32"/>
          <w:szCs w:val="22"/>
          <w:lang w:val="en-US" w:eastAsia="zh-CN"/>
        </w:rPr>
        <w:t>7.5万元</w:t>
      </w:r>
    </w:p>
    <w:p>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640" w:firstLineChars="200"/>
        <w:jc w:val="lef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截止响应时间：2022年 11月</w:t>
      </w:r>
      <w:r>
        <w:rPr>
          <w:rFonts w:hint="eastAsia" w:ascii="仿宋_GB2312" w:hAnsi="仿宋_GB2312" w:eastAsia="仿宋_GB2312" w:cs="仿宋_GB2312"/>
          <w:sz w:val="32"/>
          <w:szCs w:val="22"/>
          <w:lang w:val="en-US" w:eastAsia="zh-CN"/>
        </w:rPr>
        <w:t>4</w:t>
      </w:r>
      <w:r>
        <w:rPr>
          <w:rFonts w:hint="eastAsia" w:ascii="仿宋_GB2312" w:hAnsi="仿宋_GB2312" w:eastAsia="仿宋_GB2312" w:cs="仿宋_GB2312"/>
          <w:sz w:val="32"/>
          <w:szCs w:val="22"/>
        </w:rPr>
        <w:t>日</w:t>
      </w:r>
    </w:p>
    <w:p>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640" w:firstLineChars="200"/>
        <w:jc w:val="lef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报价要求：</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1.本项目服务费采用包干制，应包括服务成本、法定税费和企业的利润。由企业根据采购文件所提供的资料自行测算投标报价；一经中选，报价总价作为中选单位与采购人签定的合同金额，合同期限内不做调整；</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2.响应人应根据本企业的成本自行决定报价，但不得以低于其企业成本的报价投标；</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3.响应人的报价不得超过财政预算限额；</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4.响应人的报价，应是本项目采购范围和采购文件及合同条款上所列的各项内容中所述的全部，不得以任何理由予以重复，并以响应人最终提出的综合单价或总价为依据；</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22"/>
        </w:rPr>
        <w:t>5.除非采购人通过修改采购文件予以更正，否则，响应</w:t>
      </w:r>
      <w:r>
        <w:rPr>
          <w:rFonts w:hint="eastAsia" w:ascii="仿宋_GB2312" w:hAnsi="仿宋_GB2312" w:eastAsia="仿宋_GB2312" w:cs="仿宋_GB2312"/>
          <w:sz w:val="32"/>
          <w:szCs w:val="32"/>
        </w:rPr>
        <w:t>人应毫无例外地按响应文件所列的清单中项目和数量填报综合单价和合价。响应人未填综合单价或合价的项目，在实施后，将不得以支付，并视作该项费用已包括在其它有价款的综合单价或合价内；</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6.响应人应先到项目地点踏勘以充分了解项目的位置、情况、道路及任何其它足以影响投标报价的情况，任何因忽视或误解项目情况而导致的索赔或服务期限延长申请将不获批准；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7.响应人不得期望通过索赔等方式获取补偿，否则，除可能遭到拒绝外，还可能将被作为不良行为记录在案，并可能影响其以后参加政府采购的项目投标。各响应人在报价时，应充分考虑报价的风险。</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rPr>
        <w:t>8.付款方式：项目整体经甲方验收合格后，一次性支付全部合同金额；</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9.履约担保金：无</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10.违约责任：无</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11.其他：采购项目响应文件中需包含《深圳市坪山区科创局采购项目登记表》，应当真实完整填写信息并加具公章。</w:t>
      </w:r>
    </w:p>
    <w:p>
      <w:pPr>
        <w:pStyle w:val="2"/>
        <w:keepNext w:val="0"/>
        <w:keepLines w:val="0"/>
        <w:pageBreakBefore w:val="0"/>
        <w:widowControl w:val="0"/>
        <w:kinsoku/>
        <w:wordWrap/>
        <w:overflowPunct/>
        <w:topLinePunct w:val="0"/>
        <w:autoSpaceDE/>
        <w:autoSpaceDN/>
        <w:bidi w:val="0"/>
        <w:snapToGrid/>
        <w:ind w:firstLine="680" w:firstLineChars="200"/>
        <w:rPr>
          <w:rFonts w:ascii="仿宋" w:hAnsi="仿宋" w:eastAsia="仿宋" w:cs="仿宋"/>
          <w:sz w:val="32"/>
          <w:szCs w:val="32"/>
        </w:rPr>
      </w:pPr>
    </w:p>
    <w:p>
      <w:pPr>
        <w:pStyle w:val="3"/>
        <w:keepNext w:val="0"/>
        <w:keepLines w:val="0"/>
        <w:pageBreakBefore w:val="0"/>
        <w:widowControl w:val="0"/>
        <w:numPr>
          <w:ilvl w:val="0"/>
          <w:numId w:val="1"/>
        </w:numPr>
        <w:kinsoku/>
        <w:wordWrap/>
        <w:overflowPunct/>
        <w:topLinePunct w:val="0"/>
        <w:autoSpaceDE/>
        <w:autoSpaceDN/>
        <w:bidi w:val="0"/>
        <w:snapToGrid/>
        <w:spacing w:before="156" w:beforeLines="50" w:after="156" w:afterLines="50"/>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rPr>
        <w:t>评标方法</w:t>
      </w:r>
    </w:p>
    <w:p>
      <w:pPr>
        <w:keepNext w:val="0"/>
        <w:keepLines w:val="0"/>
        <w:pageBreakBefore w:val="0"/>
        <w:widowControl w:val="0"/>
        <w:kinsoku/>
        <w:wordWrap/>
        <w:overflowPunct/>
        <w:topLinePunct w:val="0"/>
        <w:autoSpaceDE/>
        <w:autoSpaceDN/>
        <w:bidi w:val="0"/>
        <w:snapToGrid/>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评分细则表</w:t>
      </w:r>
    </w:p>
    <w:tbl>
      <w:tblPr>
        <w:tblStyle w:val="9"/>
        <w:tblW w:w="908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245"/>
        <w:gridCol w:w="881"/>
        <w:gridCol w:w="62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082" w:type="dxa"/>
            <w:gridSpan w:val="4"/>
            <w:vAlign w:val="center"/>
          </w:tcPr>
          <w:p>
            <w:pPr>
              <w:autoSpaceDE w:val="0"/>
              <w:autoSpaceDN w:val="0"/>
              <w:adjustRightIn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评分项及评分规则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9082" w:type="dxa"/>
            <w:gridSpan w:val="4"/>
            <w:vAlign w:val="center"/>
          </w:tcPr>
          <w:p>
            <w:pPr>
              <w:autoSpaceDE w:val="0"/>
              <w:autoSpaceDN w:val="0"/>
              <w:adjustRightInd w:val="0"/>
              <w:jc w:val="center"/>
              <w:rPr>
                <w:rFonts w:asciiTheme="majorEastAsia" w:hAnsiTheme="majorEastAsia" w:eastAsiaTheme="majorEastAsia"/>
                <w:b/>
                <w:szCs w:val="21"/>
                <w:lang w:val="zh-CN"/>
              </w:rPr>
            </w:pPr>
            <w:r>
              <w:rPr>
                <w:rFonts w:hint="eastAsia" w:asciiTheme="majorEastAsia" w:hAnsiTheme="majorEastAsia" w:eastAsiaTheme="majorEastAsia"/>
                <w:b/>
                <w:szCs w:val="21"/>
                <w:lang w:val="zh-CN"/>
              </w:rPr>
              <w:t>一、价格部分（</w:t>
            </w:r>
            <w:r>
              <w:rPr>
                <w:rFonts w:asciiTheme="majorEastAsia" w:hAnsiTheme="majorEastAsia" w:eastAsiaTheme="majorEastAsia"/>
                <w:b/>
                <w:szCs w:val="21"/>
              </w:rPr>
              <w:t>2</w:t>
            </w:r>
            <w:r>
              <w:rPr>
                <w:rFonts w:hint="eastAsia" w:asciiTheme="majorEastAsia" w:hAnsiTheme="majorEastAsia" w:eastAsiaTheme="majorEastAsia"/>
                <w:b/>
                <w:szCs w:val="21"/>
              </w:rPr>
              <w:t>0分</w:t>
            </w:r>
            <w:r>
              <w:rPr>
                <w:rFonts w:hint="eastAsia" w:asciiTheme="majorEastAsia" w:hAnsiTheme="majorEastAsia" w:eastAsiaTheme="majorEastAsia"/>
                <w:b/>
                <w:szCs w:val="21"/>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9082" w:type="dxa"/>
            <w:gridSpan w:val="4"/>
            <w:vAlign w:val="center"/>
          </w:tcPr>
          <w:p>
            <w:pPr>
              <w:autoSpaceDE w:val="0"/>
              <w:autoSpaceDN w:val="0"/>
              <w:adjustRightInd w:val="0"/>
              <w:ind w:firstLine="420" w:firstLineChars="200"/>
              <w:jc w:val="left"/>
              <w:rPr>
                <w:rFonts w:asciiTheme="majorEastAsia" w:hAnsiTheme="majorEastAsia" w:eastAsiaTheme="majorEastAsia"/>
                <w:szCs w:val="21"/>
              </w:rPr>
            </w:pPr>
            <w:r>
              <w:rPr>
                <w:rFonts w:asciiTheme="majorEastAsia" w:hAnsiTheme="majorEastAsia" w:eastAsiaTheme="majorEastAsia"/>
                <w:szCs w:val="21"/>
              </w:rPr>
              <w:t>综合评分法中的价格分统一采用低价优先法计算,即满足招标文件要求且投标价格最低的投标报价为评标基准价,其价格分为满分。其他投标人所投产品品牌的价格分统一按照下列公式计算</w:t>
            </w:r>
            <w:r>
              <w:rPr>
                <w:rFonts w:hint="eastAsia" w:asciiTheme="majorEastAsia" w:hAnsiTheme="majorEastAsia" w:eastAsiaTheme="majorEastAsia"/>
                <w:szCs w:val="21"/>
              </w:rPr>
              <w:t>：</w:t>
            </w:r>
            <w:r>
              <w:rPr>
                <w:rFonts w:asciiTheme="majorEastAsia" w:hAnsiTheme="majorEastAsia" w:eastAsiaTheme="majorEastAsia"/>
                <w:szCs w:val="21"/>
              </w:rPr>
              <w:t>投标报价得分=(评标基准价/投标报价)×</w:t>
            </w:r>
            <w:r>
              <w:rPr>
                <w:rFonts w:hint="eastAsia" w:asciiTheme="majorEastAsia" w:hAnsiTheme="majorEastAsia" w:eastAsiaTheme="majorEastAsia"/>
                <w:szCs w:val="21"/>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082" w:type="dxa"/>
            <w:gridSpan w:val="4"/>
            <w:vAlign w:val="center"/>
          </w:tcPr>
          <w:p>
            <w:pPr>
              <w:autoSpaceDE w:val="0"/>
              <w:autoSpaceDN w:val="0"/>
              <w:adjustRightInd w:val="0"/>
              <w:jc w:val="center"/>
              <w:rPr>
                <w:rFonts w:asciiTheme="majorEastAsia" w:hAnsiTheme="majorEastAsia" w:eastAsiaTheme="majorEastAsia"/>
                <w:b/>
                <w:szCs w:val="21"/>
              </w:rPr>
            </w:pPr>
            <w:r>
              <w:rPr>
                <w:rFonts w:hint="eastAsia" w:asciiTheme="majorEastAsia" w:hAnsiTheme="majorEastAsia" w:eastAsiaTheme="majorEastAsia"/>
                <w:b/>
                <w:szCs w:val="21"/>
                <w:lang w:val="zh-CN"/>
              </w:rPr>
              <w:t>二、商务</w:t>
            </w:r>
            <w:r>
              <w:rPr>
                <w:rFonts w:hint="eastAsia" w:asciiTheme="majorEastAsia" w:hAnsiTheme="majorEastAsia" w:eastAsiaTheme="majorEastAsia"/>
                <w:b/>
                <w:szCs w:val="21"/>
              </w:rPr>
              <w:t>技术</w:t>
            </w:r>
            <w:r>
              <w:rPr>
                <w:rFonts w:hint="eastAsia" w:asciiTheme="majorEastAsia" w:hAnsiTheme="majorEastAsia" w:eastAsiaTheme="majorEastAsia"/>
                <w:b/>
                <w:szCs w:val="21"/>
                <w:lang w:val="zh-CN"/>
              </w:rPr>
              <w:t>部分（</w:t>
            </w:r>
            <w:r>
              <w:rPr>
                <w:rFonts w:asciiTheme="majorEastAsia" w:hAnsiTheme="majorEastAsia" w:eastAsiaTheme="majorEastAsia"/>
                <w:b/>
                <w:szCs w:val="21"/>
              </w:rPr>
              <w:t>8</w:t>
            </w:r>
            <w:r>
              <w:rPr>
                <w:rFonts w:hint="eastAsia" w:asciiTheme="majorEastAsia" w:hAnsiTheme="majorEastAsia" w:eastAsiaTheme="majorEastAsia"/>
                <w:b/>
                <w:szCs w:val="21"/>
              </w:rPr>
              <w:t>0分</w:t>
            </w:r>
            <w:r>
              <w:rPr>
                <w:rFonts w:hint="eastAsia" w:asciiTheme="majorEastAsia" w:hAnsiTheme="majorEastAsia" w:eastAsiaTheme="majorEastAsia"/>
                <w:b/>
                <w:szCs w:val="21"/>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01"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lang w:val="zh-CN"/>
              </w:rPr>
              <w:t>序号</w:t>
            </w:r>
          </w:p>
        </w:tc>
        <w:tc>
          <w:tcPr>
            <w:tcW w:w="1245"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lang w:val="zh-CN"/>
              </w:rPr>
              <w:t>内容</w:t>
            </w:r>
          </w:p>
        </w:tc>
        <w:tc>
          <w:tcPr>
            <w:tcW w:w="881"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lang w:val="zh-CN"/>
              </w:rPr>
              <w:t>权重</w:t>
            </w:r>
          </w:p>
        </w:tc>
        <w:tc>
          <w:tcPr>
            <w:tcW w:w="6255"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lang w:val="zh-CN"/>
              </w:rPr>
              <w:t>评分规则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3" w:hRule="atLeast"/>
          <w:jc w:val="center"/>
        </w:trPr>
        <w:tc>
          <w:tcPr>
            <w:tcW w:w="701" w:type="dxa"/>
            <w:vAlign w:val="center"/>
          </w:tcPr>
          <w:p>
            <w:pPr>
              <w:autoSpaceDE w:val="0"/>
              <w:autoSpaceDN w:val="0"/>
              <w:adjustRightInd w:val="0"/>
              <w:rPr>
                <w:rFonts w:asciiTheme="majorEastAsia" w:hAnsiTheme="majorEastAsia" w:eastAsiaTheme="majorEastAsia"/>
                <w:szCs w:val="21"/>
                <w:lang w:val="zh-CN"/>
              </w:rPr>
            </w:pPr>
            <w:r>
              <w:rPr>
                <w:rFonts w:asciiTheme="majorEastAsia" w:hAnsiTheme="majorEastAsia" w:eastAsiaTheme="majorEastAsia"/>
                <w:szCs w:val="21"/>
                <w:lang w:val="zh-CN"/>
              </w:rPr>
              <w:t>1</w:t>
            </w:r>
          </w:p>
        </w:tc>
        <w:tc>
          <w:tcPr>
            <w:tcW w:w="1245" w:type="dxa"/>
            <w:vAlign w:val="center"/>
          </w:tcPr>
          <w:p>
            <w:pPr>
              <w:autoSpaceDE w:val="0"/>
              <w:autoSpaceDN w:val="0"/>
              <w:spacing w:line="320" w:lineRule="exact"/>
              <w:jc w:val="center"/>
              <w:rPr>
                <w:rFonts w:asciiTheme="majorEastAsia" w:hAnsiTheme="majorEastAsia" w:eastAsiaTheme="majorEastAsia"/>
                <w:szCs w:val="21"/>
              </w:rPr>
            </w:pPr>
            <w:r>
              <w:rPr>
                <w:rFonts w:hint="eastAsia" w:asciiTheme="majorEastAsia" w:hAnsiTheme="majorEastAsia" w:eastAsiaTheme="majorEastAsia"/>
                <w:szCs w:val="21"/>
              </w:rPr>
              <w:t>企业综合实力</w:t>
            </w:r>
          </w:p>
        </w:tc>
        <w:tc>
          <w:tcPr>
            <w:tcW w:w="881"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rPr>
              <w:t>26</w:t>
            </w:r>
          </w:p>
        </w:tc>
        <w:tc>
          <w:tcPr>
            <w:tcW w:w="6255" w:type="dxa"/>
            <w:vAlign w:val="center"/>
          </w:tcPr>
          <w:p>
            <w:pPr>
              <w:wordWrap w:val="0"/>
              <w:rPr>
                <w:rFonts w:asciiTheme="majorEastAsia" w:hAnsiTheme="majorEastAsia" w:eastAsiaTheme="majorEastAsia"/>
                <w:szCs w:val="21"/>
              </w:rPr>
            </w:pPr>
            <w:r>
              <w:rPr>
                <w:rFonts w:asciiTheme="majorEastAsia" w:hAnsiTheme="majorEastAsia" w:eastAsiaTheme="majorEastAsia"/>
                <w:szCs w:val="21"/>
              </w:rPr>
              <w:t xml:space="preserve">根据投标人获得的资质认证进行评价： </w:t>
            </w:r>
          </w:p>
          <w:p>
            <w:pPr>
              <w:widowControl/>
              <w:adjustRightInd w:val="0"/>
              <w:snapToGrid w:val="0"/>
              <w:rPr>
                <w:rFonts w:ascii="宋体" w:hAnsi="宋体"/>
              </w:rPr>
            </w:pPr>
            <w:r>
              <w:rPr>
                <w:rFonts w:asciiTheme="majorEastAsia" w:hAnsiTheme="majorEastAsia" w:eastAsiaTheme="majorEastAsia"/>
                <w:szCs w:val="21"/>
              </w:rPr>
              <w:t xml:space="preserve">1. </w:t>
            </w:r>
            <w:r>
              <w:rPr>
                <w:rFonts w:hint="eastAsia" w:ascii="宋体" w:hAnsi="宋体" w:eastAsiaTheme="majorEastAsia"/>
              </w:rPr>
              <w:t>投标人</w:t>
            </w:r>
            <w:r>
              <w:rPr>
                <w:rFonts w:hint="eastAsia" w:ascii="宋体" w:hAnsi="宋体"/>
              </w:rPr>
              <w:t>具有有效期内的质量管理体系认证证书、环境管理体系认证证书以及职业健康安全管理体系认证证书得6分。</w:t>
            </w:r>
          </w:p>
          <w:p>
            <w:pPr>
              <w:spacing w:line="276" w:lineRule="auto"/>
              <w:rPr>
                <w:rFonts w:asciiTheme="majorEastAsia" w:hAnsiTheme="majorEastAsia" w:eastAsiaTheme="majorEastAsia"/>
                <w:szCs w:val="21"/>
              </w:rPr>
            </w:pPr>
            <w:r>
              <w:rPr>
                <w:rFonts w:hint="eastAsia" w:ascii="宋体" w:hAnsi="宋体"/>
              </w:rPr>
              <w:t>注：提供相关证明材料的复印件并加盖公章，无提供不得分。</w:t>
            </w:r>
            <w:r>
              <w:rPr>
                <w:rFonts w:hint="eastAsia" w:cs="宋体" w:asciiTheme="majorEastAsia" w:hAnsiTheme="majorEastAsia" w:eastAsiaTheme="majorEastAsia"/>
                <w:szCs w:val="21"/>
              </w:rPr>
              <w:t xml:space="preserve">； </w:t>
            </w:r>
            <w:r>
              <w:rPr>
                <w:rFonts w:asciiTheme="majorEastAsia" w:hAnsiTheme="majorEastAsia" w:eastAsiaTheme="majorEastAsia"/>
                <w:szCs w:val="21"/>
              </w:rPr>
              <w:t xml:space="preserve"> </w:t>
            </w:r>
          </w:p>
          <w:p>
            <w:pPr>
              <w:wordWrap w:val="0"/>
              <w:rPr>
                <w:rFonts w:asciiTheme="majorEastAsia" w:hAnsiTheme="majorEastAsia" w:eastAsiaTheme="majorEastAsia"/>
                <w:szCs w:val="21"/>
              </w:rPr>
            </w:pPr>
            <w:r>
              <w:rPr>
                <w:rFonts w:asciiTheme="majorEastAsia" w:hAnsiTheme="majorEastAsia" w:eastAsiaTheme="majorEastAsia"/>
                <w:szCs w:val="21"/>
              </w:rPr>
              <w:t>2. 投标人</w:t>
            </w:r>
            <w:r>
              <w:rPr>
                <w:rFonts w:hint="eastAsia" w:asciiTheme="majorEastAsia" w:hAnsiTheme="majorEastAsia" w:eastAsiaTheme="majorEastAsia"/>
              </w:rPr>
              <w:t>具有CMA计量认证资质证书得15分</w:t>
            </w:r>
            <w:r>
              <w:rPr>
                <w:rFonts w:asciiTheme="majorEastAsia" w:hAnsiTheme="majorEastAsia" w:eastAsiaTheme="majorEastAsia"/>
                <w:szCs w:val="21"/>
              </w:rPr>
              <w:t>；提供证书扫描件</w:t>
            </w:r>
            <w:r>
              <w:rPr>
                <w:rFonts w:hint="eastAsia" w:asciiTheme="majorEastAsia" w:hAnsiTheme="majorEastAsia" w:eastAsiaTheme="majorEastAsia"/>
                <w:szCs w:val="21"/>
              </w:rPr>
              <w:t>并加盖公章</w:t>
            </w:r>
            <w:r>
              <w:rPr>
                <w:rFonts w:asciiTheme="majorEastAsia" w:hAnsiTheme="majorEastAsia" w:eastAsiaTheme="majorEastAsia"/>
                <w:szCs w:val="21"/>
              </w:rPr>
              <w:t xml:space="preserve">。 </w:t>
            </w:r>
          </w:p>
          <w:p>
            <w:pPr>
              <w:wordWrap w:val="0"/>
              <w:rPr>
                <w:rFonts w:asciiTheme="majorEastAsia" w:hAnsiTheme="majorEastAsia" w:eastAsiaTheme="majorEastAsia"/>
                <w:szCs w:val="21"/>
              </w:rPr>
            </w:pPr>
            <w:r>
              <w:rPr>
                <w:rFonts w:asciiTheme="majorEastAsia" w:hAnsiTheme="majorEastAsia" w:eastAsiaTheme="majorEastAsia"/>
                <w:szCs w:val="21"/>
              </w:rPr>
              <w:t>3.投标人具备</w:t>
            </w:r>
            <w:r>
              <w:rPr>
                <w:rFonts w:hint="eastAsia" w:asciiTheme="majorEastAsia" w:hAnsiTheme="majorEastAsia" w:eastAsiaTheme="majorEastAsia"/>
                <w:szCs w:val="21"/>
              </w:rPr>
              <w:t>AAA企业信用等级</w:t>
            </w:r>
            <w:r>
              <w:rPr>
                <w:rFonts w:asciiTheme="majorEastAsia" w:hAnsiTheme="majorEastAsia" w:eastAsiaTheme="majorEastAsia"/>
                <w:szCs w:val="21"/>
              </w:rPr>
              <w:t>证书的得</w:t>
            </w:r>
            <w:r>
              <w:rPr>
                <w:rFonts w:hint="eastAsia" w:asciiTheme="majorEastAsia" w:hAnsiTheme="majorEastAsia" w:eastAsiaTheme="majorEastAsia"/>
                <w:szCs w:val="21"/>
              </w:rPr>
              <w:t>5</w:t>
            </w:r>
            <w:r>
              <w:rPr>
                <w:rFonts w:asciiTheme="majorEastAsia" w:hAnsiTheme="majorEastAsia" w:eastAsiaTheme="majorEastAsia"/>
                <w:szCs w:val="21"/>
              </w:rPr>
              <w:t>分</w:t>
            </w:r>
            <w:r>
              <w:rPr>
                <w:rFonts w:asciiTheme="majorEastAsia" w:hAnsiTheme="majorEastAsia" w:eastAsiaTheme="majorEastAsia"/>
              </w:rPr>
              <w:t>（提供证书扫描件</w:t>
            </w:r>
            <w:r>
              <w:rPr>
                <w:rFonts w:hint="eastAsia" w:asciiTheme="majorEastAsia" w:hAnsiTheme="majorEastAsia" w:eastAsiaTheme="majorEastAsia"/>
              </w:rPr>
              <w:t>及</w:t>
            </w:r>
            <w:r>
              <w:rPr>
                <w:rFonts w:asciiTheme="majorEastAsia" w:hAnsiTheme="majorEastAsia" w:eastAsiaTheme="majorEastAsia"/>
              </w:rPr>
              <w:t>全国认证认可信息公共服务平台查询结果）</w:t>
            </w:r>
            <w:r>
              <w:rPr>
                <w:rFonts w:hint="eastAsia" w:cs="宋体" w:asciiTheme="majorEastAsia" w:hAnsiTheme="majorEastAsia" w:eastAsiaTheme="majorEastAsia"/>
                <w:szCs w:val="21"/>
              </w:rPr>
              <w:t>，无或其他情况不得分。</w:t>
            </w:r>
            <w:r>
              <w:rPr>
                <w:rFonts w:asciiTheme="majorEastAsia" w:hAnsiTheme="majorEastAsia" w:eastAsiaTheme="major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2" w:hRule="atLeast"/>
          <w:jc w:val="center"/>
        </w:trPr>
        <w:tc>
          <w:tcPr>
            <w:tcW w:w="701" w:type="dxa"/>
            <w:vAlign w:val="center"/>
          </w:tcPr>
          <w:p>
            <w:pPr>
              <w:autoSpaceDE w:val="0"/>
              <w:autoSpaceDN w:val="0"/>
              <w:adjustRightInd w:val="0"/>
              <w:rPr>
                <w:rFonts w:asciiTheme="majorEastAsia" w:hAnsiTheme="majorEastAsia" w:eastAsiaTheme="majorEastAsia"/>
                <w:color w:val="FF0000"/>
                <w:szCs w:val="21"/>
              </w:rPr>
            </w:pPr>
            <w:r>
              <w:rPr>
                <w:rFonts w:asciiTheme="majorEastAsia" w:hAnsiTheme="majorEastAsia" w:eastAsiaTheme="majorEastAsia"/>
                <w:szCs w:val="21"/>
                <w:lang w:val="zh-CN"/>
              </w:rPr>
              <w:t>2</w:t>
            </w:r>
          </w:p>
        </w:tc>
        <w:tc>
          <w:tcPr>
            <w:tcW w:w="1245"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rPr>
              <w:t>团队</w:t>
            </w:r>
            <w:r>
              <w:rPr>
                <w:rFonts w:asciiTheme="majorEastAsia" w:hAnsiTheme="majorEastAsia" w:eastAsiaTheme="majorEastAsia"/>
                <w:szCs w:val="21"/>
              </w:rPr>
              <w:t>力量</w:t>
            </w:r>
          </w:p>
        </w:tc>
        <w:tc>
          <w:tcPr>
            <w:tcW w:w="881" w:type="dxa"/>
            <w:vAlign w:val="center"/>
          </w:tcPr>
          <w:p>
            <w:pPr>
              <w:autoSpaceDE w:val="0"/>
              <w:autoSpaceDN w:val="0"/>
              <w:adjustRightInd w:val="0"/>
              <w:jc w:val="center"/>
              <w:rPr>
                <w:rFonts w:asciiTheme="majorEastAsia" w:hAnsiTheme="majorEastAsia" w:eastAsiaTheme="majorEastAsia"/>
                <w:szCs w:val="21"/>
              </w:rPr>
            </w:pPr>
            <w:r>
              <w:rPr>
                <w:rFonts w:asciiTheme="majorEastAsia" w:hAnsiTheme="majorEastAsia" w:eastAsiaTheme="majorEastAsia"/>
                <w:szCs w:val="21"/>
              </w:rPr>
              <w:t>14</w:t>
            </w:r>
          </w:p>
        </w:tc>
        <w:tc>
          <w:tcPr>
            <w:tcW w:w="6255" w:type="dxa"/>
            <w:vAlign w:val="center"/>
          </w:tcPr>
          <w:p>
            <w:pPr>
              <w:pStyle w:val="16"/>
              <w:suppressAutoHyphens w:val="0"/>
              <w:autoSpaceDE w:val="0"/>
              <w:autoSpaceDN w:val="0"/>
              <w:adjustRightInd w:val="0"/>
              <w:ind w:firstLine="0"/>
              <w:rPr>
                <w:rFonts w:cs="Arial" w:asciiTheme="majorEastAsia" w:hAnsiTheme="majorEastAsia" w:eastAsiaTheme="majorEastAsia"/>
                <w:kern w:val="2"/>
                <w:sz w:val="21"/>
              </w:rPr>
            </w:pPr>
            <w:r>
              <w:rPr>
                <w:rFonts w:hint="eastAsia" w:cs="Arial" w:asciiTheme="majorEastAsia" w:hAnsiTheme="majorEastAsia" w:eastAsiaTheme="majorEastAsia"/>
                <w:kern w:val="2"/>
                <w:sz w:val="21"/>
              </w:rPr>
              <w:t>1.</w:t>
            </w:r>
            <w:r>
              <w:rPr>
                <w:rFonts w:cs="Arial" w:asciiTheme="majorEastAsia" w:hAnsiTheme="majorEastAsia" w:eastAsiaTheme="majorEastAsia"/>
                <w:kern w:val="2"/>
                <w:sz w:val="21"/>
              </w:rPr>
              <w:t>拟投入本项目的项目经理具有</w:t>
            </w:r>
            <w:r>
              <w:rPr>
                <w:rFonts w:hint="eastAsia" w:cs="Arial" w:asciiTheme="majorEastAsia" w:hAnsiTheme="majorEastAsia" w:eastAsiaTheme="majorEastAsia"/>
                <w:kern w:val="2"/>
                <w:sz w:val="21"/>
              </w:rPr>
              <w:t>高级工程师职称的</w:t>
            </w:r>
            <w:r>
              <w:rPr>
                <w:rFonts w:cs="Arial" w:asciiTheme="majorEastAsia" w:hAnsiTheme="majorEastAsia" w:eastAsiaTheme="majorEastAsia"/>
                <w:kern w:val="2"/>
                <w:sz w:val="21"/>
              </w:rPr>
              <w:t>，提供证书复印件，得3分（项目经理不可为多人，缺项不得分）</w:t>
            </w:r>
            <w:r>
              <w:rPr>
                <w:rFonts w:hint="eastAsia" w:cs="Arial" w:asciiTheme="majorEastAsia" w:hAnsiTheme="majorEastAsia" w:eastAsiaTheme="majorEastAsia"/>
                <w:kern w:val="2"/>
                <w:sz w:val="21"/>
              </w:rPr>
              <w:t>；</w:t>
            </w:r>
          </w:p>
          <w:p>
            <w:pPr>
              <w:pStyle w:val="16"/>
              <w:suppressAutoHyphens w:val="0"/>
              <w:autoSpaceDE w:val="0"/>
              <w:autoSpaceDN w:val="0"/>
              <w:adjustRightInd w:val="0"/>
              <w:ind w:firstLine="0"/>
              <w:rPr>
                <w:rFonts w:cs="Arial" w:asciiTheme="majorEastAsia" w:hAnsiTheme="majorEastAsia" w:eastAsiaTheme="majorEastAsia"/>
                <w:kern w:val="2"/>
                <w:sz w:val="21"/>
              </w:rPr>
            </w:pPr>
            <w:r>
              <w:rPr>
                <w:rFonts w:hint="eastAsia" w:cs="Arial" w:asciiTheme="majorEastAsia" w:hAnsiTheme="majorEastAsia" w:eastAsiaTheme="majorEastAsia"/>
                <w:kern w:val="2"/>
                <w:sz w:val="21"/>
              </w:rPr>
              <w:t>2.拟投入本项目的主要技术人员具有一级结构工程师资格的，</w:t>
            </w:r>
            <w:r>
              <w:rPr>
                <w:rFonts w:cs="Arial" w:asciiTheme="majorEastAsia" w:hAnsiTheme="majorEastAsia" w:eastAsiaTheme="majorEastAsia"/>
                <w:kern w:val="2"/>
                <w:sz w:val="21"/>
              </w:rPr>
              <w:t>提供证书复印件，得3分</w:t>
            </w:r>
            <w:r>
              <w:rPr>
                <w:rFonts w:hint="eastAsia" w:cs="Arial" w:asciiTheme="majorEastAsia" w:hAnsiTheme="majorEastAsia" w:eastAsiaTheme="majorEastAsia"/>
                <w:kern w:val="2"/>
                <w:sz w:val="21"/>
              </w:rPr>
              <w:t>。</w:t>
            </w:r>
          </w:p>
          <w:p>
            <w:pPr>
              <w:pStyle w:val="16"/>
              <w:suppressAutoHyphens w:val="0"/>
              <w:autoSpaceDE w:val="0"/>
              <w:autoSpaceDN w:val="0"/>
              <w:adjustRightInd w:val="0"/>
              <w:ind w:firstLine="0"/>
              <w:rPr>
                <w:rFonts w:cs="Arial" w:asciiTheme="majorEastAsia" w:hAnsiTheme="majorEastAsia" w:eastAsiaTheme="majorEastAsia"/>
                <w:kern w:val="2"/>
                <w:sz w:val="21"/>
              </w:rPr>
            </w:pPr>
            <w:r>
              <w:rPr>
                <w:rFonts w:hint="eastAsia" w:cs="Arial" w:asciiTheme="majorEastAsia" w:hAnsiTheme="majorEastAsia" w:eastAsiaTheme="majorEastAsia"/>
                <w:kern w:val="2"/>
                <w:sz w:val="21"/>
              </w:rPr>
              <w:t>3</w:t>
            </w:r>
            <w:r>
              <w:rPr>
                <w:rFonts w:cs="Arial" w:asciiTheme="majorEastAsia" w:hAnsiTheme="majorEastAsia" w:eastAsiaTheme="majorEastAsia"/>
                <w:kern w:val="2"/>
                <w:sz w:val="21"/>
              </w:rPr>
              <w:t>.</w:t>
            </w:r>
            <w:r>
              <w:rPr>
                <w:rFonts w:hint="eastAsia" w:cs="Arial" w:asciiTheme="majorEastAsia" w:hAnsiTheme="majorEastAsia" w:eastAsiaTheme="majorEastAsia"/>
                <w:kern w:val="2"/>
                <w:sz w:val="21"/>
              </w:rPr>
              <w:t>拟投入本项目的主要技术人员</w:t>
            </w:r>
            <w:r>
              <w:rPr>
                <w:rFonts w:cs="Arial" w:asciiTheme="majorEastAsia" w:hAnsiTheme="majorEastAsia" w:eastAsiaTheme="majorEastAsia"/>
                <w:kern w:val="2"/>
                <w:sz w:val="21"/>
              </w:rPr>
              <w:t>具有</w:t>
            </w:r>
            <w:r>
              <w:rPr>
                <w:rFonts w:hint="eastAsia" w:cs="Arial" w:asciiTheme="majorEastAsia" w:hAnsiTheme="majorEastAsia" w:eastAsiaTheme="majorEastAsia"/>
                <w:kern w:val="2"/>
                <w:sz w:val="21"/>
              </w:rPr>
              <w:t>中级工程师职称</w:t>
            </w:r>
            <w:r>
              <w:rPr>
                <w:rFonts w:cs="Arial" w:asciiTheme="majorEastAsia" w:hAnsiTheme="majorEastAsia" w:eastAsiaTheme="majorEastAsia"/>
                <w:kern w:val="2"/>
                <w:sz w:val="21"/>
              </w:rPr>
              <w:t>的，每提供一个得2分，满分8分。</w:t>
            </w:r>
          </w:p>
          <w:p>
            <w:pPr>
              <w:rPr>
                <w:rFonts w:asciiTheme="majorEastAsia" w:hAnsiTheme="majorEastAsia" w:eastAsiaTheme="majorEastAsia"/>
                <w:szCs w:val="21"/>
              </w:rPr>
            </w:pPr>
            <w:r>
              <w:rPr>
                <w:rFonts w:asciiTheme="majorEastAsia" w:hAnsiTheme="majorEastAsia" w:eastAsiaTheme="majorEastAsia"/>
                <w:szCs w:val="21"/>
              </w:rPr>
              <w:t>同一人员具有多项证书的按一项计算，多人具有同一项证书的按一项计算，不重复计算得分</w:t>
            </w:r>
            <w:r>
              <w:rPr>
                <w:rFonts w:hint="eastAsia" w:asciiTheme="majorEastAsia" w:hAnsiTheme="majorEastAsia" w:eastAsiaTheme="majorEastAsia"/>
                <w:szCs w:val="21"/>
              </w:rPr>
              <w:t>。</w:t>
            </w:r>
          </w:p>
          <w:p>
            <w:pPr>
              <w:rPr>
                <w:rFonts w:cs="宋体" w:asciiTheme="majorEastAsia" w:hAnsiTheme="majorEastAsia" w:eastAsiaTheme="majorEastAsia"/>
                <w:color w:val="FF0000"/>
                <w:szCs w:val="21"/>
                <w:shd w:val="pct10" w:color="auto" w:fill="FFFFFF"/>
              </w:rPr>
            </w:pPr>
            <w:r>
              <w:rPr>
                <w:rFonts w:asciiTheme="majorEastAsia" w:hAnsiTheme="majorEastAsia" w:eastAsiaTheme="majorEastAsia"/>
                <w:szCs w:val="21"/>
              </w:rPr>
              <w:t>须提供以上人员证书及前3个月的在投标单位或</w:t>
            </w:r>
            <w:r>
              <w:t>生产企业</w:t>
            </w:r>
            <w:r>
              <w:rPr>
                <w:rFonts w:asciiTheme="majorEastAsia" w:hAnsiTheme="majorEastAsia" w:eastAsiaTheme="majorEastAsia"/>
                <w:szCs w:val="21"/>
              </w:rPr>
              <w:t>连续缴纳社保证明扫描件，否则不得分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01" w:type="dxa"/>
            <w:vAlign w:val="center"/>
          </w:tcPr>
          <w:p>
            <w:pPr>
              <w:autoSpaceDE w:val="0"/>
              <w:autoSpaceDN w:val="0"/>
              <w:adjustRightInd w:val="0"/>
              <w:jc w:val="left"/>
              <w:rPr>
                <w:rFonts w:asciiTheme="majorEastAsia" w:hAnsiTheme="majorEastAsia" w:eastAsiaTheme="majorEastAsia"/>
                <w:szCs w:val="21"/>
              </w:rPr>
            </w:pPr>
            <w:r>
              <w:rPr>
                <w:rFonts w:hint="eastAsia" w:asciiTheme="majorEastAsia" w:hAnsiTheme="majorEastAsia" w:eastAsiaTheme="majorEastAsia"/>
                <w:szCs w:val="21"/>
              </w:rPr>
              <w:t>3</w:t>
            </w:r>
          </w:p>
        </w:tc>
        <w:tc>
          <w:tcPr>
            <w:tcW w:w="1245" w:type="dxa"/>
            <w:vAlign w:val="center"/>
          </w:tcPr>
          <w:p>
            <w:pPr>
              <w:autoSpaceDE w:val="0"/>
              <w:autoSpaceDN w:val="0"/>
              <w:adjustRightInd w:val="0"/>
              <w:jc w:val="center"/>
              <w:rPr>
                <w:rFonts w:asciiTheme="majorEastAsia" w:hAnsiTheme="majorEastAsia" w:eastAsiaTheme="majorEastAsia"/>
                <w:kern w:val="0"/>
                <w:szCs w:val="21"/>
              </w:rPr>
            </w:pPr>
            <w:r>
              <w:rPr>
                <w:rFonts w:hint="eastAsia" w:cs="宋体" w:asciiTheme="majorEastAsia" w:hAnsiTheme="majorEastAsia" w:eastAsiaTheme="majorEastAsia"/>
                <w:kern w:val="0"/>
                <w:szCs w:val="21"/>
              </w:rPr>
              <w:t>项目实施方案</w:t>
            </w:r>
          </w:p>
        </w:tc>
        <w:tc>
          <w:tcPr>
            <w:tcW w:w="881" w:type="dxa"/>
            <w:vAlign w:val="center"/>
          </w:tcPr>
          <w:p>
            <w:pPr>
              <w:autoSpaceDE w:val="0"/>
              <w:autoSpaceDN w:val="0"/>
              <w:adjustRightInd w:val="0"/>
              <w:jc w:val="center"/>
              <w:rPr>
                <w:rFonts w:asciiTheme="majorEastAsia" w:hAnsiTheme="majorEastAsia" w:eastAsiaTheme="majorEastAsia"/>
                <w:szCs w:val="21"/>
              </w:rPr>
            </w:pPr>
            <w:r>
              <w:rPr>
                <w:rFonts w:hint="eastAsia" w:asciiTheme="majorEastAsia" w:hAnsiTheme="majorEastAsia" w:eastAsiaTheme="majorEastAsia"/>
                <w:szCs w:val="21"/>
              </w:rPr>
              <w:t>40</w:t>
            </w:r>
          </w:p>
        </w:tc>
        <w:tc>
          <w:tcPr>
            <w:tcW w:w="6255" w:type="dxa"/>
            <w:vAlign w:val="center"/>
          </w:tcPr>
          <w:p>
            <w:pPr>
              <w:pStyle w:val="16"/>
              <w:autoSpaceDE w:val="0"/>
              <w:autoSpaceDN w:val="0"/>
              <w:adjustRightInd w:val="0"/>
              <w:ind w:firstLine="0"/>
              <w:rPr>
                <w:rFonts w:cs="Times New Roman" w:asciiTheme="majorEastAsia" w:hAnsiTheme="majorEastAsia" w:eastAsiaTheme="majorEastAsia"/>
                <w:kern w:val="2"/>
                <w:sz w:val="21"/>
                <w:szCs w:val="20"/>
                <w:lang w:val="zh-CN"/>
              </w:rPr>
            </w:pPr>
            <w:r>
              <w:rPr>
                <w:rFonts w:hint="eastAsia" w:cs="Times New Roman" w:asciiTheme="majorEastAsia" w:hAnsiTheme="majorEastAsia" w:eastAsiaTheme="majorEastAsia"/>
                <w:kern w:val="2"/>
                <w:sz w:val="21"/>
                <w:szCs w:val="20"/>
                <w:lang w:val="zh-CN"/>
              </w:rPr>
              <w:t>项目实施方案内容全面，科学合理，针对性强，可操作性强</w:t>
            </w:r>
            <w:r>
              <w:rPr>
                <w:rFonts w:hint="eastAsia" w:cs="Times New Roman" w:asciiTheme="majorEastAsia" w:hAnsiTheme="majorEastAsia" w:eastAsiaTheme="majorEastAsia"/>
                <w:kern w:val="2"/>
                <w:sz w:val="21"/>
                <w:szCs w:val="20"/>
              </w:rPr>
              <w:t>的得4</w:t>
            </w:r>
            <w:r>
              <w:rPr>
                <w:rFonts w:cs="Times New Roman" w:asciiTheme="majorEastAsia" w:hAnsiTheme="majorEastAsia" w:eastAsiaTheme="majorEastAsia"/>
                <w:kern w:val="2"/>
                <w:sz w:val="21"/>
                <w:szCs w:val="20"/>
              </w:rPr>
              <w:t>0</w:t>
            </w:r>
            <w:r>
              <w:rPr>
                <w:rFonts w:hint="eastAsia" w:cs="Times New Roman" w:asciiTheme="majorEastAsia" w:hAnsiTheme="majorEastAsia" w:eastAsiaTheme="majorEastAsia"/>
                <w:kern w:val="2"/>
                <w:sz w:val="21"/>
                <w:szCs w:val="20"/>
              </w:rPr>
              <w:t>分</w:t>
            </w:r>
            <w:r>
              <w:rPr>
                <w:rFonts w:hint="eastAsia" w:cs="Times New Roman" w:asciiTheme="majorEastAsia" w:hAnsiTheme="majorEastAsia" w:eastAsiaTheme="majorEastAsia"/>
                <w:kern w:val="2"/>
                <w:sz w:val="21"/>
                <w:szCs w:val="20"/>
                <w:lang w:val="zh-CN"/>
              </w:rPr>
              <w:t>； </w:t>
            </w:r>
            <w:r>
              <w:rPr>
                <w:rFonts w:hint="eastAsia" w:cs="Times New Roman" w:asciiTheme="majorEastAsia" w:hAnsiTheme="majorEastAsia" w:eastAsiaTheme="majorEastAsia"/>
                <w:kern w:val="2"/>
                <w:sz w:val="21"/>
                <w:szCs w:val="20"/>
                <w:lang w:val="zh-CN"/>
              </w:rPr>
              <w:br w:type="textWrapping"/>
            </w:r>
            <w:r>
              <w:rPr>
                <w:rFonts w:hint="eastAsia" w:cs="Times New Roman" w:asciiTheme="majorEastAsia" w:hAnsiTheme="majorEastAsia" w:eastAsiaTheme="majorEastAsia"/>
                <w:kern w:val="2"/>
                <w:sz w:val="21"/>
                <w:szCs w:val="20"/>
                <w:lang w:val="zh-CN"/>
              </w:rPr>
              <w:t>项目实施方案内容全面，科学合理，针对性强</w:t>
            </w:r>
            <w:r>
              <w:rPr>
                <w:rFonts w:hint="eastAsia" w:cs="Times New Roman" w:asciiTheme="majorEastAsia" w:hAnsiTheme="majorEastAsia" w:eastAsiaTheme="majorEastAsia"/>
                <w:kern w:val="2"/>
                <w:sz w:val="21"/>
                <w:szCs w:val="20"/>
              </w:rPr>
              <w:t>的得20分</w:t>
            </w:r>
            <w:r>
              <w:rPr>
                <w:rFonts w:hint="eastAsia" w:cs="Times New Roman" w:asciiTheme="majorEastAsia" w:hAnsiTheme="majorEastAsia" w:eastAsiaTheme="majorEastAsia"/>
                <w:kern w:val="2"/>
                <w:sz w:val="21"/>
                <w:szCs w:val="20"/>
                <w:lang w:val="zh-CN"/>
              </w:rPr>
              <w:t>； </w:t>
            </w:r>
          </w:p>
          <w:p>
            <w:pPr>
              <w:pStyle w:val="16"/>
              <w:autoSpaceDE w:val="0"/>
              <w:autoSpaceDN w:val="0"/>
              <w:adjustRightInd w:val="0"/>
              <w:ind w:firstLine="0"/>
              <w:rPr>
                <w:rFonts w:cs="Times New Roman" w:asciiTheme="majorEastAsia" w:hAnsiTheme="majorEastAsia" w:eastAsiaTheme="majorEastAsia"/>
                <w:kern w:val="2"/>
                <w:sz w:val="21"/>
                <w:szCs w:val="20"/>
                <w:lang w:val="zh-CN"/>
              </w:rPr>
            </w:pPr>
            <w:r>
              <w:rPr>
                <w:rFonts w:hint="eastAsia" w:cs="Times New Roman" w:asciiTheme="majorEastAsia" w:hAnsiTheme="majorEastAsia" w:eastAsiaTheme="majorEastAsia"/>
                <w:kern w:val="2"/>
                <w:sz w:val="21"/>
                <w:szCs w:val="20"/>
                <w:lang w:val="zh-CN"/>
              </w:rPr>
              <w:t>项目实施方案内容全面，科学合理</w:t>
            </w:r>
            <w:r>
              <w:rPr>
                <w:rFonts w:hint="eastAsia" w:cs="Times New Roman" w:asciiTheme="majorEastAsia" w:hAnsiTheme="majorEastAsia" w:eastAsiaTheme="majorEastAsia"/>
                <w:kern w:val="2"/>
                <w:sz w:val="21"/>
                <w:szCs w:val="20"/>
              </w:rPr>
              <w:t>的10分</w:t>
            </w:r>
            <w:r>
              <w:rPr>
                <w:rFonts w:hint="eastAsia" w:cs="Times New Roman" w:asciiTheme="majorEastAsia" w:hAnsiTheme="majorEastAsia" w:eastAsiaTheme="majorEastAsia"/>
                <w:kern w:val="2"/>
                <w:sz w:val="21"/>
                <w:szCs w:val="20"/>
                <w:lang w:val="zh-CN"/>
              </w:rPr>
              <w:t>； </w:t>
            </w:r>
          </w:p>
          <w:p>
            <w:pPr>
              <w:pStyle w:val="16"/>
              <w:autoSpaceDE w:val="0"/>
              <w:autoSpaceDN w:val="0"/>
              <w:adjustRightInd w:val="0"/>
              <w:ind w:firstLine="0"/>
              <w:rPr>
                <w:rFonts w:cs="Times New Roman" w:asciiTheme="majorEastAsia" w:hAnsiTheme="majorEastAsia" w:eastAsiaTheme="majorEastAsia"/>
                <w:kern w:val="2"/>
                <w:sz w:val="21"/>
                <w:szCs w:val="20"/>
                <w:lang w:val="zh-CN"/>
              </w:rPr>
            </w:pPr>
            <w:r>
              <w:rPr>
                <w:rFonts w:hint="eastAsia" w:cs="Times New Roman" w:asciiTheme="majorEastAsia" w:hAnsiTheme="majorEastAsia" w:eastAsiaTheme="majorEastAsia"/>
                <w:kern w:val="2"/>
                <w:sz w:val="21"/>
                <w:szCs w:val="20"/>
              </w:rPr>
              <w:t>未提供</w:t>
            </w:r>
            <w:r>
              <w:rPr>
                <w:rFonts w:hint="eastAsia" w:cs="Times New Roman" w:asciiTheme="majorEastAsia" w:hAnsiTheme="majorEastAsia" w:eastAsiaTheme="majorEastAsia"/>
                <w:kern w:val="2"/>
                <w:sz w:val="21"/>
                <w:szCs w:val="20"/>
                <w:lang w:val="zh-CN"/>
              </w:rPr>
              <w:t>项目实施方案</w:t>
            </w:r>
            <w:r>
              <w:rPr>
                <w:rFonts w:hint="eastAsia" w:cs="Times New Roman" w:asciiTheme="majorEastAsia" w:hAnsiTheme="majorEastAsia" w:eastAsiaTheme="majorEastAsia"/>
                <w:kern w:val="2"/>
                <w:sz w:val="21"/>
                <w:szCs w:val="20"/>
              </w:rPr>
              <w:t>的得0分。</w:t>
            </w:r>
          </w:p>
        </w:tc>
      </w:tr>
    </w:tbl>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得分精确到小数点后两位。其中，评分细则表中要求原件备查的资料，如需查验原件，采购方将提前通知各报名参加投标的供应商，各供应商应在递交投标文件截止时间前同时递交评分表中的原件备查资料的原件，如经通知后未提交原件的或未按时提交原件的该评分项不得分。所有递交的原件备查资料在评审完毕后，归还各投标供应商。</w:t>
      </w:r>
    </w:p>
    <w:p>
      <w:pPr>
        <w:pStyle w:val="2"/>
        <w:rPr>
          <w:rFonts w:hint="eastAsia"/>
        </w:rPr>
      </w:pPr>
    </w:p>
    <w:p>
      <w:pPr>
        <w:pStyle w:val="2"/>
        <w:rPr>
          <w:rFonts w:hint="eastAsia"/>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 w:hAnsi="仿宋" w:eastAsia="仿宋_GB2312" w:cs="仿宋"/>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深圳市坪山区</w:t>
      </w:r>
      <w:r>
        <w:rPr>
          <w:rFonts w:hint="eastAsia" w:ascii="仿宋_GB2312" w:hAnsi="仿宋_GB2312" w:eastAsia="仿宋_GB2312" w:cs="仿宋_GB2312"/>
          <w:sz w:val="32"/>
          <w:szCs w:val="32"/>
          <w:lang w:eastAsia="zh-CN"/>
        </w:rPr>
        <w:t>科技创新</w:t>
      </w:r>
      <w:r>
        <w:rPr>
          <w:rFonts w:hint="eastAsia" w:ascii="仿宋_GB2312" w:hAnsi="仿宋_GB2312" w:eastAsia="仿宋_GB2312" w:cs="仿宋_GB2312"/>
          <w:sz w:val="32"/>
          <w:szCs w:val="32"/>
        </w:rPr>
        <w:t>局                              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长城仿宋">
    <w:altName w:val="方正仿宋_GBK"/>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FDE7B"/>
    <w:multiLevelType w:val="singleLevel"/>
    <w:tmpl w:val="AF6FDE7B"/>
    <w:lvl w:ilvl="0" w:tentative="0">
      <w:start w:val="1"/>
      <w:numFmt w:val="chineseCounting"/>
      <w:suff w:val="nothing"/>
      <w:lvlText w:val="（%1）"/>
      <w:lvlJc w:val="left"/>
      <w:pPr>
        <w:ind w:left="0" w:firstLine="420"/>
      </w:pPr>
      <w:rPr>
        <w:rFonts w:hint="eastAsia"/>
      </w:rPr>
    </w:lvl>
  </w:abstractNum>
  <w:abstractNum w:abstractNumId="1">
    <w:nsid w:val="4A951040"/>
    <w:multiLevelType w:val="singleLevel"/>
    <w:tmpl w:val="4A951040"/>
    <w:lvl w:ilvl="0" w:tentative="0">
      <w:start w:val="1"/>
      <w:numFmt w:val="chineseCounting"/>
      <w:suff w:val="nothing"/>
      <w:lvlText w:val="%1、"/>
      <w:lvlJc w:val="left"/>
      <w:rPr>
        <w:rFonts w:hint="eastAsia"/>
      </w:rPr>
    </w:lvl>
  </w:abstractNum>
  <w:abstractNum w:abstractNumId="2">
    <w:nsid w:val="7E621BA1"/>
    <w:multiLevelType w:val="singleLevel"/>
    <w:tmpl w:val="7E621BA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ZTJkODFlMTljMTZjNGMzNmRkNzQxZjY4NzE0NDUifQ=="/>
  </w:docVars>
  <w:rsids>
    <w:rsidRoot w:val="6300098B"/>
    <w:rsid w:val="0004405B"/>
    <w:rsid w:val="002C5D63"/>
    <w:rsid w:val="004233AC"/>
    <w:rsid w:val="00551E22"/>
    <w:rsid w:val="009A3E4C"/>
    <w:rsid w:val="00BA41FB"/>
    <w:rsid w:val="00E7112C"/>
    <w:rsid w:val="00F21D90"/>
    <w:rsid w:val="01D25775"/>
    <w:rsid w:val="02151670"/>
    <w:rsid w:val="03433FB7"/>
    <w:rsid w:val="041D4734"/>
    <w:rsid w:val="051668D1"/>
    <w:rsid w:val="05A65A53"/>
    <w:rsid w:val="06282274"/>
    <w:rsid w:val="0B982CB4"/>
    <w:rsid w:val="0CEF10F1"/>
    <w:rsid w:val="0D1D63A6"/>
    <w:rsid w:val="0DE43A59"/>
    <w:rsid w:val="0E59765D"/>
    <w:rsid w:val="0E726BF1"/>
    <w:rsid w:val="10456E22"/>
    <w:rsid w:val="10493F08"/>
    <w:rsid w:val="10F84545"/>
    <w:rsid w:val="13615B40"/>
    <w:rsid w:val="17334200"/>
    <w:rsid w:val="17B11331"/>
    <w:rsid w:val="18237B55"/>
    <w:rsid w:val="195D14EC"/>
    <w:rsid w:val="1B065649"/>
    <w:rsid w:val="1DD963EC"/>
    <w:rsid w:val="1DF725F0"/>
    <w:rsid w:val="1FE80F9A"/>
    <w:rsid w:val="20A27141"/>
    <w:rsid w:val="22265AE0"/>
    <w:rsid w:val="24B6332B"/>
    <w:rsid w:val="2805595F"/>
    <w:rsid w:val="292E512F"/>
    <w:rsid w:val="2B3A2E97"/>
    <w:rsid w:val="2E2844D4"/>
    <w:rsid w:val="2ECF4D38"/>
    <w:rsid w:val="30A56869"/>
    <w:rsid w:val="377D5C8A"/>
    <w:rsid w:val="398570D2"/>
    <w:rsid w:val="39B8679B"/>
    <w:rsid w:val="39DA64BB"/>
    <w:rsid w:val="3A4F0CF5"/>
    <w:rsid w:val="3C5F029D"/>
    <w:rsid w:val="3D39030E"/>
    <w:rsid w:val="3DF31D95"/>
    <w:rsid w:val="3EE0662E"/>
    <w:rsid w:val="4521341D"/>
    <w:rsid w:val="470A4B8C"/>
    <w:rsid w:val="4788525A"/>
    <w:rsid w:val="4A27782A"/>
    <w:rsid w:val="4C15731D"/>
    <w:rsid w:val="505341D9"/>
    <w:rsid w:val="50D31AF0"/>
    <w:rsid w:val="52FB52AE"/>
    <w:rsid w:val="5363528C"/>
    <w:rsid w:val="5452110B"/>
    <w:rsid w:val="56860B46"/>
    <w:rsid w:val="56C300C1"/>
    <w:rsid w:val="575F11A9"/>
    <w:rsid w:val="57E21139"/>
    <w:rsid w:val="57E77AE8"/>
    <w:rsid w:val="58990970"/>
    <w:rsid w:val="58CD2B85"/>
    <w:rsid w:val="5C5E24FB"/>
    <w:rsid w:val="5DF75F70"/>
    <w:rsid w:val="5E574B6E"/>
    <w:rsid w:val="5F544103"/>
    <w:rsid w:val="60491C9E"/>
    <w:rsid w:val="61336768"/>
    <w:rsid w:val="613860E3"/>
    <w:rsid w:val="6300098B"/>
    <w:rsid w:val="63E43F41"/>
    <w:rsid w:val="661D1721"/>
    <w:rsid w:val="67A40D81"/>
    <w:rsid w:val="67DC0DE9"/>
    <w:rsid w:val="68D37978"/>
    <w:rsid w:val="69FF193A"/>
    <w:rsid w:val="6ABF6012"/>
    <w:rsid w:val="6BD5AE2C"/>
    <w:rsid w:val="6C1A32F9"/>
    <w:rsid w:val="6D7C1E8C"/>
    <w:rsid w:val="6DA70C23"/>
    <w:rsid w:val="6DDB5E1D"/>
    <w:rsid w:val="6DF03333"/>
    <w:rsid w:val="6DF34252"/>
    <w:rsid w:val="6DF3622C"/>
    <w:rsid w:val="6F8E492F"/>
    <w:rsid w:val="6FAB19A0"/>
    <w:rsid w:val="6FD7CD98"/>
    <w:rsid w:val="6FF84164"/>
    <w:rsid w:val="6FFF5663"/>
    <w:rsid w:val="70085DB2"/>
    <w:rsid w:val="717D1D80"/>
    <w:rsid w:val="738C3CD8"/>
    <w:rsid w:val="76B37ACA"/>
    <w:rsid w:val="76DD742C"/>
    <w:rsid w:val="77D21B58"/>
    <w:rsid w:val="79921E73"/>
    <w:rsid w:val="7BB5581A"/>
    <w:rsid w:val="7BC347B5"/>
    <w:rsid w:val="7BF5C93C"/>
    <w:rsid w:val="7D4F9828"/>
    <w:rsid w:val="7E664013"/>
    <w:rsid w:val="7E8D2AC9"/>
    <w:rsid w:val="7F13641B"/>
    <w:rsid w:val="7F35468C"/>
    <w:rsid w:val="7F877FB8"/>
    <w:rsid w:val="EEDF62D7"/>
    <w:rsid w:val="EF7A58F9"/>
    <w:rsid w:val="F19702BB"/>
    <w:rsid w:val="F377841C"/>
    <w:rsid w:val="F9BE577D"/>
    <w:rsid w:val="FA4F89C7"/>
    <w:rsid w:val="FBB7B09A"/>
    <w:rsid w:val="FBEF05C2"/>
    <w:rsid w:val="FF6F45E1"/>
    <w:rsid w:val="FFF19B07"/>
    <w:rsid w:val="FFF6C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adjustRightInd w:val="0"/>
      <w:jc w:val="center"/>
      <w:textAlignment w:val="baseline"/>
      <w:outlineLvl w:val="1"/>
    </w:pPr>
    <w:rPr>
      <w:kern w:val="0"/>
      <w:sz w:val="24"/>
    </w:rPr>
  </w:style>
  <w:style w:type="paragraph" w:styleId="4">
    <w:name w:val="heading 3"/>
    <w:basedOn w:val="5"/>
    <w:next w:val="1"/>
    <w:unhideWhenUsed/>
    <w:qFormat/>
    <w:uiPriority w:val="0"/>
    <w:pPr>
      <w:spacing w:before="260" w:after="260" w:line="240" w:lineRule="auto"/>
      <w:outlineLvl w:val="2"/>
    </w:pPr>
    <w:rPr>
      <w:rFonts w:ascii="宋体" w:hAnsi="宋体" w:eastAsia="宋体"/>
      <w:szCs w:val="32"/>
    </w:rPr>
  </w:style>
  <w:style w:type="paragraph" w:styleId="5">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spacing w:val="10"/>
      <w:kern w:val="0"/>
      <w:sz w:val="24"/>
    </w:rPr>
  </w:style>
  <w:style w:type="paragraph" w:styleId="6">
    <w:name w:val="Normal Indent"/>
    <w:basedOn w:val="1"/>
    <w:qFormat/>
    <w:uiPriority w:val="0"/>
    <w:pPr>
      <w:ind w:firstLine="420"/>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列表段落1"/>
    <w:basedOn w:val="1"/>
    <w:qFormat/>
    <w:uiPriority w:val="0"/>
    <w:pPr>
      <w:ind w:firstLine="420" w:firstLineChars="200"/>
    </w:pPr>
    <w:rPr>
      <w:rFonts w:ascii="Calibri" w:hAnsi="Calibri"/>
    </w:rPr>
  </w:style>
  <w:style w:type="paragraph" w:customStyle="1" w:styleId="12">
    <w:name w:val="文档正文"/>
    <w:basedOn w:val="1"/>
    <w:qFormat/>
    <w:uiPriority w:val="0"/>
    <w:pPr>
      <w:adjustRightInd w:val="0"/>
      <w:spacing w:line="480" w:lineRule="atLeast"/>
      <w:ind w:firstLine="567" w:firstLineChars="200"/>
      <w:textAlignment w:val="baseline"/>
    </w:pPr>
    <w:rPr>
      <w:rFonts w:ascii="长城仿宋"/>
      <w:kern w:val="0"/>
    </w:rPr>
  </w:style>
  <w:style w:type="paragraph" w:customStyle="1" w:styleId="13">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4">
    <w:name w:val="页眉 字符"/>
    <w:basedOn w:val="10"/>
    <w:link w:val="8"/>
    <w:qFormat/>
    <w:uiPriority w:val="0"/>
    <w:rPr>
      <w:kern w:val="2"/>
      <w:sz w:val="18"/>
      <w:szCs w:val="18"/>
    </w:rPr>
  </w:style>
  <w:style w:type="character" w:customStyle="1" w:styleId="15">
    <w:name w:val="页脚 字符"/>
    <w:basedOn w:val="10"/>
    <w:link w:val="7"/>
    <w:qFormat/>
    <w:uiPriority w:val="0"/>
    <w:rPr>
      <w:kern w:val="2"/>
      <w:sz w:val="18"/>
      <w:szCs w:val="18"/>
    </w:rPr>
  </w:style>
  <w:style w:type="paragraph" w:customStyle="1" w:styleId="16">
    <w:name w:val="列出段落1"/>
    <w:basedOn w:val="1"/>
    <w:qFormat/>
    <w:uiPriority w:val="0"/>
    <w:pPr>
      <w:suppressAutoHyphens/>
      <w:ind w:firstLine="420"/>
    </w:pPr>
    <w:rPr>
      <w:rFonts w:cs="Calibri"/>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340</Words>
  <Characters>1940</Characters>
  <Lines>16</Lines>
  <Paragraphs>4</Paragraphs>
  <TotalTime>35</TotalTime>
  <ScaleCrop>false</ScaleCrop>
  <LinksUpToDate>false</LinksUpToDate>
  <CharactersWithSpaces>2276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2020-07-24T11:09:00Z</dcterms:created>
  <dc:creator>kcs</dc:creator>
  <cp:lastModifiedBy>xiaoyingying</cp:lastModifiedBy>
  <cp:lastPrinted>2022-08-13T22:36:00Z</cp:lastPrinted>
  <dcterms:modified xsi:type="dcterms:W3CDTF">2022-11-01T11:19:10Z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BF20A583C125471C8DC6581593C93929</vt:lpwstr>
  </property>
</Properties>
</file>