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风险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知悉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确认书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本公司在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前已充分知悉以下情形为参与政府采购活动时的重大风险事项，并承诺已对下述风险提示事项重点排查，做到严谨、诚信、依法依规参与政府采购活动。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一、本公司已充分知悉“隐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瞒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真实情况，提供虚假资料”的法定情形，相关情形包括但不限于: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(一)通过转让或者租借等方式从其他单位获取资格或者资质证书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(二)由其他单位或者其他单位负责人在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上加盖印章或者签字的。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FF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(三)项目负责人或者主要技术人员不是本单位人员的。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四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)其他隐瞒真实情况、提供虚假资料的行为。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二、本公司已充分知悉“与其他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供应商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串通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”的法定情形，相关情形包括但不限于: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(一)供应商之间相互约定给予未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成交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的供应商利益补偿。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(二)不同供应商的法定代表人，主要经营负责人、项目授权代表人、项目负责人、主要技术人员为同一人、属同一单位缴纳社会保险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(三)不同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供应商应答文件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由同一单位或者同一人编制，或者由同一人分阶段参与编制的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(四)不同供应商的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或部分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供应商应答文件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相互混装。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(五)不同供应商的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内容存在非正常一致。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(六)由同一单位工作人员为两家以上(含两家)供应商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参加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同一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采购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活动的。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(七)不同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供应商的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报价呈规律性差异。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八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)主管部门依照法律、法规认定的其他情形。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三、本公司已充分知悉下列情形所对应的法律风险，并在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提交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前已对相关风险事项进行排查。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(一)对于从其他主体获取的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资料，供应商应审慎核查，确保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资料的真实性。如主管部门查实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供应商应答文件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中存在虚假资料的，无论相关资料是否由第三方或本公司员工提供，均不影响主管部门对供应商存在“隐瞒真实情况，提供虚假资料”违法行为的认定。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(二)对于涉及国家机关出具的公文、证件、证明材料等文件，一旦涉嫌虚假，经查实，主管部门将依法从严处理，并移送有关部门追究法律责任;涉嫌犯罪的，主管部门将一并移送司法机关追究法律责任。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)供应商应严格规范项目授权代表、员工参与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采购活动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的行为、加强对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供应商应答文件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的审核。项目授权代表、员工编制、上传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采购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等行为违反政府采购法律法规或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采购需求文件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要求的，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供应商应当依法承担相应法律责任。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四）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单位负责人为同一人或者存在直接控股、管理关系的不同供应商，不得参加同一合同项下的政府采购活动。相关情形如查实，依法作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无效处理;涉嫌串通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等违法行为的，主管部门将依法调查处理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四、本公司已充分知悉政府采购违法、违规行为的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法律后果。</w:t>
      </w:r>
    </w:p>
    <w:p>
      <w:pPr>
        <w:ind w:firstLine="64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经查实，若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供应商存在政府采购违法、违规行为，主管部门将依据《深圳经济特区政府采购条例》第五十七条的规定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进行处罚。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负责人/</w:t>
      </w:r>
      <w:r>
        <w:rPr>
          <w:rFonts w:hint="default"/>
          <w:sz w:val="28"/>
          <w:szCs w:val="28"/>
          <w:lang w:val="en"/>
        </w:rPr>
        <w:t>应答文件</w:t>
      </w:r>
      <w:r>
        <w:rPr>
          <w:rFonts w:hint="eastAsia"/>
          <w:sz w:val="28"/>
          <w:szCs w:val="28"/>
        </w:rPr>
        <w:t>授权代表签名:</w:t>
      </w:r>
    </w:p>
    <w:p>
      <w:pPr>
        <w:ind w:firstLine="2240" w:firstLineChars="8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知悉人(公章):</w:t>
      </w:r>
    </w:p>
    <w:p>
      <w:pPr>
        <w:ind w:firstLine="2240" w:firstLineChars="8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日期: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B91E"/>
    <w:rsid w:val="2FDFC678"/>
    <w:rsid w:val="3EFEF6A4"/>
    <w:rsid w:val="3F9F968C"/>
    <w:rsid w:val="5E4627FF"/>
    <w:rsid w:val="67B7BDC5"/>
    <w:rsid w:val="73751587"/>
    <w:rsid w:val="7BF7B91E"/>
    <w:rsid w:val="7F7310B9"/>
    <w:rsid w:val="7FF7AA60"/>
    <w:rsid w:val="B66B3E1D"/>
    <w:rsid w:val="DCE3D7B8"/>
    <w:rsid w:val="DDDFEEF0"/>
    <w:rsid w:val="F2F9E9F3"/>
    <w:rsid w:val="F6FBDA5D"/>
    <w:rsid w:val="FBE7AB13"/>
    <w:rsid w:val="FFCBA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2022-10-22T14:52:00Z</dcterms:created>
  <dc:creator>luo</dc:creator>
  <cp:lastModifiedBy>tangruipeng</cp:lastModifiedBy>
  <cp:lastPrinted>2022-10-23T00:57:00Z</cp:lastPrinted>
  <dcterms:modified xsi:type="dcterms:W3CDTF">2024-07-10T11:28:05Z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