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left"/>
        <w:rPr>
          <w:rFonts w:hint="eastAsia" w:ascii="宋体" w:hAnsi="宋体" w:cs="黑体"/>
          <w:szCs w:val="32"/>
          <w:lang w:val="en-US" w:eastAsia="zh-CN"/>
        </w:rPr>
      </w:pPr>
      <w:bookmarkStart w:id="0" w:name="_GoBack"/>
      <w:bookmarkEnd w:id="0"/>
      <w:r>
        <w:rPr>
          <w:rFonts w:hint="eastAsia" w:ascii="黑体" w:hAnsi="黑体" w:eastAsia="黑体" w:cs="黑体"/>
          <w:szCs w:val="32"/>
          <w:lang w:eastAsia="zh-CN"/>
        </w:rPr>
        <w:t>附件</w:t>
      </w:r>
      <w:r>
        <w:rPr>
          <w:rFonts w:hint="eastAsia" w:ascii="黑体" w:hAnsi="黑体" w:eastAsia="黑体" w:cs="黑体"/>
          <w:szCs w:val="32"/>
          <w:lang w:val="en-US" w:eastAsia="zh-CN"/>
        </w:rPr>
        <w:t>3</w:t>
      </w:r>
    </w:p>
    <w:p>
      <w:pPr>
        <w:spacing w:line="580" w:lineRule="exact"/>
        <w:jc w:val="center"/>
        <w:rPr>
          <w:rFonts w:ascii="宋体" w:hAnsi="宋体" w:cs="黑体"/>
          <w:szCs w:val="32"/>
        </w:rPr>
      </w:pPr>
      <w:r>
        <w:rPr>
          <w:rFonts w:hint="eastAsia" w:ascii="宋体" w:hAnsi="宋体" w:cs="黑体"/>
          <w:szCs w:val="32"/>
          <w:lang w:eastAsia="zh-CN"/>
        </w:rPr>
        <w:t>社区</w:t>
      </w:r>
      <w:r>
        <w:rPr>
          <w:rFonts w:hint="eastAsia" w:ascii="宋体" w:hAnsi="宋体" w:cs="黑体"/>
          <w:szCs w:val="32"/>
        </w:rPr>
        <w:t>居家养老定点服务机构综合评估指标体系</w:t>
      </w:r>
    </w:p>
    <w:p>
      <w:pPr>
        <w:spacing w:line="580" w:lineRule="exact"/>
        <w:jc w:val="left"/>
        <w:rPr>
          <w:rFonts w:ascii="仿宋_GB2312" w:hAnsi="仿宋" w:cs="黑体"/>
          <w:szCs w:val="32"/>
        </w:rPr>
      </w:pPr>
      <w:r>
        <w:rPr>
          <w:rFonts w:hint="eastAsia" w:ascii="仿宋_GB2312" w:hAnsi="仿宋" w:cs="黑体"/>
          <w:sz w:val="21"/>
          <w:szCs w:val="21"/>
        </w:rPr>
        <w:t>机构名称：                             评审总分：</w:t>
      </w:r>
    </w:p>
    <w:tbl>
      <w:tblPr>
        <w:tblStyle w:val="3"/>
        <w:tblW w:w="9322" w:type="dxa"/>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1055"/>
        <w:gridCol w:w="1232"/>
        <w:gridCol w:w="1020"/>
        <w:gridCol w:w="5145"/>
        <w:gridCol w:w="8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88" w:hRule="atLeast"/>
        </w:trPr>
        <w:tc>
          <w:tcPr>
            <w:tcW w:w="1055" w:type="dxa"/>
            <w:vAlign w:val="center"/>
          </w:tcPr>
          <w:p>
            <w:pPr>
              <w:widowControl/>
              <w:spacing w:line="420" w:lineRule="exact"/>
              <w:jc w:val="center"/>
              <w:textAlignment w:val="top"/>
              <w:rPr>
                <w:rFonts w:ascii="仿宋_GB2312"/>
                <w:b/>
                <w:bCs/>
                <w:color w:val="000000"/>
                <w:sz w:val="24"/>
              </w:rPr>
            </w:pPr>
            <w:r>
              <w:rPr>
                <w:rFonts w:hint="eastAsia" w:ascii="仿宋_GB2312" w:hAnsi="宋体" w:cs="宋体"/>
                <w:b/>
                <w:bCs/>
                <w:color w:val="000000"/>
                <w:sz w:val="24"/>
              </w:rPr>
              <w:t>评估类别</w:t>
            </w:r>
          </w:p>
        </w:tc>
        <w:tc>
          <w:tcPr>
            <w:tcW w:w="1232" w:type="dxa"/>
            <w:vAlign w:val="center"/>
          </w:tcPr>
          <w:p>
            <w:pPr>
              <w:widowControl/>
              <w:spacing w:line="420" w:lineRule="exact"/>
              <w:jc w:val="center"/>
              <w:textAlignment w:val="top"/>
              <w:rPr>
                <w:rFonts w:ascii="仿宋_GB2312"/>
                <w:b/>
                <w:bCs/>
                <w:color w:val="000000"/>
                <w:sz w:val="24"/>
              </w:rPr>
            </w:pPr>
            <w:r>
              <w:rPr>
                <w:rFonts w:hint="eastAsia" w:ascii="仿宋_GB2312" w:hAnsi="宋体" w:cs="宋体"/>
                <w:b/>
                <w:bCs/>
                <w:color w:val="000000"/>
                <w:sz w:val="24"/>
              </w:rPr>
              <w:t>评估项目</w:t>
            </w:r>
          </w:p>
        </w:tc>
        <w:tc>
          <w:tcPr>
            <w:tcW w:w="1020" w:type="dxa"/>
            <w:vAlign w:val="center"/>
          </w:tcPr>
          <w:p>
            <w:pPr>
              <w:widowControl/>
              <w:spacing w:line="420" w:lineRule="exact"/>
              <w:jc w:val="center"/>
              <w:textAlignment w:val="top"/>
              <w:rPr>
                <w:rFonts w:ascii="仿宋_GB2312"/>
                <w:b/>
                <w:bCs/>
                <w:color w:val="000000"/>
                <w:sz w:val="24"/>
              </w:rPr>
            </w:pPr>
            <w:r>
              <w:rPr>
                <w:rFonts w:hint="eastAsia" w:ascii="仿宋_GB2312" w:hAnsi="宋体" w:cs="宋体"/>
                <w:b/>
                <w:bCs/>
                <w:color w:val="000000"/>
                <w:sz w:val="24"/>
              </w:rPr>
              <w:t>分值</w:t>
            </w:r>
          </w:p>
        </w:tc>
        <w:tc>
          <w:tcPr>
            <w:tcW w:w="5145" w:type="dxa"/>
            <w:vAlign w:val="center"/>
          </w:tcPr>
          <w:p>
            <w:pPr>
              <w:widowControl/>
              <w:spacing w:line="420" w:lineRule="exact"/>
              <w:jc w:val="center"/>
              <w:textAlignment w:val="top"/>
              <w:rPr>
                <w:rFonts w:ascii="仿宋_GB2312"/>
                <w:b/>
                <w:bCs/>
                <w:color w:val="000000"/>
                <w:sz w:val="24"/>
              </w:rPr>
            </w:pPr>
            <w:r>
              <w:rPr>
                <w:rFonts w:hint="eastAsia" w:ascii="仿宋_GB2312" w:hAnsi="宋体" w:cs="宋体"/>
                <w:b/>
                <w:bCs/>
                <w:color w:val="000000"/>
                <w:sz w:val="24"/>
              </w:rPr>
              <w:t>评分规则</w:t>
            </w:r>
          </w:p>
        </w:tc>
        <w:tc>
          <w:tcPr>
            <w:tcW w:w="870" w:type="dxa"/>
            <w:vAlign w:val="center"/>
          </w:tcPr>
          <w:p>
            <w:pPr>
              <w:widowControl/>
              <w:spacing w:line="420" w:lineRule="exact"/>
              <w:jc w:val="center"/>
              <w:textAlignment w:val="top"/>
              <w:rPr>
                <w:rFonts w:ascii="仿宋_GB2312" w:hAnsi="宋体" w:cs="宋体"/>
                <w:b/>
                <w:bCs/>
                <w:color w:val="000000"/>
                <w:sz w:val="24"/>
              </w:rPr>
            </w:pPr>
            <w:r>
              <w:rPr>
                <w:rFonts w:hint="eastAsia" w:ascii="仿宋_GB2312" w:hAnsi="宋体" w:cs="宋体"/>
                <w:b/>
                <w:bCs/>
                <w:color w:val="000000"/>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宗旨理念</w:t>
            </w: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1、确立为老为残服务的宗旨</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3分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机构章程明确反映为老为残服务宗旨，得3分</w:t>
            </w:r>
          </w:p>
        </w:tc>
        <w:tc>
          <w:tcPr>
            <w:tcW w:w="870" w:type="dxa"/>
            <w:vMerge w:val="restart"/>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02"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top"/>
              <w:rPr>
                <w:rFonts w:ascii="仿宋_GB2312"/>
                <w:color w:val="000000"/>
                <w:sz w:val="24"/>
              </w:rPr>
            </w:pPr>
            <w:r>
              <w:rPr>
                <w:rFonts w:hint="eastAsia" w:ascii="仿宋_GB2312" w:hAnsi="宋体" w:cs="宋体"/>
                <w:color w:val="000000"/>
                <w:sz w:val="24"/>
              </w:rPr>
              <w:t>在机构其他文件中有提出为老为残服务宗旨，得2分</w:t>
            </w:r>
          </w:p>
        </w:tc>
        <w:tc>
          <w:tcPr>
            <w:tcW w:w="870" w:type="dxa"/>
            <w:vMerge w:val="continue"/>
            <w:vAlign w:val="center"/>
          </w:tcPr>
          <w:p>
            <w:pPr>
              <w:widowControl/>
              <w:spacing w:line="420" w:lineRule="exact"/>
              <w:jc w:val="left"/>
              <w:textAlignment w:val="top"/>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没有为老为残服务宗旨，得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9" w:hRule="atLeast"/>
        </w:trPr>
        <w:tc>
          <w:tcPr>
            <w:tcW w:w="1055" w:type="dxa"/>
            <w:vMerge w:val="continue"/>
            <w:vAlign w:val="center"/>
          </w:tcPr>
          <w:p>
            <w:pPr>
              <w:spacing w:line="420" w:lineRule="exact"/>
              <w:jc w:val="left"/>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2、制定科学合理的发展规划</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2分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有科学合理，切实可行的发展规划，得2分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36"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有初步完整的发展规划，得1分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没有完整具有发展规划，得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98" w:hRule="atLeast"/>
        </w:trPr>
        <w:tc>
          <w:tcPr>
            <w:tcW w:w="1055" w:type="dxa"/>
            <w:vMerge w:val="continue"/>
            <w:vAlign w:val="center"/>
          </w:tcPr>
          <w:p>
            <w:pPr>
              <w:spacing w:line="420" w:lineRule="exact"/>
              <w:jc w:val="left"/>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3、成熟的为老、为残服务理念</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2分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具备先进的为老为残服务工作理念，并在市级以上刊物发表有关论文的，得2分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80"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注重先进为老为残服务工作理论学习，有搜集培训资料供员工学习的，得1分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65"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没有相关论文发表，也没有搜集培训资料组织员工学习的，得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508" w:hRule="atLeast"/>
        </w:trPr>
        <w:tc>
          <w:tcPr>
            <w:tcW w:w="1055" w:type="dxa"/>
            <w:vMerge w:val="continue"/>
            <w:vAlign w:val="center"/>
          </w:tcPr>
          <w:p>
            <w:pPr>
              <w:spacing w:line="420" w:lineRule="exact"/>
              <w:jc w:val="left"/>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4、有说明其服务的宗旨、目标、服务对象、服务的提供方法，以及服务使用者申请接受和退出该项服务机制的服务宣传资料供人查阅</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3分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宣传资料对其服务的宗旨、目标、服务对象、服务的提供方法，以及服务使用者申请接受和退出该项服务机制有完备描述，得3分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516"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宣传资料对其服务的宗旨、目标、服务对象、服务的提供方法，以及服务使用者申请接受和退出该项服务机制描述欠完备，得1</w:t>
            </w:r>
            <w:r>
              <w:rPr>
                <w:rFonts w:hint="eastAsia" w:ascii="仿宋_GB2312" w:hAnsi="宋体" w:cs="宋体"/>
                <w:color w:val="000000"/>
                <w:sz w:val="24"/>
                <w:shd w:val="clear" w:fill="FFFFFF"/>
              </w:rPr>
              <w:t>-</w:t>
            </w:r>
            <w:r>
              <w:rPr>
                <w:rFonts w:hint="eastAsia" w:ascii="仿宋_GB2312" w:hAnsi="宋体" w:cs="宋体"/>
                <w:color w:val="000000"/>
                <w:sz w:val="24"/>
              </w:rPr>
              <w:t>2分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没有相关宣传资料的，得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硬件设施</w:t>
            </w: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1、有固定办公场所</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5分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有固定办公场所，且办公场所与服务配套场所已适当间隔开，得5分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有固定办公场所，但未与服务配套场所适当间隔开，得3分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没有固定办公场所，取消申请资格</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continue"/>
            <w:vAlign w:val="center"/>
          </w:tcPr>
          <w:p>
            <w:pPr>
              <w:spacing w:line="420" w:lineRule="exact"/>
              <w:jc w:val="left"/>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2、有与服务内容相配套的场所</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8分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完全符合《服务项目相配套场所参考标准》，得8分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41"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开展的服务项目没有场地要求的，且符合消防安全要求的，得6分，不符合消防安全要求的责令改正，再行申报</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56"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不多于3项不符合《服务项目配套场所参考标准》，得3</w:t>
            </w:r>
            <w:r>
              <w:rPr>
                <w:rFonts w:hint="eastAsia" w:ascii="仿宋_GB2312" w:hAnsi="宋体" w:cs="宋体"/>
                <w:color w:val="000000"/>
                <w:sz w:val="24"/>
                <w:shd w:val="clear" w:fill="FFFFFF"/>
              </w:rPr>
              <w:t>-</w:t>
            </w:r>
            <w:r>
              <w:rPr>
                <w:rFonts w:hint="eastAsia" w:ascii="仿宋_GB2312" w:hAnsi="宋体" w:cs="宋体"/>
                <w:color w:val="000000"/>
                <w:sz w:val="24"/>
              </w:rPr>
              <w:t>4分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80"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某项服务项目超过3项不符合《服务项目配套场所参考标准》，得0-1分，并取消相应服务项目申报</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47" w:hRule="atLeast"/>
        </w:trPr>
        <w:tc>
          <w:tcPr>
            <w:tcW w:w="1055" w:type="dxa"/>
            <w:vMerge w:val="continue"/>
            <w:vAlign w:val="center"/>
          </w:tcPr>
          <w:p>
            <w:pPr>
              <w:spacing w:line="420" w:lineRule="exact"/>
              <w:jc w:val="left"/>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3、具备电话、电脑、传真机等基本办公设备</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4分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具备基本办公设备，得4分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缺一样，得2分，缺两样，得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56" w:hRule="atLeast"/>
        </w:trPr>
        <w:tc>
          <w:tcPr>
            <w:tcW w:w="1055" w:type="dxa"/>
            <w:vMerge w:val="continue"/>
            <w:vAlign w:val="center"/>
          </w:tcPr>
          <w:p>
            <w:pPr>
              <w:spacing w:line="420" w:lineRule="exact"/>
              <w:jc w:val="left"/>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4、有开展服务应具备的服务设施</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8分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完全符合《服务项目配套设施参考标准》，得8分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开展的服务项目没有设施要求的，得6分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38"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基本符合《服务项目配套场所参考标准》，得3</w:t>
            </w:r>
            <w:r>
              <w:rPr>
                <w:rFonts w:hint="eastAsia" w:ascii="仿宋_GB2312" w:hAnsi="宋体" w:cs="宋体"/>
                <w:color w:val="000000"/>
                <w:sz w:val="24"/>
                <w:shd w:val="clear" w:fill="FFFFFF"/>
              </w:rPr>
              <w:t>-</w:t>
            </w:r>
            <w:r>
              <w:rPr>
                <w:rFonts w:hint="eastAsia" w:ascii="仿宋_GB2312" w:hAnsi="宋体" w:cs="宋体"/>
                <w:color w:val="000000"/>
                <w:sz w:val="24"/>
              </w:rPr>
              <w:t>4分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80"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某项服务项目不符合《服务项目配套场所参考标准》，得0-1分，并取消相应服务项目申报</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工作人员</w:t>
            </w: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1、具有专业资格工作人员占从业人员比例</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4分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比例≥50%，得4分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50%＞比例≥20%，得3分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20%＞比例≥0%，得2分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56"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没有具有专业资格工作人员的，得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2、行政管理人员占机构总人数的比例</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4分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比例≤10%，得3</w:t>
            </w:r>
            <w:r>
              <w:rPr>
                <w:rFonts w:hint="eastAsia" w:ascii="仿宋_GB2312" w:hAnsi="宋体" w:cs="宋体"/>
                <w:color w:val="000000"/>
                <w:sz w:val="24"/>
                <w:shd w:val="clear" w:fill="FFFFFF"/>
              </w:rPr>
              <w:t>-</w:t>
            </w:r>
            <w:r>
              <w:rPr>
                <w:rFonts w:hint="eastAsia" w:ascii="仿宋_GB2312" w:hAnsi="宋体" w:cs="宋体"/>
                <w:color w:val="000000"/>
                <w:sz w:val="24"/>
              </w:rPr>
              <w:t>4分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15%≥比例＞10%，得1</w:t>
            </w:r>
            <w:r>
              <w:rPr>
                <w:rFonts w:hint="eastAsia" w:ascii="仿宋_GB2312" w:hAnsi="宋体" w:cs="宋体"/>
                <w:color w:val="000000"/>
                <w:sz w:val="24"/>
                <w:shd w:val="clear" w:fill="FFFFFF"/>
              </w:rPr>
              <w:t>-</w:t>
            </w:r>
            <w:r>
              <w:rPr>
                <w:rFonts w:hint="eastAsia" w:ascii="仿宋_GB2312" w:hAnsi="宋体" w:cs="宋体"/>
                <w:color w:val="000000"/>
                <w:sz w:val="24"/>
              </w:rPr>
              <w:t>2分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比例＞15%，得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3、有专职出纳，且不兼任会计</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4分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符合要求，且有专职会计，得3</w:t>
            </w:r>
            <w:r>
              <w:rPr>
                <w:rFonts w:hint="eastAsia" w:ascii="仿宋_GB2312" w:hAnsi="宋体" w:cs="宋体"/>
                <w:color w:val="000000"/>
                <w:sz w:val="24"/>
                <w:shd w:val="clear" w:fill="FFFFFF"/>
              </w:rPr>
              <w:t>-</w:t>
            </w:r>
            <w:r>
              <w:rPr>
                <w:rFonts w:hint="eastAsia" w:ascii="仿宋_GB2312" w:hAnsi="宋体" w:cs="宋体"/>
                <w:color w:val="000000"/>
                <w:sz w:val="24"/>
              </w:rPr>
              <w:t>4分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符合要求，会计为兼职，得1</w:t>
            </w:r>
            <w:r>
              <w:rPr>
                <w:rFonts w:hint="eastAsia" w:ascii="仿宋_GB2312" w:hAnsi="宋体" w:cs="宋体"/>
                <w:color w:val="000000"/>
                <w:sz w:val="24"/>
                <w:shd w:val="clear" w:fill="FFFFFF"/>
              </w:rPr>
              <w:t>-</w:t>
            </w:r>
            <w:r>
              <w:rPr>
                <w:rFonts w:hint="eastAsia" w:ascii="仿宋_GB2312" w:hAnsi="宋体" w:cs="宋体"/>
                <w:color w:val="000000"/>
                <w:sz w:val="24"/>
              </w:rPr>
              <w:t>2分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不符合要求，责令改正，得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65" w:hRule="atLeast"/>
        </w:trPr>
        <w:tc>
          <w:tcPr>
            <w:tcW w:w="1055" w:type="dxa"/>
            <w:vMerge w:val="continue"/>
            <w:vAlign w:val="center"/>
          </w:tcPr>
          <w:p>
            <w:pPr>
              <w:spacing w:line="420" w:lineRule="exact"/>
              <w:jc w:val="left"/>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4、吸收本市户籍失业人员</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4分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本市户籍失业人员占从业人员50%以上，得4分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本市户籍失业人员占从业人员</w:t>
            </w:r>
            <w:r>
              <w:rPr>
                <w:rFonts w:hint="default" w:ascii="仿宋_GB2312" w:hAnsi="宋体" w:cs="宋体"/>
                <w:color w:val="000000"/>
                <w:sz w:val="24"/>
                <w:shd w:val="clear" w:fill="FFFFFF"/>
                <w:lang w:val="en"/>
              </w:rPr>
              <w:t>20%—50%</w:t>
            </w:r>
            <w:r>
              <w:rPr>
                <w:rFonts w:hint="eastAsia" w:ascii="仿宋_GB2312" w:hAnsi="宋体" w:cs="宋体"/>
                <w:color w:val="000000"/>
                <w:sz w:val="24"/>
              </w:rPr>
              <w:t>以上，得3分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56"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本市户籍失业人员占从业人员</w:t>
            </w:r>
            <w:r>
              <w:rPr>
                <w:rFonts w:hint="default" w:ascii="仿宋_GB2312" w:hAnsi="宋体" w:cs="宋体"/>
                <w:color w:val="000000"/>
                <w:sz w:val="24"/>
                <w:shd w:val="clear" w:fill="FFFFFF"/>
                <w:lang w:val="en"/>
              </w:rPr>
              <w:t>5%—20%</w:t>
            </w:r>
            <w:r>
              <w:rPr>
                <w:rFonts w:hint="eastAsia" w:ascii="仿宋_GB2312" w:hAnsi="宋体" w:cs="宋体"/>
                <w:color w:val="000000"/>
                <w:sz w:val="24"/>
              </w:rPr>
              <w:t>以上，得2分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本市户籍失业人员占从业人员5%以下，得1分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continue"/>
            <w:vAlign w:val="center"/>
          </w:tcPr>
          <w:p>
            <w:pPr>
              <w:spacing w:line="420" w:lineRule="exact"/>
              <w:jc w:val="left"/>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5、组织从业人员定期培训</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4分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有组织定期培训，有培训材料，得3</w:t>
            </w:r>
            <w:r>
              <w:rPr>
                <w:rFonts w:hint="eastAsia" w:ascii="仿宋_GB2312" w:hAnsi="宋体" w:cs="宋体"/>
                <w:color w:val="000000"/>
                <w:sz w:val="24"/>
                <w:shd w:val="clear" w:fill="FFFFFF"/>
              </w:rPr>
              <w:t>-</w:t>
            </w:r>
            <w:r>
              <w:rPr>
                <w:rFonts w:hint="eastAsia" w:ascii="仿宋_GB2312" w:hAnsi="宋体" w:cs="宋体"/>
                <w:color w:val="000000"/>
                <w:sz w:val="24"/>
              </w:rPr>
              <w:t>4分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有定期培训，但没有培训材料，得1</w:t>
            </w:r>
            <w:r>
              <w:rPr>
                <w:rFonts w:hint="eastAsia" w:ascii="仿宋_GB2312" w:hAnsi="宋体" w:cs="宋体"/>
                <w:color w:val="000000"/>
                <w:sz w:val="24"/>
                <w:shd w:val="clear" w:fill="FFFFFF"/>
              </w:rPr>
              <w:t>-</w:t>
            </w:r>
            <w:r>
              <w:rPr>
                <w:rFonts w:hint="eastAsia" w:ascii="仿宋_GB2312" w:hAnsi="宋体" w:cs="宋体"/>
                <w:color w:val="000000"/>
                <w:sz w:val="24"/>
              </w:rPr>
              <w:t>2分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没有培训制度的，得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43" w:hRule="atLeast"/>
        </w:trPr>
        <w:tc>
          <w:tcPr>
            <w:tcW w:w="1055"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服务管理制度</w:t>
            </w: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1、组织机构和工作流程清晰，有健全的部门及岗位职责说明</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6分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有组织结构图和各项工作流程图可供查阅，有完善的部门和岗位职责说明，得5</w:t>
            </w:r>
            <w:r>
              <w:rPr>
                <w:rFonts w:hint="eastAsia" w:ascii="仿宋_GB2312" w:hAnsi="宋体" w:cs="宋体"/>
                <w:color w:val="000000"/>
                <w:sz w:val="24"/>
                <w:shd w:val="clear" w:fill="FFFFFF"/>
              </w:rPr>
              <w:t>-</w:t>
            </w:r>
            <w:r>
              <w:rPr>
                <w:rFonts w:hint="eastAsia" w:ascii="仿宋_GB2312" w:hAnsi="宋体" w:cs="宋体"/>
                <w:color w:val="000000"/>
                <w:sz w:val="24"/>
              </w:rPr>
              <w:t>6分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80"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有组织结构图，主要工作有流程图可供查阅，部门和岗位职责说明不够完备，得3</w:t>
            </w:r>
            <w:r>
              <w:rPr>
                <w:rFonts w:hint="eastAsia" w:ascii="仿宋_GB2312" w:hAnsi="宋体" w:cs="宋体"/>
                <w:color w:val="000000"/>
                <w:sz w:val="24"/>
                <w:shd w:val="clear" w:fill="FFFFFF"/>
              </w:rPr>
              <w:t>-</w:t>
            </w:r>
            <w:r>
              <w:rPr>
                <w:rFonts w:hint="eastAsia" w:ascii="仿宋_GB2312" w:hAnsi="宋体" w:cs="宋体"/>
                <w:color w:val="000000"/>
                <w:sz w:val="24"/>
              </w:rPr>
              <w:t>4分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有组织结构图和基本的部门和岗位职责说明，得1</w:t>
            </w:r>
            <w:r>
              <w:rPr>
                <w:rFonts w:hint="eastAsia" w:ascii="仿宋_GB2312" w:hAnsi="宋体" w:cs="宋体"/>
                <w:color w:val="000000"/>
                <w:sz w:val="24"/>
                <w:shd w:val="clear" w:fill="FFFFFF"/>
              </w:rPr>
              <w:t>-</w:t>
            </w:r>
            <w:r>
              <w:rPr>
                <w:rFonts w:hint="eastAsia" w:ascii="仿宋_GB2312" w:hAnsi="宋体" w:cs="宋体"/>
                <w:color w:val="000000"/>
                <w:sz w:val="24"/>
              </w:rPr>
              <w:t>2分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无组织结构图、工作流程、部门岗位职责说明，得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9" w:hRule="atLeast"/>
        </w:trPr>
        <w:tc>
          <w:tcPr>
            <w:tcW w:w="1055" w:type="dxa"/>
            <w:vMerge w:val="continue"/>
            <w:vAlign w:val="center"/>
          </w:tcPr>
          <w:p>
            <w:pPr>
              <w:spacing w:line="420" w:lineRule="exact"/>
              <w:jc w:val="left"/>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2、有制定明确详细的收费标准</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3分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按提供服务的最基本单位制定收费标准，优惠政策详尽，得3分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按提供的服务项目制定收费标准，得1分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98"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收费标准不明确，不具操作性，得</w:t>
            </w:r>
            <w:r>
              <w:rPr>
                <w:rFonts w:hint="eastAsia" w:ascii="仿宋_GB2312" w:cs="宋体"/>
                <w:color w:val="000000"/>
                <w:sz w:val="24"/>
              </w:rPr>
              <w:t>0</w:t>
            </w:r>
            <w:r>
              <w:rPr>
                <w:rFonts w:hint="eastAsia" w:ascii="仿宋_GB2312" w:hAnsi="宋体" w:cs="宋体"/>
                <w:color w:val="000000"/>
                <w:sz w:val="24"/>
              </w:rPr>
              <w:t>分，没有收费标准的，责令整改后重新申报</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3、有统一的工作服，员工佩戴工牌进行工作</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4分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符合要求，得4分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65"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统一工作服和佩戴工牌，只符合其一的，得2分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两项都不符合，得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4、与服务对象签订服务协议书</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3分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服务协议书条款清晰、明确，得3分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有签订服务协议书，得1分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没有签订服务协议书的，得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72" w:hRule="atLeast"/>
        </w:trPr>
        <w:tc>
          <w:tcPr>
            <w:tcW w:w="1055" w:type="dxa"/>
            <w:vMerge w:val="continue"/>
            <w:vAlign w:val="center"/>
          </w:tcPr>
          <w:p>
            <w:pPr>
              <w:spacing w:line="420" w:lineRule="exact"/>
              <w:jc w:val="left"/>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5、建立了包含服务协议书、身份证及户口簿复印件、服务对象相片、应急处理联系人等信息的服务档案</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4分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建立了资料详尽的服务档案，且有专人管理，易于查找，有档案保密措施，得4分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建立了资料详细的服务档案，有档案保密措施，得3分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建立了资料详细的服务档案，得2分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建立了服务档案，但缺乏某一项信息的，得1分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未建立服务档案，或服务档案信息严重缺乏，得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80" w:hRule="atLeast"/>
        </w:trPr>
        <w:tc>
          <w:tcPr>
            <w:tcW w:w="1055" w:type="dxa"/>
            <w:vMerge w:val="continue"/>
            <w:vAlign w:val="center"/>
          </w:tcPr>
          <w:p>
            <w:pPr>
              <w:spacing w:line="420" w:lineRule="exact"/>
              <w:jc w:val="left"/>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6、建立各项服务操作流程，并确保严格执行</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5分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有严谨规范的服务操作流程，并具备有效措施确保操作流程严格执行，得5分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02"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操作流程较规范，有确保操作流程执行的制度，得3分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有操作流程，得1分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没有操作流程，得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76" w:hRule="atLeast"/>
        </w:trPr>
        <w:tc>
          <w:tcPr>
            <w:tcW w:w="1055" w:type="dxa"/>
            <w:vMerge w:val="continue"/>
            <w:vAlign w:val="center"/>
          </w:tcPr>
          <w:p>
            <w:pPr>
              <w:spacing w:line="420" w:lineRule="exact"/>
              <w:jc w:val="left"/>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7、确保提供服务被详尽、及时</w:t>
            </w:r>
            <w:r>
              <w:rPr>
                <w:rFonts w:hint="eastAsia" w:ascii="仿宋_GB2312" w:hAnsi="宋体" w:cs="宋体"/>
                <w:color w:val="000000"/>
                <w:sz w:val="24"/>
                <w:shd w:val="clear" w:fill="FFFFFF"/>
              </w:rPr>
              <w:t>的</w:t>
            </w:r>
            <w:r>
              <w:rPr>
                <w:rFonts w:hint="eastAsia" w:ascii="仿宋_GB2312" w:hAnsi="宋体" w:cs="宋体"/>
                <w:color w:val="000000"/>
                <w:sz w:val="24"/>
              </w:rPr>
              <w:t>记录（服务记录应包括服务日期，服务时间段、服务人员，服务的具体事项、解决的问题，服务收到的效果或服务对象的评价等）</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5分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对每次提供的服务有详细记录，且记录时间不晚于提供服务后的次日内，有设立合理的抽检评估制度，得5分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41"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对每次提供的服务有详细记录，且记录时间不晚于提供服务后的3日内，有设立合理的抽检评估制度，得4分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4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对每次提供的服务有详细记录，但记录不太及时，或者记录时间不晚于提供服务后3日内，但未设立抽检评估制度，得2分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对每次提供的服务有记录，但记录不详细，得1分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未按次记录服务情况的，得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1" w:hRule="atLeast"/>
        </w:trPr>
        <w:tc>
          <w:tcPr>
            <w:tcW w:w="1055"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服务跟踪评估</w:t>
            </w: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1、服务人员服务质量评估</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5分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有规范、健全的服务人员服务质量评估制度和操作方法，得5分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有基本的服务人员服务质量评估制度和操作方法，得3分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有服务人员服务质量评估的框架，但尚未形成具体实施的制度，得1分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56"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没有服务人员服务质量评估这方面的考虑，得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80" w:hRule="atLeast"/>
        </w:trPr>
        <w:tc>
          <w:tcPr>
            <w:tcW w:w="1055" w:type="dxa"/>
            <w:vMerge w:val="continue"/>
            <w:vAlign w:val="center"/>
          </w:tcPr>
          <w:p>
            <w:pPr>
              <w:widowControl/>
              <w:spacing w:line="420" w:lineRule="exact"/>
              <w:jc w:val="left"/>
              <w:textAlignment w:val="center"/>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2、对服务对象回访</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6分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有完善的服务对象回访制度和措施，设计有回访调查问卷，并切实实施的，得6分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56" w:hRule="atLeast"/>
        </w:trPr>
        <w:tc>
          <w:tcPr>
            <w:tcW w:w="1055" w:type="dxa"/>
            <w:vMerge w:val="continue"/>
            <w:vAlign w:val="center"/>
          </w:tcPr>
          <w:p>
            <w:pPr>
              <w:widowControl/>
              <w:spacing w:line="420" w:lineRule="exact"/>
              <w:jc w:val="left"/>
              <w:textAlignment w:val="center"/>
              <w:rPr>
                <w:rFonts w:ascii="仿宋_GB2312"/>
                <w:color w:val="000000"/>
                <w:sz w:val="24"/>
              </w:rPr>
            </w:pPr>
          </w:p>
        </w:tc>
        <w:tc>
          <w:tcPr>
            <w:tcW w:w="1232" w:type="dxa"/>
            <w:vMerge w:val="continue"/>
            <w:vAlign w:val="center"/>
          </w:tcPr>
          <w:p>
            <w:pPr>
              <w:widowControl/>
              <w:spacing w:line="420" w:lineRule="exact"/>
              <w:jc w:val="left"/>
              <w:textAlignment w:val="center"/>
              <w:rPr>
                <w:rFonts w:ascii="仿宋_GB2312"/>
                <w:color w:val="000000"/>
                <w:sz w:val="24"/>
              </w:rPr>
            </w:pPr>
          </w:p>
        </w:tc>
        <w:tc>
          <w:tcPr>
            <w:tcW w:w="1020" w:type="dxa"/>
            <w:vMerge w:val="continue"/>
            <w:vAlign w:val="center"/>
          </w:tcPr>
          <w:p>
            <w:pPr>
              <w:widowControl/>
              <w:spacing w:line="420" w:lineRule="exact"/>
              <w:jc w:val="center"/>
              <w:textAlignment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有完善的服务对象回访制度和措施，且有</w:t>
            </w:r>
            <w:r>
              <w:rPr>
                <w:rFonts w:hint="eastAsia" w:ascii="仿宋_GB2312" w:hAnsi="宋体" w:cs="宋体"/>
                <w:color w:val="000000"/>
                <w:sz w:val="24"/>
                <w:shd w:val="clear" w:fill="FFFFFF"/>
              </w:rPr>
              <w:t>实施</w:t>
            </w:r>
            <w:r>
              <w:rPr>
                <w:rFonts w:hint="eastAsia" w:ascii="仿宋_GB2312" w:hAnsi="宋体" w:cs="宋体"/>
                <w:color w:val="000000"/>
                <w:sz w:val="24"/>
              </w:rPr>
              <w:t>记录的，得5分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continue"/>
            <w:vAlign w:val="center"/>
          </w:tcPr>
          <w:p>
            <w:pPr>
              <w:widowControl/>
              <w:spacing w:line="420" w:lineRule="exact"/>
              <w:jc w:val="left"/>
              <w:textAlignment w:val="center"/>
              <w:rPr>
                <w:rFonts w:ascii="仿宋_GB2312"/>
                <w:color w:val="000000"/>
                <w:sz w:val="24"/>
              </w:rPr>
            </w:pPr>
          </w:p>
        </w:tc>
        <w:tc>
          <w:tcPr>
            <w:tcW w:w="1232" w:type="dxa"/>
            <w:vMerge w:val="continue"/>
            <w:vAlign w:val="center"/>
          </w:tcPr>
          <w:p>
            <w:pPr>
              <w:widowControl/>
              <w:spacing w:line="420" w:lineRule="exact"/>
              <w:jc w:val="left"/>
              <w:textAlignment w:val="center"/>
              <w:rPr>
                <w:rFonts w:ascii="仿宋_GB2312"/>
                <w:color w:val="000000"/>
                <w:sz w:val="24"/>
              </w:rPr>
            </w:pPr>
          </w:p>
        </w:tc>
        <w:tc>
          <w:tcPr>
            <w:tcW w:w="1020" w:type="dxa"/>
            <w:vMerge w:val="continue"/>
            <w:vAlign w:val="center"/>
          </w:tcPr>
          <w:p>
            <w:pPr>
              <w:widowControl/>
              <w:spacing w:line="420" w:lineRule="exact"/>
              <w:jc w:val="center"/>
              <w:textAlignment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有基本的服务对象回访制度和措施，且有</w:t>
            </w:r>
            <w:r>
              <w:rPr>
                <w:rFonts w:hint="eastAsia" w:ascii="仿宋_GB2312" w:hAnsi="宋体" w:cs="宋体"/>
                <w:color w:val="000000"/>
                <w:sz w:val="24"/>
                <w:shd w:val="clear" w:fill="FFFFFF"/>
              </w:rPr>
              <w:t>实施</w:t>
            </w:r>
            <w:r>
              <w:rPr>
                <w:rFonts w:hint="eastAsia" w:ascii="仿宋_GB2312" w:hAnsi="宋体" w:cs="宋体"/>
                <w:color w:val="000000"/>
                <w:sz w:val="24"/>
              </w:rPr>
              <w:t>记录的，得4分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56"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有服务对象回访制度和措施，但没有实施记录的，得2分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没有服务对象回访机制的，得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65" w:hRule="atLeast"/>
        </w:trPr>
        <w:tc>
          <w:tcPr>
            <w:tcW w:w="1055" w:type="dxa"/>
            <w:vMerge w:val="continue"/>
            <w:vAlign w:val="center"/>
          </w:tcPr>
          <w:p>
            <w:pPr>
              <w:spacing w:line="420" w:lineRule="exact"/>
              <w:jc w:val="left"/>
              <w:rPr>
                <w:rFonts w:ascii="仿宋_GB2312"/>
                <w:color w:val="000000"/>
                <w:sz w:val="24"/>
              </w:rPr>
            </w:pPr>
          </w:p>
        </w:tc>
        <w:tc>
          <w:tcPr>
            <w:tcW w:w="1232" w:type="dxa"/>
            <w:vMerge w:val="restart"/>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3、制定投诉/建议处理机制并实施</w:t>
            </w:r>
          </w:p>
        </w:tc>
        <w:tc>
          <w:tcPr>
            <w:tcW w:w="1020" w:type="dxa"/>
            <w:vMerge w:val="restart"/>
            <w:vAlign w:val="center"/>
          </w:tcPr>
          <w:p>
            <w:pPr>
              <w:widowControl/>
              <w:spacing w:line="420" w:lineRule="exact"/>
              <w:jc w:val="center"/>
              <w:textAlignment w:val="center"/>
              <w:rPr>
                <w:rFonts w:ascii="仿宋_GB2312"/>
                <w:color w:val="000000"/>
                <w:sz w:val="24"/>
              </w:rPr>
            </w:pPr>
            <w:r>
              <w:rPr>
                <w:rFonts w:hint="eastAsia" w:ascii="仿宋_GB2312" w:hAnsi="宋体" w:cs="宋体"/>
                <w:color w:val="000000"/>
                <w:sz w:val="24"/>
              </w:rPr>
              <w:t>4分</w:t>
            </w: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处理机制合理规范，且运行良好，得4分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20"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建立处理机制，且确保实施，得2</w:t>
            </w:r>
            <w:r>
              <w:rPr>
                <w:rFonts w:hint="eastAsia" w:ascii="仿宋_GB2312" w:hAnsi="宋体" w:cs="宋体"/>
                <w:color w:val="000000"/>
                <w:sz w:val="24"/>
                <w:shd w:val="clear" w:fill="FFFFFF"/>
              </w:rPr>
              <w:t>-</w:t>
            </w:r>
            <w:r>
              <w:rPr>
                <w:rFonts w:hint="eastAsia" w:ascii="仿宋_GB2312" w:hAnsi="宋体" w:cs="宋体"/>
                <w:color w:val="000000"/>
                <w:sz w:val="24"/>
              </w:rPr>
              <w:t>3分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65"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建议处理机制，但没有证据表明已实施，得1分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9" w:hRule="atLeast"/>
        </w:trPr>
        <w:tc>
          <w:tcPr>
            <w:tcW w:w="1055" w:type="dxa"/>
            <w:vMerge w:val="continue"/>
            <w:vAlign w:val="center"/>
          </w:tcPr>
          <w:p>
            <w:pPr>
              <w:spacing w:line="420" w:lineRule="exact"/>
              <w:jc w:val="left"/>
              <w:rPr>
                <w:rFonts w:ascii="仿宋_GB2312"/>
                <w:color w:val="000000"/>
                <w:sz w:val="24"/>
              </w:rPr>
            </w:pPr>
          </w:p>
        </w:tc>
        <w:tc>
          <w:tcPr>
            <w:tcW w:w="1232" w:type="dxa"/>
            <w:vMerge w:val="continue"/>
            <w:vAlign w:val="center"/>
          </w:tcPr>
          <w:p>
            <w:pPr>
              <w:spacing w:line="420" w:lineRule="exact"/>
              <w:jc w:val="left"/>
              <w:rPr>
                <w:rFonts w:ascii="仿宋_GB2312"/>
                <w:color w:val="000000"/>
                <w:sz w:val="24"/>
              </w:rPr>
            </w:pPr>
          </w:p>
        </w:tc>
        <w:tc>
          <w:tcPr>
            <w:tcW w:w="1020" w:type="dxa"/>
            <w:vMerge w:val="continue"/>
            <w:vAlign w:val="center"/>
          </w:tcPr>
          <w:p>
            <w:pPr>
              <w:spacing w:line="420" w:lineRule="exact"/>
              <w:jc w:val="center"/>
              <w:rPr>
                <w:rFonts w:ascii="仿宋_GB2312"/>
                <w:color w:val="000000"/>
                <w:sz w:val="24"/>
              </w:rPr>
            </w:pPr>
          </w:p>
        </w:tc>
        <w:tc>
          <w:tcPr>
            <w:tcW w:w="5145" w:type="dxa"/>
            <w:vAlign w:val="center"/>
          </w:tcPr>
          <w:p>
            <w:pPr>
              <w:widowControl/>
              <w:spacing w:line="420" w:lineRule="exact"/>
              <w:jc w:val="left"/>
              <w:textAlignment w:val="center"/>
              <w:rPr>
                <w:rFonts w:ascii="仿宋_GB2312"/>
                <w:color w:val="000000"/>
                <w:sz w:val="24"/>
              </w:rPr>
            </w:pPr>
            <w:r>
              <w:rPr>
                <w:rFonts w:hint="eastAsia" w:ascii="仿宋_GB2312" w:hAnsi="宋体" w:cs="宋体"/>
                <w:color w:val="000000"/>
                <w:sz w:val="24"/>
              </w:rPr>
              <w:t>没有建立处理机制，得</w:t>
            </w:r>
            <w:r>
              <w:rPr>
                <w:rFonts w:hint="eastAsia" w:ascii="仿宋_GB2312" w:cs="宋体"/>
                <w:color w:val="000000"/>
                <w:sz w:val="24"/>
              </w:rPr>
              <w:t>0</w:t>
            </w:r>
            <w:r>
              <w:rPr>
                <w:rFonts w:hint="eastAsia" w:ascii="仿宋_GB2312" w:hAnsi="宋体" w:cs="宋体"/>
                <w:color w:val="000000"/>
                <w:sz w:val="24"/>
              </w:rPr>
              <w:t>分</w:t>
            </w:r>
          </w:p>
        </w:tc>
        <w:tc>
          <w:tcPr>
            <w:tcW w:w="870" w:type="dxa"/>
            <w:vMerge w:val="continue"/>
            <w:vAlign w:val="center"/>
          </w:tcPr>
          <w:p>
            <w:pPr>
              <w:widowControl/>
              <w:spacing w:line="420" w:lineRule="exact"/>
              <w:jc w:val="left"/>
              <w:textAlignment w:val="center"/>
              <w:rPr>
                <w:rFonts w:ascii="仿宋_GB2312"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70" w:hRule="atLeast"/>
        </w:trPr>
        <w:tc>
          <w:tcPr>
            <w:tcW w:w="9322" w:type="dxa"/>
            <w:gridSpan w:val="5"/>
            <w:vAlign w:val="center"/>
          </w:tcPr>
          <w:p>
            <w:pPr>
              <w:spacing w:line="420" w:lineRule="exact"/>
              <w:jc w:val="left"/>
              <w:rPr>
                <w:rFonts w:ascii="仿宋_GB2312" w:hAnsi="仿宋_GB2312" w:cs="仿宋_GB2312"/>
                <w:sz w:val="24"/>
              </w:rPr>
            </w:pPr>
            <w:r>
              <w:rPr>
                <w:rFonts w:hint="eastAsia" w:ascii="仿宋_GB2312" w:hAnsi="仿宋_GB2312" w:cs="仿宋_GB2312"/>
                <w:sz w:val="24"/>
              </w:rPr>
              <w:t>专家签字：</w:t>
            </w:r>
          </w:p>
          <w:p>
            <w:r>
              <w:rPr>
                <w:rFonts w:hint="eastAsia" w:ascii="仿宋_GB2312" w:hAnsi="仿宋_GB2312" w:cs="仿宋_GB2312"/>
                <w:sz w:val="24"/>
              </w:rPr>
              <w:t>时  间：</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Arial">
    <w:altName w:val="DejaVu Sans"/>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revisionView w:markup="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1C171C"/>
    <w:rsid w:val="4C1C171C"/>
    <w:rsid w:val="55F5A8BF"/>
    <w:rsid w:val="65F7964C"/>
    <w:rsid w:val="72D5559F"/>
    <w:rsid w:val="76978E6C"/>
    <w:rsid w:val="79FF8585"/>
    <w:rsid w:val="7FFF287E"/>
    <w:rsid w:val="87EC5AD9"/>
    <w:rsid w:val="B3623171"/>
    <w:rsid w:val="DF77FAF8"/>
    <w:rsid w:val="FDBF79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szCs w:val="24"/>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38</TotalTime>
  <ScaleCrop>false</ScaleCrop>
  <LinksUpToDate>false</LinksUpToDate>
  <CharactersWithSpaces>0</CharactersWithSpaces>
  <Application>WPS Office_11.8.2.11958_F1E327BC-269C-435d-A152-05C5408002CA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2019-12-08T03:04:00Z</dcterms:created>
  <dc:creator>黄家荣</dc:creator>
  <cp:lastModifiedBy>jialong</cp:lastModifiedBy>
  <dcterms:modified xsi:type="dcterms:W3CDTF">2026-10-15T10:09:13Z</dcterms:modified>
  <dc:title>附件3：</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2052-11.8.2.11958</vt:lpwstr>
  </property>
  <property fmtid="{D5CDD505-2E9C-101B-9397-08002B2CF9AE}" pid="3" name="ICV">
    <vt:lpwstr>E5FE377F68B758BEC935D06A64310E9F</vt:lpwstr>
  </property>
  <property fmtid="{D5CDD505-2E9C-101B-9397-08002B2CF9AE}" pid="4" name="hmcheck_markmode">
    <vt:i4>0</vt:i4>
  </property>
  <property fmtid="{D5CDD505-2E9C-101B-9397-08002B2CF9AE}" pid="5" name="hmcheck_taskpanetype">
    <vt:i4>1</vt:i4>
  </property>
</Properties>
</file>