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附件9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现场核查表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1.创新平台新建资助现场核查表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004" w:firstLine="0" w:firstLineChars="0"/>
        <w:textAlignment w:val="auto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创新平台新建资助现场核查表</w:t>
      </w:r>
    </w:p>
    <w:tbl>
      <w:tblPr>
        <w:tblStyle w:val="6"/>
        <w:tblW w:w="100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4536"/>
        <w:gridCol w:w="1559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Merge w:val="restart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区级公共技术服务平台认定资助还需核查</w:t>
            </w:r>
          </w:p>
        </w:tc>
        <w:tc>
          <w:tcPr>
            <w:tcW w:w="4536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专业人员是否不少于10人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Merge w:val="continue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是否购置对外服务的仪器设备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Merge w:val="continue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检测、分析测试专用场地面积是否不低于400平方米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国家认可资质检验检测实验室资助还需核查</w:t>
            </w:r>
          </w:p>
        </w:tc>
        <w:tc>
          <w:tcPr>
            <w:tcW w:w="4536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是否购置仪器设备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br w:type="page"/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2.市重大平台项目落户支持现场核查表</w:t>
      </w: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市重大平台项目落户支持现场核查表</w:t>
      </w:r>
    </w:p>
    <w:tbl>
      <w:tblPr>
        <w:tblStyle w:val="6"/>
        <w:tblW w:w="100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4536"/>
        <w:gridCol w:w="1559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3.众创空间、孵化器奖励现场核查表</w:t>
      </w: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众创空间、孵化器奖励现场核查表</w:t>
      </w:r>
    </w:p>
    <w:tbl>
      <w:tblPr>
        <w:tblStyle w:val="6"/>
        <w:tblW w:w="100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8"/>
        <w:gridCol w:w="4487"/>
        <w:gridCol w:w="1559"/>
        <w:gridCol w:w="1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965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51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965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51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市级及以上孵化器面积达标资助还需核查</w:t>
            </w:r>
          </w:p>
        </w:tc>
        <w:tc>
          <w:tcPr>
            <w:tcW w:w="44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归属于孵化器使用的场地面积是否不低于3000平方米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51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市级及以上众创空间面积达标运营和租金资助还需核查</w:t>
            </w:r>
          </w:p>
        </w:tc>
        <w:tc>
          <w:tcPr>
            <w:tcW w:w="44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归属于众创空间使用的场地面积是否不低于500平方米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51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Merge w:val="restart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上级众创空间认定租金奖励还需核查</w:t>
            </w:r>
          </w:p>
        </w:tc>
        <w:tc>
          <w:tcPr>
            <w:tcW w:w="44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入驻单位的名称是否与提交的入驻单位基本情况表相符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51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Merge w:val="continue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44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入驻单位的租赁房号是否与提交的入驻单位基本情况表相符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51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Merge w:val="continue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44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入驻单位的使用面积是否与提交的入驻单位基本情况表相符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51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ascii="仿宋_GB2312" w:hAnsi="仿宋_GB2312" w:eastAsia="仿宋_GB2312" w:cs="仿宋_GB2312"/>
          <w:b/>
          <w:bCs/>
          <w:sz w:val="32"/>
          <w:szCs w:val="40"/>
        </w:rPr>
        <w:br w:type="page"/>
      </w:r>
    </w:p>
    <w:p>
      <w:pPr>
        <w:spacing w:line="560" w:lineRule="exact"/>
        <w:ind w:firstLine="642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4.创新创业大赛项目落户奖励与创客创业资助现场核查表</w:t>
      </w:r>
    </w:p>
    <w:p>
      <w:pPr>
        <w:spacing w:line="560" w:lineRule="exact"/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创新创业大赛项目落户奖励与创客创业资助现场核查表</w:t>
      </w:r>
    </w:p>
    <w:tbl>
      <w:tblPr>
        <w:tblStyle w:val="6"/>
        <w:tblW w:w="100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4536"/>
        <w:gridCol w:w="1559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ascii="仿宋_GB2312" w:hAnsi="仿宋_GB2312" w:eastAsia="仿宋_GB2312" w:cs="仿宋_GB2312"/>
          <w:b/>
          <w:bCs/>
          <w:sz w:val="32"/>
          <w:szCs w:val="40"/>
        </w:rPr>
        <w:br w:type="page"/>
      </w:r>
    </w:p>
    <w:p>
      <w:pPr>
        <w:spacing w:line="560" w:lineRule="exact"/>
        <w:ind w:firstLine="642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5.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高层次人才项目资助现场核查表</w:t>
      </w:r>
    </w:p>
    <w:p>
      <w:pPr>
        <w:spacing w:line="240" w:lineRule="exact"/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高层次人才项目资助现场核查表</w:t>
      </w:r>
    </w:p>
    <w:tbl>
      <w:tblPr>
        <w:tblStyle w:val="6"/>
        <w:tblW w:w="100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8"/>
        <w:gridCol w:w="4345"/>
        <w:gridCol w:w="1559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是否购置仪器设备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ascii="仿宋_GB2312" w:hAnsi="仿宋_GB2312" w:eastAsia="仿宋_GB2312" w:cs="仿宋_GB2312"/>
          <w:b/>
          <w:bCs/>
          <w:sz w:val="32"/>
          <w:szCs w:val="40"/>
        </w:rPr>
        <w:br w:type="page"/>
      </w:r>
    </w:p>
    <w:p>
      <w:pPr>
        <w:spacing w:line="560" w:lineRule="exact"/>
        <w:ind w:firstLine="642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6. 创新团队项目资助现场核查表</w:t>
      </w:r>
    </w:p>
    <w:p>
      <w:pPr>
        <w:spacing w:line="240" w:lineRule="exact"/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创新团队项目资助现场核查表</w:t>
      </w:r>
    </w:p>
    <w:tbl>
      <w:tblPr>
        <w:tblStyle w:val="6"/>
        <w:tblW w:w="100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8"/>
        <w:gridCol w:w="4345"/>
        <w:gridCol w:w="1559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是否购置仪器设备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ind w:firstLine="642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ascii="仿宋_GB2312" w:hAnsi="仿宋_GB2312" w:eastAsia="仿宋_GB2312" w:cs="仿宋_GB2312"/>
          <w:b/>
          <w:bCs/>
          <w:sz w:val="32"/>
          <w:szCs w:val="40"/>
        </w:rPr>
        <w:br w:type="page"/>
      </w:r>
    </w:p>
    <w:p>
      <w:pPr>
        <w:spacing w:line="560" w:lineRule="exact"/>
        <w:ind w:firstLine="642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.科技创新用房租金资助现场核查表</w:t>
      </w:r>
    </w:p>
    <w:p>
      <w:pPr>
        <w:spacing w:line="560" w:lineRule="exact"/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科技创新用房租金资助现场核查表</w:t>
      </w:r>
    </w:p>
    <w:tbl>
      <w:tblPr>
        <w:tblStyle w:val="6"/>
        <w:tblW w:w="100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4536"/>
        <w:gridCol w:w="1559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申请单位（项目）实际经营场地是否在坪山区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申请单位（项目）实际经营场地是否与产权证或租赁合同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ascii="仿宋_GB2312" w:hAnsi="仿宋_GB2312" w:eastAsia="仿宋_GB2312" w:cs="仿宋_GB2312"/>
          <w:b/>
          <w:bCs/>
          <w:sz w:val="32"/>
          <w:szCs w:val="40"/>
        </w:rPr>
        <w:br w:type="page"/>
      </w:r>
    </w:p>
    <w:p>
      <w:pPr>
        <w:spacing w:line="560" w:lineRule="exact"/>
        <w:ind w:firstLine="642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.科技创新交流和活动资助现场核查表</w:t>
      </w:r>
    </w:p>
    <w:p>
      <w:pPr>
        <w:spacing w:line="560" w:lineRule="exact"/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科技创新交流和活动资助现场核查表</w:t>
      </w:r>
    </w:p>
    <w:tbl>
      <w:tblPr>
        <w:tblStyle w:val="6"/>
        <w:tblW w:w="100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4678"/>
        <w:gridCol w:w="1559"/>
        <w:gridCol w:w="1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965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申请单位（项目）实际经营场地是否在坪山区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51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自行参加国内外科技类专业学术交流活动资助还需核查</w:t>
            </w:r>
          </w:p>
        </w:tc>
        <w:tc>
          <w:tcPr>
            <w:tcW w:w="46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51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ind w:firstLine="642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ascii="仿宋_GB2312" w:hAnsi="仿宋_GB2312" w:eastAsia="仿宋_GB2312" w:cs="仿宋_GB2312"/>
          <w:b/>
          <w:bCs/>
          <w:sz w:val="32"/>
          <w:szCs w:val="40"/>
        </w:rPr>
        <w:br w:type="page"/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.科技服务机构落户资助现场核查表</w:t>
      </w:r>
    </w:p>
    <w:p>
      <w:pPr>
        <w:spacing w:line="560" w:lineRule="exact"/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科技服务机构落户资助现场核查表</w:t>
      </w:r>
    </w:p>
    <w:tbl>
      <w:tblPr>
        <w:tblStyle w:val="6"/>
        <w:tblW w:w="100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4536"/>
        <w:gridCol w:w="1559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申请单位实际经营场地是否在坪山区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申请单位实际经营场地是否与产权证或租赁合同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Merge w:val="restart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第（二）款科技服务机构落户资助还需核查</w:t>
            </w:r>
          </w:p>
        </w:tc>
        <w:tc>
          <w:tcPr>
            <w:tcW w:w="4536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专业人员是否不少于15人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Merge w:val="continue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其中，专职人员比例是否不低于50%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Merge w:val="restart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高校院所设立技术转移机构资助还需核查</w:t>
            </w:r>
          </w:p>
        </w:tc>
        <w:tc>
          <w:tcPr>
            <w:tcW w:w="4536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专职人员是否5人以上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Merge w:val="continue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技术转移专员是否不少于1人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ind w:firstLine="642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.科技创新联盟资助现场核查表</w:t>
      </w:r>
    </w:p>
    <w:p>
      <w:pPr>
        <w:spacing w:line="560" w:lineRule="exact"/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科技创新联盟资助现场核查表</w:t>
      </w:r>
    </w:p>
    <w:tbl>
      <w:tblPr>
        <w:tblStyle w:val="6"/>
        <w:tblW w:w="100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4536"/>
        <w:gridCol w:w="1559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申请单位实际经营场地是否在坪山区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申请单位实际经营场地是否与产权证或租赁合同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/>
    <w:p>
      <w:pPr>
        <w:widowControl/>
        <w:jc w:val="left"/>
        <w:rPr>
          <w:rFonts w:ascii="黑体" w:hAnsi="黑体" w:eastAsia="黑体" w:cs="仿宋_GB2312"/>
          <w:bCs/>
          <w:sz w:val="32"/>
          <w:szCs w:val="40"/>
        </w:rPr>
      </w:pPr>
      <w:r>
        <w:rPr>
          <w:rFonts w:ascii="黑体" w:hAnsi="黑体" w:eastAsia="黑体" w:cs="仿宋_GB2312"/>
          <w:bCs/>
          <w:sz w:val="32"/>
          <w:szCs w:val="40"/>
        </w:rPr>
        <w:br w:type="page"/>
      </w:r>
    </w:p>
    <w:p>
      <w:pPr>
        <w:spacing w:line="560" w:lineRule="exact"/>
        <w:ind w:firstLine="642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.科普教育基地运营资助现场核查表</w:t>
      </w:r>
    </w:p>
    <w:p>
      <w:pPr>
        <w:spacing w:line="560" w:lineRule="exact"/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科普教育基地运营资助现场核查表</w:t>
      </w:r>
    </w:p>
    <w:tbl>
      <w:tblPr>
        <w:tblStyle w:val="6"/>
        <w:tblW w:w="95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4908"/>
        <w:gridCol w:w="1265"/>
        <w:gridCol w:w="1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甲方</w:t>
            </w:r>
          </w:p>
        </w:tc>
        <w:tc>
          <w:tcPr>
            <w:tcW w:w="7378" w:type="dxa"/>
            <w:gridSpan w:val="3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乙方</w:t>
            </w:r>
          </w:p>
        </w:tc>
        <w:tc>
          <w:tcPr>
            <w:tcW w:w="737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第三方机构</w:t>
            </w:r>
          </w:p>
        </w:tc>
        <w:tc>
          <w:tcPr>
            <w:tcW w:w="737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时间</w:t>
            </w:r>
          </w:p>
        </w:tc>
        <w:tc>
          <w:tcPr>
            <w:tcW w:w="737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地点</w:t>
            </w:r>
          </w:p>
        </w:tc>
        <w:tc>
          <w:tcPr>
            <w:tcW w:w="737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现场考核事由</w:t>
            </w:r>
          </w:p>
        </w:tc>
        <w:tc>
          <w:tcPr>
            <w:tcW w:w="737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7100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申请单位实际经营场地是否在坪山区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7100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申请单位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restart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科技场馆类科普教育基地认定还需核查</w:t>
            </w: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是否设有综合性科技场馆和专业科技场馆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综合性科技场馆用于科普展教活动的室内展厅总面积是否不小于400平方米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专业科技场馆用于科普展教活动的室内展厅总面积是否不小于150平方米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专职科技辅导员或讲解员人数是否不少于2人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志愿者人数是否10人以上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restart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公共场所类科普教育基地认定还需核查</w:t>
            </w: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是否拥有科普展教功能的自然、历史、旅游、休憩等公共场所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基地用于科普展示的面积是否在400平方米以上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是否配置开展科普活动所需的演示设施设备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restart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教育科研类科普教育基地还需</w:t>
            </w:r>
          </w:p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核查</w:t>
            </w: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是否面向社会和公众开放、具有特定科学传播与普及功能的场馆、设施或场所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科研院所中的博物馆、标本馆、陈列馆、天文台（馆、站）、医院、中小学展教场所面积是否不少于300平方米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科研院所中的实验室、工程中心、技术中心、野外站（台）等研究实验基地展教场所面积是否不少于200平方米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科普工作人员人数是否1人以上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科普志愿者人数是否5人以上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restart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生产设施类科普教育基地认定还需核查</w:t>
            </w: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是否拥有面向公众普及科学知识的场馆、设施或场所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企业生产线（车间、生产场所）或科普展厅是否不少于100平方米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科普工作人员人数是否1人以上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科普志愿者人数是否不少于5人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restart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信息传媒类科普教育基地还需</w:t>
            </w:r>
          </w:p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核查</w:t>
            </w: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是否设有专门从事科普内容策划、制作、编辑等职能的部门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专职人员人数是否不少于1人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9570" w:type="dxa"/>
            <w:gridSpan w:val="4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甲方：                乙方：             第三方机构：</w:t>
            </w:r>
          </w:p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F8B"/>
    <w:rsid w:val="00015F5E"/>
    <w:rsid w:val="00020843"/>
    <w:rsid w:val="000408EE"/>
    <w:rsid w:val="0006197D"/>
    <w:rsid w:val="000850BA"/>
    <w:rsid w:val="00087A9B"/>
    <w:rsid w:val="000A1CAF"/>
    <w:rsid w:val="000D6162"/>
    <w:rsid w:val="001142A8"/>
    <w:rsid w:val="00117409"/>
    <w:rsid w:val="00136C23"/>
    <w:rsid w:val="001379CE"/>
    <w:rsid w:val="00161E53"/>
    <w:rsid w:val="00170250"/>
    <w:rsid w:val="001924D0"/>
    <w:rsid w:val="00195C2D"/>
    <w:rsid w:val="001C6079"/>
    <w:rsid w:val="00262E25"/>
    <w:rsid w:val="002A090A"/>
    <w:rsid w:val="002B631E"/>
    <w:rsid w:val="002C3520"/>
    <w:rsid w:val="003A7697"/>
    <w:rsid w:val="003B0AE3"/>
    <w:rsid w:val="003D71F3"/>
    <w:rsid w:val="003E06FB"/>
    <w:rsid w:val="003E6D49"/>
    <w:rsid w:val="003F7AB2"/>
    <w:rsid w:val="00444565"/>
    <w:rsid w:val="004933B8"/>
    <w:rsid w:val="004B621A"/>
    <w:rsid w:val="004D52B1"/>
    <w:rsid w:val="004D6F77"/>
    <w:rsid w:val="004F45C8"/>
    <w:rsid w:val="00503963"/>
    <w:rsid w:val="00513723"/>
    <w:rsid w:val="005206A3"/>
    <w:rsid w:val="00533BB6"/>
    <w:rsid w:val="00541F0C"/>
    <w:rsid w:val="005933AD"/>
    <w:rsid w:val="005A3E59"/>
    <w:rsid w:val="005B132E"/>
    <w:rsid w:val="0060089A"/>
    <w:rsid w:val="00604836"/>
    <w:rsid w:val="006072B9"/>
    <w:rsid w:val="006307CA"/>
    <w:rsid w:val="006340D4"/>
    <w:rsid w:val="006376E0"/>
    <w:rsid w:val="0066697D"/>
    <w:rsid w:val="0067180C"/>
    <w:rsid w:val="006813EA"/>
    <w:rsid w:val="006A5B39"/>
    <w:rsid w:val="006C0D97"/>
    <w:rsid w:val="00712661"/>
    <w:rsid w:val="00724C18"/>
    <w:rsid w:val="00773A18"/>
    <w:rsid w:val="007817D1"/>
    <w:rsid w:val="00782082"/>
    <w:rsid w:val="007A19C3"/>
    <w:rsid w:val="007A735A"/>
    <w:rsid w:val="007B6900"/>
    <w:rsid w:val="007E4E8A"/>
    <w:rsid w:val="00801B0E"/>
    <w:rsid w:val="00805683"/>
    <w:rsid w:val="0080763C"/>
    <w:rsid w:val="00820249"/>
    <w:rsid w:val="008315A5"/>
    <w:rsid w:val="008408A3"/>
    <w:rsid w:val="00844897"/>
    <w:rsid w:val="008760E5"/>
    <w:rsid w:val="008E648B"/>
    <w:rsid w:val="008F5916"/>
    <w:rsid w:val="0094384E"/>
    <w:rsid w:val="00950B75"/>
    <w:rsid w:val="009515C3"/>
    <w:rsid w:val="009551BD"/>
    <w:rsid w:val="0096474E"/>
    <w:rsid w:val="00964CEA"/>
    <w:rsid w:val="009925ED"/>
    <w:rsid w:val="009C667F"/>
    <w:rsid w:val="009D58A0"/>
    <w:rsid w:val="009D662C"/>
    <w:rsid w:val="009E2133"/>
    <w:rsid w:val="009F4B2C"/>
    <w:rsid w:val="00A42BF0"/>
    <w:rsid w:val="00A555E1"/>
    <w:rsid w:val="00A616BF"/>
    <w:rsid w:val="00A64BFF"/>
    <w:rsid w:val="00A87B41"/>
    <w:rsid w:val="00AC7D51"/>
    <w:rsid w:val="00AF0FA2"/>
    <w:rsid w:val="00B05482"/>
    <w:rsid w:val="00B66233"/>
    <w:rsid w:val="00B80AEE"/>
    <w:rsid w:val="00BA3357"/>
    <w:rsid w:val="00BF6D33"/>
    <w:rsid w:val="00C40673"/>
    <w:rsid w:val="00C5759C"/>
    <w:rsid w:val="00C63929"/>
    <w:rsid w:val="00C84F77"/>
    <w:rsid w:val="00CE4A86"/>
    <w:rsid w:val="00CE5B33"/>
    <w:rsid w:val="00D1659A"/>
    <w:rsid w:val="00D16FE7"/>
    <w:rsid w:val="00D47E56"/>
    <w:rsid w:val="00D658B3"/>
    <w:rsid w:val="00D73A07"/>
    <w:rsid w:val="00D81F52"/>
    <w:rsid w:val="00D86D5F"/>
    <w:rsid w:val="00DA099E"/>
    <w:rsid w:val="00DA35DE"/>
    <w:rsid w:val="00E0325F"/>
    <w:rsid w:val="00E57B6B"/>
    <w:rsid w:val="00E63F73"/>
    <w:rsid w:val="00E65358"/>
    <w:rsid w:val="00E9314E"/>
    <w:rsid w:val="00E936DB"/>
    <w:rsid w:val="00E96B5D"/>
    <w:rsid w:val="00EA71D6"/>
    <w:rsid w:val="00EC7A65"/>
    <w:rsid w:val="00EF24B5"/>
    <w:rsid w:val="00F06601"/>
    <w:rsid w:val="00F10C7D"/>
    <w:rsid w:val="00F1371A"/>
    <w:rsid w:val="00F41F8B"/>
    <w:rsid w:val="00F557F6"/>
    <w:rsid w:val="00F75B6B"/>
    <w:rsid w:val="00FA32EA"/>
    <w:rsid w:val="00FA572D"/>
    <w:rsid w:val="00FB0567"/>
    <w:rsid w:val="00FE020C"/>
    <w:rsid w:val="00FE50EF"/>
    <w:rsid w:val="00FF4DDA"/>
    <w:rsid w:val="00FF746B"/>
    <w:rsid w:val="0FD81D42"/>
    <w:rsid w:val="13FF7C29"/>
    <w:rsid w:val="3FBA6E76"/>
    <w:rsid w:val="5350388B"/>
    <w:rsid w:val="5D99E099"/>
    <w:rsid w:val="63D3276C"/>
    <w:rsid w:val="63FF44BF"/>
    <w:rsid w:val="6BD6DDA6"/>
    <w:rsid w:val="6D9F1736"/>
    <w:rsid w:val="AEF7F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otnote reference"/>
    <w:basedOn w:val="7"/>
    <w:qFormat/>
    <w:uiPriority w:val="0"/>
    <w:rPr>
      <w:vertAlign w:val="superscript"/>
    </w:rPr>
  </w:style>
  <w:style w:type="character" w:customStyle="1" w:styleId="9">
    <w:name w:val="页眉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524</Words>
  <Characters>2988</Characters>
  <Lines>24</Lines>
  <Paragraphs>7</Paragraphs>
  <TotalTime>3</TotalTime>
  <ScaleCrop>false</ScaleCrop>
  <LinksUpToDate>false</LinksUpToDate>
  <CharactersWithSpaces>3505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chenqiongqiong</cp:lastModifiedBy>
  <dcterms:modified xsi:type="dcterms:W3CDTF">2022-05-20T17:33:08Z</dcterms:modified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