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rPr>
          <w:rFonts w:hint="eastAsia" w:ascii="微软雅黑" w:hAnsi="微软雅黑" w:eastAsia="微软雅黑" w:cs="微软雅黑"/>
        </w:rPr>
      </w:pPr>
    </w:p>
    <w:tbl>
      <w:tblPr>
        <w:tblStyle w:val="9"/>
        <w:tblW w:w="8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
        <w:gridCol w:w="390"/>
        <w:gridCol w:w="420"/>
        <w:gridCol w:w="839"/>
        <w:gridCol w:w="1383"/>
        <w:gridCol w:w="129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779" w:type="dxa"/>
            <w:gridSpan w:val="7"/>
            <w:tcBorders>
              <w:top w:val="nil"/>
              <w:left w:val="nil"/>
              <w:right w:val="nil"/>
            </w:tcBorders>
            <w:vAlign w:val="center"/>
          </w:tcPr>
          <w:p>
            <w:pPr>
              <w:spacing w:line="120" w:lineRule="atLeast"/>
              <w:jc w:val="center"/>
              <w:rPr>
                <w:rFonts w:hint="eastAsia" w:ascii="黑体" w:hAnsi="黑体" w:eastAsia="黑体" w:cs="黑体"/>
                <w:szCs w:val="21"/>
              </w:rPr>
            </w:pPr>
            <w:r>
              <w:rPr>
                <w:rFonts w:hint="eastAsia" w:ascii="黑体" w:hAnsi="黑体" w:eastAsia="黑体" w:cs="黑体"/>
                <w:szCs w:val="21"/>
              </w:rPr>
              <w:t>坪山区江岭香江工业园、秀新路片区城市更新单元计划有效期延期一览表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dxa"/>
            <w:vAlign w:val="center"/>
          </w:tcPr>
          <w:p>
            <w:pPr>
              <w:spacing w:line="120" w:lineRule="atLeast"/>
              <w:jc w:val="center"/>
              <w:rPr>
                <w:rFonts w:hint="eastAsia" w:ascii="黑体" w:hAnsi="黑体" w:eastAsia="黑体" w:cs="黑体"/>
                <w:szCs w:val="21"/>
              </w:rPr>
            </w:pPr>
            <w:r>
              <w:rPr>
                <w:rFonts w:hint="eastAsia" w:ascii="黑体" w:hAnsi="黑体" w:eastAsia="黑体" w:cs="黑体"/>
                <w:szCs w:val="21"/>
              </w:rPr>
              <w:t>编号</w:t>
            </w:r>
          </w:p>
        </w:tc>
        <w:tc>
          <w:tcPr>
            <w:tcW w:w="390" w:type="dxa"/>
            <w:vAlign w:val="center"/>
          </w:tcPr>
          <w:p>
            <w:pPr>
              <w:spacing w:line="160" w:lineRule="atLeast"/>
              <w:jc w:val="center"/>
              <w:rPr>
                <w:rFonts w:hint="eastAsia" w:ascii="黑体" w:hAnsi="黑体" w:eastAsia="黑体" w:cs="黑体"/>
                <w:szCs w:val="21"/>
              </w:rPr>
            </w:pPr>
            <w:r>
              <w:rPr>
                <w:rFonts w:hint="eastAsia" w:ascii="黑体" w:hAnsi="黑体" w:eastAsia="黑体" w:cs="黑体"/>
                <w:szCs w:val="21"/>
              </w:rPr>
              <w:t>辖区</w:t>
            </w:r>
          </w:p>
        </w:tc>
        <w:tc>
          <w:tcPr>
            <w:tcW w:w="420" w:type="dxa"/>
            <w:vAlign w:val="center"/>
          </w:tcPr>
          <w:p>
            <w:pPr>
              <w:spacing w:line="120" w:lineRule="atLeast"/>
              <w:jc w:val="center"/>
              <w:rPr>
                <w:rFonts w:hint="eastAsia" w:ascii="黑体" w:hAnsi="黑体" w:eastAsia="黑体" w:cs="黑体"/>
                <w:szCs w:val="21"/>
              </w:rPr>
            </w:pPr>
            <w:r>
              <w:rPr>
                <w:rFonts w:hint="eastAsia" w:ascii="黑体" w:hAnsi="黑体" w:eastAsia="黑体" w:cs="黑体"/>
                <w:szCs w:val="21"/>
              </w:rPr>
              <w:t>街道</w:t>
            </w:r>
          </w:p>
        </w:tc>
        <w:tc>
          <w:tcPr>
            <w:tcW w:w="839" w:type="dxa"/>
            <w:vAlign w:val="center"/>
          </w:tcPr>
          <w:p>
            <w:pPr>
              <w:spacing w:line="120" w:lineRule="atLeast"/>
              <w:jc w:val="center"/>
              <w:rPr>
                <w:rFonts w:hint="eastAsia" w:ascii="黑体" w:hAnsi="黑体" w:eastAsia="黑体" w:cs="黑体"/>
                <w:szCs w:val="21"/>
              </w:rPr>
            </w:pPr>
            <w:r>
              <w:rPr>
                <w:rFonts w:hint="eastAsia" w:ascii="黑体" w:hAnsi="黑体" w:eastAsia="黑体" w:cs="黑体"/>
                <w:szCs w:val="21"/>
              </w:rPr>
              <w:t>单元名称</w:t>
            </w:r>
          </w:p>
        </w:tc>
        <w:tc>
          <w:tcPr>
            <w:tcW w:w="1383" w:type="dxa"/>
            <w:vAlign w:val="center"/>
          </w:tcPr>
          <w:p>
            <w:pPr>
              <w:spacing w:line="120" w:lineRule="atLeast"/>
              <w:jc w:val="center"/>
              <w:rPr>
                <w:rFonts w:hint="eastAsia" w:ascii="黑体" w:hAnsi="黑体" w:eastAsia="黑体" w:cs="黑体"/>
                <w:szCs w:val="21"/>
              </w:rPr>
            </w:pPr>
            <w:r>
              <w:rPr>
                <w:rFonts w:hint="eastAsia" w:ascii="黑体" w:hAnsi="黑体" w:eastAsia="黑体" w:cs="黑体"/>
                <w:szCs w:val="21"/>
              </w:rPr>
              <w:t>申报主体</w:t>
            </w:r>
          </w:p>
        </w:tc>
        <w:tc>
          <w:tcPr>
            <w:tcW w:w="1290" w:type="dxa"/>
            <w:vAlign w:val="center"/>
          </w:tcPr>
          <w:p>
            <w:pPr>
              <w:spacing w:line="120" w:lineRule="atLeast"/>
              <w:jc w:val="center"/>
              <w:rPr>
                <w:rFonts w:hint="eastAsia" w:ascii="黑体" w:hAnsi="黑体" w:eastAsia="黑体" w:cs="黑体"/>
                <w:szCs w:val="21"/>
              </w:rPr>
            </w:pPr>
            <w:r>
              <w:rPr>
                <w:rFonts w:hint="eastAsia" w:ascii="黑体" w:hAnsi="黑体" w:eastAsia="黑体" w:cs="黑体"/>
                <w:szCs w:val="21"/>
              </w:rPr>
              <w:t>拟拆除范围用地面积（平方米）</w:t>
            </w:r>
          </w:p>
        </w:tc>
        <w:tc>
          <w:tcPr>
            <w:tcW w:w="4110" w:type="dxa"/>
            <w:vAlign w:val="center"/>
          </w:tcPr>
          <w:p>
            <w:pPr>
              <w:spacing w:line="120" w:lineRule="atLeast"/>
              <w:jc w:val="center"/>
              <w:rPr>
                <w:rFonts w:hint="eastAsia" w:ascii="黑体" w:hAnsi="黑体" w:eastAsia="黑体" w:cs="黑体"/>
                <w:szCs w:val="21"/>
              </w:rPr>
            </w:pPr>
            <w:r>
              <w:rPr>
                <w:rFonts w:hint="eastAsia" w:ascii="黑体" w:hAnsi="黑体" w:eastAsia="黑体" w:cs="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347" w:type="dxa"/>
            <w:vAlign w:val="center"/>
          </w:tcPr>
          <w:p>
            <w:pPr>
              <w:spacing w:line="120" w:lineRule="atLeast"/>
              <w:jc w:val="center"/>
              <w:rPr>
                <w:rFonts w:hint="eastAsia" w:ascii="黑体" w:hAnsi="黑体" w:eastAsia="黑体" w:cs="黑体"/>
                <w:szCs w:val="21"/>
              </w:rPr>
            </w:pPr>
            <w:r>
              <w:rPr>
                <w:rFonts w:hint="eastAsia" w:ascii="黑体" w:hAnsi="黑体" w:eastAsia="黑体" w:cs="黑体"/>
                <w:szCs w:val="21"/>
              </w:rPr>
              <w:t>1</w:t>
            </w:r>
          </w:p>
        </w:tc>
        <w:tc>
          <w:tcPr>
            <w:tcW w:w="390" w:type="dxa"/>
            <w:vAlign w:val="center"/>
          </w:tcPr>
          <w:p>
            <w:pPr>
              <w:spacing w:line="120" w:lineRule="atLeast"/>
              <w:rPr>
                <w:rFonts w:hint="eastAsia" w:ascii="仿宋_GB2312" w:hAnsi="仿宋_GB2312" w:eastAsia="仿宋_GB2312" w:cs="仿宋_GB2312"/>
                <w:szCs w:val="21"/>
              </w:rPr>
            </w:pPr>
            <w:r>
              <w:rPr>
                <w:rFonts w:hint="eastAsia" w:ascii="仿宋_GB2312" w:hAnsi="仿宋_GB2312" w:eastAsia="仿宋_GB2312" w:cs="仿宋_GB2312"/>
                <w:szCs w:val="21"/>
              </w:rPr>
              <w:t>坪山区</w:t>
            </w:r>
          </w:p>
        </w:tc>
        <w:tc>
          <w:tcPr>
            <w:tcW w:w="420" w:type="dxa"/>
            <w:vAlign w:val="center"/>
          </w:tcPr>
          <w:p>
            <w:pPr>
              <w:spacing w:line="120" w:lineRule="atLeast"/>
              <w:rPr>
                <w:rFonts w:hint="eastAsia" w:ascii="仿宋_GB2312" w:hAnsi="仿宋_GB2312" w:eastAsia="仿宋_GB2312" w:cs="仿宋_GB2312"/>
                <w:szCs w:val="21"/>
              </w:rPr>
            </w:pPr>
            <w:r>
              <w:rPr>
                <w:rFonts w:hint="eastAsia" w:ascii="仿宋_GB2312" w:hAnsi="仿宋_GB2312" w:eastAsia="仿宋_GB2312" w:cs="仿宋_GB2312"/>
                <w:szCs w:val="21"/>
              </w:rPr>
              <w:t>马峦街道</w:t>
            </w:r>
          </w:p>
        </w:tc>
        <w:tc>
          <w:tcPr>
            <w:tcW w:w="839" w:type="dxa"/>
            <w:vAlign w:val="center"/>
          </w:tcPr>
          <w:p>
            <w:pPr>
              <w:spacing w:line="12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江岭香江工业园城市更新单元</w:t>
            </w:r>
          </w:p>
        </w:tc>
        <w:tc>
          <w:tcPr>
            <w:tcW w:w="1383" w:type="dxa"/>
            <w:vAlign w:val="center"/>
          </w:tcPr>
          <w:p>
            <w:pPr>
              <w:spacing w:line="12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深圳市坪山江岭香江股份合作公司</w:t>
            </w:r>
          </w:p>
        </w:tc>
        <w:tc>
          <w:tcPr>
            <w:tcW w:w="1290" w:type="dxa"/>
            <w:vAlign w:val="center"/>
          </w:tcPr>
          <w:p>
            <w:pPr>
              <w:spacing w:line="12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59928</w:t>
            </w:r>
          </w:p>
        </w:tc>
        <w:tc>
          <w:tcPr>
            <w:tcW w:w="4110"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①</w:t>
            </w:r>
            <w:r>
              <w:rPr>
                <w:rFonts w:hint="eastAsia" w:ascii="仿宋_GB2312" w:hAnsi="仿宋_GB2312" w:eastAsia="仿宋_GB2312" w:cs="仿宋_GB2312"/>
                <w:szCs w:val="21"/>
              </w:rPr>
              <w:t>更新方向为居住、商业等功能；</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②拟拆除重建用地范围内应落实用地面积不小于11986平方米的城市基础设施、公共服务设施等公共利益用地；</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③在更新单元规划阶段按规定落实深圳市</w:t>
            </w:r>
            <w:r>
              <w:rPr>
                <w:rFonts w:hint="eastAsia" w:ascii="仿宋_GB2312" w:hAnsi="仿宋_GB2312" w:eastAsia="仿宋_GB2312" w:cs="仿宋_GB2312"/>
                <w:szCs w:val="21"/>
                <w:lang w:eastAsia="zh-CN"/>
              </w:rPr>
              <w:t>国土空间</w:t>
            </w:r>
            <w:r>
              <w:rPr>
                <w:rFonts w:hint="eastAsia" w:ascii="仿宋_GB2312" w:hAnsi="仿宋_GB2312" w:eastAsia="仿宋_GB2312" w:cs="仿宋_GB2312"/>
                <w:szCs w:val="21"/>
              </w:rPr>
              <w:t>总体规划等相关法定规划的管控要求；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④</w:t>
            </w:r>
            <w:r>
              <w:rPr>
                <w:rFonts w:hint="default" w:ascii="仿宋_GB2312" w:hAnsi="仿宋_GB2312" w:eastAsia="仿宋_GB2312" w:cs="仿宋_GB2312"/>
                <w:kern w:val="2"/>
                <w:sz w:val="21"/>
                <w:szCs w:val="21"/>
                <w:lang w:val="en-US" w:eastAsia="zh-CN" w:bidi="ar-SA"/>
              </w:rPr>
              <w:t>更新单元计划有效期2年，</w:t>
            </w:r>
            <w:r>
              <w:rPr>
                <w:rFonts w:hint="eastAsia" w:ascii="仿宋_GB2312" w:hAnsi="仿宋_GB2312" w:eastAsia="仿宋_GB2312" w:cs="仿宋_GB2312"/>
                <w:szCs w:val="21"/>
              </w:rPr>
              <w:t>自2023年12月</w:t>
            </w:r>
            <w:r>
              <w:rPr>
                <w:rFonts w:ascii="仿宋_GB2312" w:hAnsi="仿宋_GB2312" w:eastAsia="仿宋_GB2312" w:cs="仿宋_GB2312"/>
                <w:szCs w:val="21"/>
              </w:rPr>
              <w:t>30</w:t>
            </w:r>
            <w:r>
              <w:rPr>
                <w:rFonts w:hint="eastAsia" w:ascii="仿宋_GB2312" w:hAnsi="仿宋_GB2312" w:eastAsia="仿宋_GB2312" w:cs="仿宋_GB2312"/>
                <w:szCs w:val="21"/>
              </w:rPr>
              <w:t>日起至2025年12月2</w:t>
            </w:r>
            <w:r>
              <w:rPr>
                <w:rFonts w:ascii="仿宋_GB2312" w:hAnsi="仿宋_GB2312" w:eastAsia="仿宋_GB2312" w:cs="仿宋_GB2312"/>
                <w:szCs w:val="21"/>
              </w:rPr>
              <w:t>9</w:t>
            </w:r>
            <w:r>
              <w:rPr>
                <w:rFonts w:hint="eastAsia" w:ascii="仿宋_GB2312" w:hAnsi="仿宋_GB2312" w:eastAsia="仿宋_GB2312" w:cs="仿宋_GB2312"/>
                <w:szCs w:val="21"/>
              </w:rPr>
              <w:t>日止</w:t>
            </w:r>
            <w:r>
              <w:rPr>
                <w:rFonts w:hint="eastAsia" w:ascii="仿宋_GB2312" w:hAnsi="仿宋_GB2312" w:eastAsia="仿宋_GB2312" w:cs="仿宋_GB2312"/>
                <w:szCs w:val="21"/>
                <w:lang w:eastAsia="zh-CN"/>
              </w:rPr>
              <w:t>。</w:t>
            </w:r>
            <w:r>
              <w:rPr>
                <w:rFonts w:hint="default" w:ascii="仿宋_GB2312" w:hAnsi="仿宋_GB2312" w:eastAsia="仿宋_GB2312" w:cs="仿宋_GB2312"/>
                <w:kern w:val="2"/>
                <w:sz w:val="21"/>
                <w:szCs w:val="21"/>
                <w:lang w:val="en-US" w:eastAsia="zh-CN" w:bidi="ar-SA"/>
              </w:rPr>
              <w:t>延期1年，更新单元计划有效期至</w:t>
            </w:r>
            <w:r>
              <w:rPr>
                <w:rFonts w:hint="eastAsia" w:ascii="仿宋_GB2312" w:hAnsi="仿宋_GB2312" w:eastAsia="仿宋_GB2312" w:cs="仿宋_GB2312"/>
                <w:szCs w:val="21"/>
              </w:rPr>
              <w:t>2026年12月29日止。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trPr>
        <w:tc>
          <w:tcPr>
            <w:tcW w:w="347" w:type="dxa"/>
            <w:vAlign w:val="center"/>
          </w:tcPr>
          <w:p>
            <w:pPr>
              <w:spacing w:line="120" w:lineRule="atLeast"/>
              <w:jc w:val="center"/>
              <w:rPr>
                <w:rFonts w:hint="eastAsia" w:ascii="黑体" w:hAnsi="黑体" w:eastAsia="黑体" w:cs="黑体"/>
                <w:szCs w:val="21"/>
              </w:rPr>
            </w:pPr>
            <w:r>
              <w:rPr>
                <w:rFonts w:hint="eastAsia" w:ascii="黑体" w:hAnsi="黑体" w:eastAsia="黑体" w:cs="黑体"/>
                <w:szCs w:val="21"/>
              </w:rPr>
              <w:t>2</w:t>
            </w:r>
          </w:p>
        </w:tc>
        <w:tc>
          <w:tcPr>
            <w:tcW w:w="390" w:type="dxa"/>
            <w:vAlign w:val="center"/>
          </w:tcPr>
          <w:p>
            <w:pPr>
              <w:spacing w:line="120" w:lineRule="atLeast"/>
              <w:rPr>
                <w:rFonts w:hint="eastAsia" w:ascii="仿宋_GB2312" w:hAnsi="仿宋_GB2312" w:eastAsia="仿宋_GB2312" w:cs="仿宋_GB2312"/>
                <w:szCs w:val="21"/>
              </w:rPr>
            </w:pPr>
            <w:r>
              <w:rPr>
                <w:rFonts w:hint="eastAsia" w:ascii="仿宋_GB2312" w:hAnsi="仿宋_GB2312" w:eastAsia="仿宋_GB2312" w:cs="仿宋_GB2312"/>
                <w:szCs w:val="21"/>
              </w:rPr>
              <w:t>坪山区</w:t>
            </w:r>
          </w:p>
        </w:tc>
        <w:tc>
          <w:tcPr>
            <w:tcW w:w="420" w:type="dxa"/>
            <w:vAlign w:val="center"/>
          </w:tcPr>
          <w:p>
            <w:pPr>
              <w:spacing w:line="120" w:lineRule="atLeast"/>
              <w:rPr>
                <w:rFonts w:hint="eastAsia" w:ascii="仿宋_GB2312" w:hAnsi="仿宋_GB2312" w:eastAsia="仿宋_GB2312" w:cs="仿宋_GB2312"/>
                <w:szCs w:val="21"/>
              </w:rPr>
            </w:pPr>
            <w:r>
              <w:rPr>
                <w:rFonts w:hint="eastAsia" w:ascii="仿宋_GB2312" w:hAnsi="仿宋_GB2312" w:eastAsia="仿宋_GB2312" w:cs="仿宋_GB2312"/>
                <w:szCs w:val="21"/>
              </w:rPr>
              <w:t>坑梓街道</w:t>
            </w:r>
          </w:p>
        </w:tc>
        <w:tc>
          <w:tcPr>
            <w:tcW w:w="839" w:type="dxa"/>
            <w:vAlign w:val="center"/>
          </w:tcPr>
          <w:p>
            <w:pPr>
              <w:spacing w:line="12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秀新路片区城市更新单元</w:t>
            </w:r>
          </w:p>
        </w:tc>
        <w:tc>
          <w:tcPr>
            <w:tcW w:w="1383"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深圳市赐安房地产有限公司</w:t>
            </w:r>
          </w:p>
          <w:p>
            <w:pPr>
              <w:spacing w:line="120" w:lineRule="atLeast"/>
              <w:jc w:val="center"/>
              <w:rPr>
                <w:rFonts w:hint="eastAsia" w:ascii="仿宋_GB2312" w:hAnsi="仿宋_GB2312" w:eastAsia="仿宋_GB2312" w:cs="仿宋_GB2312"/>
                <w:szCs w:val="21"/>
              </w:rPr>
            </w:pPr>
          </w:p>
        </w:tc>
        <w:tc>
          <w:tcPr>
            <w:tcW w:w="1290" w:type="dxa"/>
            <w:vAlign w:val="center"/>
          </w:tcPr>
          <w:p>
            <w:pPr>
              <w:spacing w:line="12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113707</w:t>
            </w:r>
          </w:p>
        </w:tc>
        <w:tc>
          <w:tcPr>
            <w:tcW w:w="4110"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120" w:lineRule="atLeast"/>
              <w:ind w:lef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①</w:t>
            </w:r>
            <w:r>
              <w:rPr>
                <w:rFonts w:hint="eastAsia" w:ascii="仿宋_GB2312" w:hAnsi="仿宋_GB2312" w:eastAsia="仿宋_GB2312" w:cs="仿宋_GB2312"/>
                <w:szCs w:val="21"/>
              </w:rPr>
              <w:t>拟更新方向为居住等功能；</w:t>
            </w:r>
          </w:p>
          <w:p>
            <w:pPr>
              <w:keepNext w:val="0"/>
              <w:keepLines w:val="0"/>
              <w:pageBreakBefore w:val="0"/>
              <w:widowControl w:val="0"/>
              <w:kinsoku/>
              <w:wordWrap/>
              <w:overflowPunct/>
              <w:topLinePunct w:val="0"/>
              <w:autoSpaceDE/>
              <w:autoSpaceDN/>
              <w:bidi w:val="0"/>
              <w:adjustRightInd/>
              <w:snapToGrid/>
              <w:spacing w:after="0" w:line="120" w:lineRule="atLeas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②拟拆除重建范围内应落实用地面积不小于24386平方米的城市基础设施、公共服务设施等公共利益项目用地</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其中应落实用地面积不小于3224平方米的公园</w:t>
            </w:r>
            <w:bookmarkStart w:id="0" w:name="_GoBack"/>
            <w:bookmarkEnd w:id="0"/>
            <w:r>
              <w:rPr>
                <w:rFonts w:hint="eastAsia" w:ascii="仿宋_GB2312" w:hAnsi="仿宋_GB2312" w:eastAsia="仿宋_GB2312" w:cs="仿宋_GB2312"/>
                <w:szCs w:val="21"/>
              </w:rPr>
              <w:t>绿地；</w:t>
            </w:r>
          </w:p>
          <w:p>
            <w:pPr>
              <w:keepNext w:val="0"/>
              <w:keepLines w:val="0"/>
              <w:pageBreakBefore w:val="0"/>
              <w:widowControl w:val="0"/>
              <w:kinsoku/>
              <w:wordWrap/>
              <w:overflowPunct/>
              <w:topLinePunct w:val="0"/>
              <w:autoSpaceDE/>
              <w:autoSpaceDN/>
              <w:bidi w:val="0"/>
              <w:adjustRightInd/>
              <w:snapToGrid/>
              <w:spacing w:after="0" w:line="120" w:lineRule="atLeas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③在更新单元规划阶段按规定落实深圳市</w:t>
            </w:r>
            <w:r>
              <w:rPr>
                <w:rFonts w:hint="eastAsia" w:ascii="仿宋_GB2312" w:hAnsi="仿宋_GB2312" w:eastAsia="仿宋_GB2312" w:cs="仿宋_GB2312"/>
                <w:szCs w:val="21"/>
                <w:lang w:eastAsia="zh-CN"/>
              </w:rPr>
              <w:t>国土空间</w:t>
            </w:r>
            <w:r>
              <w:rPr>
                <w:rFonts w:hint="eastAsia" w:ascii="仿宋_GB2312" w:hAnsi="仿宋_GB2312" w:eastAsia="仿宋_GB2312" w:cs="仿宋_GB2312"/>
                <w:szCs w:val="21"/>
              </w:rPr>
              <w:t>总体规划等相关法定规划的管控要求，并落实未定级不可移动文物秀岭世居的保护要求；</w:t>
            </w:r>
          </w:p>
          <w:p>
            <w:pPr>
              <w:keepNext w:val="0"/>
              <w:keepLines w:val="0"/>
              <w:pageBreakBefore w:val="0"/>
              <w:widowControl w:val="0"/>
              <w:kinsoku/>
              <w:wordWrap/>
              <w:overflowPunct/>
              <w:topLinePunct w:val="0"/>
              <w:autoSpaceDE/>
              <w:autoSpaceDN/>
              <w:bidi w:val="0"/>
              <w:adjustRightInd/>
              <w:snapToGrid/>
              <w:spacing w:after="0" w:line="120" w:lineRule="atLeas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④更新单元计划有效期2年，自202</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年</w:t>
            </w:r>
            <w:r>
              <w:rPr>
                <w:rFonts w:hint="eastAsia" w:ascii="仿宋_GB2312" w:hAnsi="仿宋_GB2312" w:eastAsia="仿宋_GB2312" w:cs="仿宋_GB2312"/>
                <w:szCs w:val="21"/>
                <w:lang w:val="en-US" w:eastAsia="zh-CN"/>
              </w:rPr>
              <w:t>11</w:t>
            </w:r>
            <w:r>
              <w:rPr>
                <w:rFonts w:hint="eastAsia" w:ascii="仿宋_GB2312" w:hAnsi="仿宋_GB2312" w:eastAsia="仿宋_GB2312" w:cs="仿宋_GB2312"/>
                <w:szCs w:val="21"/>
              </w:rPr>
              <w:t>月</w:t>
            </w:r>
            <w:r>
              <w:rPr>
                <w:rFonts w:hint="eastAsia" w:ascii="仿宋_GB2312" w:hAnsi="仿宋_GB2312" w:eastAsia="仿宋_GB2312" w:cs="仿宋_GB2312"/>
                <w:szCs w:val="21"/>
                <w:lang w:val="en-US" w:eastAsia="zh-CN"/>
              </w:rPr>
              <w:t>25</w:t>
            </w:r>
            <w:r>
              <w:rPr>
                <w:rFonts w:hint="eastAsia" w:ascii="仿宋_GB2312" w:hAnsi="仿宋_GB2312" w:eastAsia="仿宋_GB2312" w:cs="仿宋_GB2312"/>
                <w:szCs w:val="21"/>
              </w:rPr>
              <w:t>日至202</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年</w:t>
            </w:r>
            <w:r>
              <w:rPr>
                <w:rFonts w:hint="eastAsia" w:ascii="仿宋_GB2312" w:hAnsi="仿宋_GB2312" w:eastAsia="仿宋_GB2312" w:cs="仿宋_GB2312"/>
                <w:szCs w:val="21"/>
                <w:lang w:val="en-US" w:eastAsia="zh-CN"/>
              </w:rPr>
              <w:t>11</w:t>
            </w:r>
            <w:r>
              <w:rPr>
                <w:rFonts w:hint="eastAsia" w:ascii="仿宋_GB2312" w:hAnsi="仿宋_GB2312" w:eastAsia="仿宋_GB2312" w:cs="仿宋_GB2312"/>
                <w:szCs w:val="21"/>
              </w:rPr>
              <w:t>月</w:t>
            </w:r>
            <w:r>
              <w:rPr>
                <w:rFonts w:hint="eastAsia" w:ascii="仿宋_GB2312" w:hAnsi="仿宋_GB2312" w:eastAsia="仿宋_GB2312" w:cs="仿宋_GB2312"/>
                <w:szCs w:val="21"/>
                <w:lang w:val="en-US" w:eastAsia="zh-CN"/>
              </w:rPr>
              <w:t>24</w:t>
            </w:r>
            <w:r>
              <w:rPr>
                <w:rFonts w:hint="eastAsia" w:ascii="仿宋_GB2312" w:hAnsi="仿宋_GB2312" w:eastAsia="仿宋_GB2312" w:cs="仿宋_GB2312"/>
                <w:szCs w:val="21"/>
              </w:rPr>
              <w:t>日止。</w:t>
            </w:r>
            <w:r>
              <w:rPr>
                <w:rFonts w:hint="default" w:ascii="仿宋_GB2312" w:hAnsi="仿宋_GB2312" w:eastAsia="仿宋_GB2312" w:cs="仿宋_GB2312"/>
                <w:kern w:val="2"/>
                <w:sz w:val="21"/>
                <w:szCs w:val="21"/>
                <w:lang w:val="en-US" w:eastAsia="zh-CN" w:bidi="ar-SA"/>
              </w:rPr>
              <w:t>延期1年，更新单元计划有效期</w:t>
            </w:r>
            <w:r>
              <w:rPr>
                <w:rFonts w:hint="eastAsia" w:ascii="仿宋_GB2312" w:hAnsi="仿宋_GB2312" w:eastAsia="仿宋_GB2312" w:cs="仿宋_GB2312"/>
                <w:szCs w:val="21"/>
              </w:rPr>
              <w:t>至2026年11月24日止。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9" w:type="dxa"/>
            <w:gridSpan w:val="7"/>
            <w:vAlign w:val="center"/>
          </w:tcPr>
          <w:p>
            <w:pPr>
              <w:spacing w:line="120" w:lineRule="atLeast"/>
              <w:rPr>
                <w:rFonts w:hint="eastAsia" w:ascii="黑体" w:hAnsi="黑体" w:eastAsia="黑体" w:cs="黑体"/>
                <w:szCs w:val="21"/>
              </w:rPr>
            </w:pPr>
            <w:r>
              <w:rPr>
                <w:rFonts w:hint="eastAsia" w:ascii="黑体" w:hAnsi="黑体" w:eastAsia="黑体" w:cs="黑体"/>
                <w:szCs w:val="21"/>
              </w:rPr>
              <w:t>特别提示：</w:t>
            </w:r>
          </w:p>
          <w:p>
            <w:pPr>
              <w:spacing w:line="120" w:lineRule="atLeast"/>
              <w:ind w:firstLine="420" w:firstLineChars="200"/>
              <w:rPr>
                <w:rFonts w:hint="eastAsia" w:ascii="黑体" w:hAnsi="黑体" w:eastAsia="黑体" w:cs="黑体"/>
                <w:szCs w:val="21"/>
              </w:rPr>
            </w:pPr>
            <w:r>
              <w:rPr>
                <w:rFonts w:hint="eastAsia" w:ascii="仿宋_GB2312" w:hAnsi="仿宋_GB2312" w:eastAsia="仿宋_GB2312" w:cs="仿宋_GB2312"/>
                <w:szCs w:val="21"/>
              </w:rPr>
              <w:t>1.本表所列的城市更新单元须按照城市更新相关政策完成城市更新单元规划编制及项目实施主体确认等工作后方可实施开发建设。</w:t>
            </w:r>
          </w:p>
          <w:p>
            <w:pPr>
              <w:spacing w:line="12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2.本表所列“申报主体”仅为城市更新单元计划的申报主体，项目实施主体须依据城市更新政策规定的条件及程序进行确认后产生。</w:t>
            </w:r>
          </w:p>
          <w:p>
            <w:pPr>
              <w:spacing w:line="12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3.在本表所列的计划有效期内，更新单元规划未获市政府或其授权机构批准的，更新单元计划失效。</w:t>
            </w:r>
          </w:p>
          <w:p>
            <w:pPr>
              <w:spacing w:line="120" w:lineRule="atLeast"/>
              <w:ind w:firstLine="420" w:firstLineChars="200"/>
              <w:rPr>
                <w:rFonts w:hint="eastAsia" w:ascii="黑体" w:hAnsi="黑体" w:eastAsia="黑体" w:cs="黑体"/>
                <w:szCs w:val="21"/>
              </w:rPr>
            </w:pPr>
            <w:r>
              <w:rPr>
                <w:rFonts w:hint="eastAsia" w:ascii="仿宋_GB2312" w:hAnsi="仿宋_GB2312" w:eastAsia="仿宋_GB2312" w:cs="仿宋_GB2312"/>
                <w:szCs w:val="21"/>
              </w:rPr>
              <w:t>4.本表所列城市更新单元的规划建设要求在城市更新单元规划审批过程中予以确定，除满足本表所列要求外，还应满足法定图则等上层次规划关于交通、市政、公共配套设施的建设要求和城市更新政策中公共利益项目等用地的移交要求。</w:t>
            </w:r>
          </w:p>
        </w:tc>
      </w:tr>
    </w:tbl>
    <w:p>
      <w:pPr>
        <w:pStyle w:val="2"/>
        <w:ind w:firstLine="0"/>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汉仪中宋简">
    <w:panose1 w:val="02010600000101010101"/>
    <w:charset w:val="86"/>
    <w:family w:val="auto"/>
    <w:pitch w:val="default"/>
    <w:sig w:usb0="00000001" w:usb1="080E0800" w:usb2="00000002"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771F3"/>
    <w:rsid w:val="001E0A33"/>
    <w:rsid w:val="00250248"/>
    <w:rsid w:val="00665A55"/>
    <w:rsid w:val="0079243D"/>
    <w:rsid w:val="007D3637"/>
    <w:rsid w:val="00882632"/>
    <w:rsid w:val="00D2027A"/>
    <w:rsid w:val="00F172EF"/>
    <w:rsid w:val="00FE33DE"/>
    <w:rsid w:val="079F3753"/>
    <w:rsid w:val="0D3E2A2A"/>
    <w:rsid w:val="0FAC2EB1"/>
    <w:rsid w:val="1C142509"/>
    <w:rsid w:val="20307074"/>
    <w:rsid w:val="2DDE77B6"/>
    <w:rsid w:val="396C597D"/>
    <w:rsid w:val="3FFF6ACD"/>
    <w:rsid w:val="422771F3"/>
    <w:rsid w:val="5E6FA1FB"/>
    <w:rsid w:val="68FE2FAA"/>
    <w:rsid w:val="6BCE4FEF"/>
    <w:rsid w:val="7675D5C5"/>
    <w:rsid w:val="76FA1255"/>
    <w:rsid w:val="7A5D6936"/>
    <w:rsid w:val="7EFFC00C"/>
    <w:rsid w:val="B3F92CF3"/>
    <w:rsid w:val="DFFF3C15"/>
    <w:rsid w:val="F7FD0BDE"/>
    <w:rsid w:val="FE7750A6"/>
    <w:rsid w:val="FE972C7B"/>
    <w:rsid w:val="FEDA5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664"/>
    </w:pPr>
    <w:rPr>
      <w:szCs w:val="20"/>
    </w:rPr>
  </w:style>
  <w:style w:type="paragraph" w:styleId="3">
    <w:name w:val="Body Text"/>
    <w:basedOn w:val="1"/>
    <w:next w:val="4"/>
    <w:unhideWhenUsed/>
    <w:qFormat/>
    <w:uiPriority w:val="99"/>
    <w:pPr>
      <w:spacing w:after="120"/>
    </w:pPr>
  </w:style>
  <w:style w:type="paragraph" w:styleId="4">
    <w:name w:val="Title"/>
    <w:basedOn w:val="1"/>
    <w:qFormat/>
    <w:uiPriority w:val="1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5">
    <w:name w:val="footer"/>
    <w:basedOn w:val="1"/>
    <w:link w:val="14"/>
    <w:qFormat/>
    <w:uiPriority w:val="0"/>
    <w:pPr>
      <w:tabs>
        <w:tab w:val="center" w:pos="4153"/>
        <w:tab w:val="right" w:pos="8306"/>
      </w:tabs>
      <w:snapToGrid w:val="0"/>
      <w:spacing w:line="240" w:lineRule="auto"/>
      <w:jc w:val="left"/>
    </w:pPr>
    <w:rPr>
      <w:sz w:val="18"/>
      <w:szCs w:val="18"/>
    </w:rPr>
  </w:style>
  <w:style w:type="paragraph" w:styleId="6">
    <w:name w:val="header"/>
    <w:basedOn w:val="1"/>
    <w:link w:val="13"/>
    <w:qFormat/>
    <w:uiPriority w:val="0"/>
    <w:pPr>
      <w:tabs>
        <w:tab w:val="center" w:pos="4153"/>
        <w:tab w:val="right" w:pos="8306"/>
      </w:tabs>
      <w:snapToGrid w:val="0"/>
      <w:spacing w:line="240" w:lineRule="auto"/>
      <w:jc w:val="center"/>
    </w:pPr>
    <w:rPr>
      <w:sz w:val="18"/>
      <w:szCs w:val="18"/>
    </w:rPr>
  </w:style>
  <w:style w:type="paragraph" w:styleId="7">
    <w:name w:val="Normal (Web)"/>
    <w:basedOn w:val="1"/>
    <w:qFormat/>
    <w:uiPriority w:val="0"/>
    <w:pPr>
      <w:spacing w:beforeAutospacing="1" w:after="0"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rPr>
      <w:rFonts w:ascii="Times New Roman" w:hAnsi="Times New Roman" w:eastAsia="宋体" w:cs="Times New Roman"/>
    </w:rPr>
  </w:style>
  <w:style w:type="paragraph" w:customStyle="1" w:styleId="12">
    <w:name w:val="Revision"/>
    <w:hidden/>
    <w:unhideWhenUsed/>
    <w:uiPriority w:val="99"/>
    <w:pPr>
      <w:spacing w:after="0" w:line="240" w:lineRule="auto"/>
    </w:pPr>
    <w:rPr>
      <w:rFonts w:asciiTheme="minorHAnsi" w:hAnsiTheme="minorHAnsi" w:eastAsiaTheme="minorEastAsia" w:cstheme="minorBidi"/>
      <w:kern w:val="2"/>
      <w:sz w:val="21"/>
      <w:szCs w:val="24"/>
      <w:lang w:val="en-US" w:eastAsia="zh-CN" w:bidi="ar-SA"/>
    </w:rPr>
  </w:style>
  <w:style w:type="character" w:customStyle="1" w:styleId="13">
    <w:name w:val="页眉 字符"/>
    <w:basedOn w:val="10"/>
    <w:link w:val="6"/>
    <w:uiPriority w:val="0"/>
    <w:rPr>
      <w:rFonts w:asciiTheme="minorHAnsi" w:hAnsiTheme="minorHAnsi" w:eastAsiaTheme="minorEastAsia" w:cstheme="minorBidi"/>
      <w:kern w:val="2"/>
      <w:sz w:val="18"/>
      <w:szCs w:val="18"/>
    </w:rPr>
  </w:style>
  <w:style w:type="character" w:customStyle="1" w:styleId="14">
    <w:name w:val="页脚 字符"/>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691</Words>
  <Characters>735</Characters>
  <Lines>50</Lines>
  <Paragraphs>33</Paragraphs>
  <TotalTime>0</TotalTime>
  <ScaleCrop>false</ScaleCrop>
  <LinksUpToDate>false</LinksUpToDate>
  <CharactersWithSpaces>735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2025-05-23T17:57:00Z</dcterms:created>
  <dc:creator>骆驼</dc:creator>
  <cp:lastModifiedBy>cx</cp:lastModifiedBy>
  <cp:lastPrinted>2025-10-27T12:05:12Z</cp:lastPrinted>
  <dcterms:modified xsi:type="dcterms:W3CDTF">2025-10-27T14:22:45Z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75941185EEBF2BBBD8D92E68C0366DED</vt:lpwstr>
  </property>
  <property fmtid="{D5CDD505-2E9C-101B-9397-08002B2CF9AE}" pid="4" name="KSOTemplateDocerSaveRecord">
    <vt:lpwstr>eyJoZGlkIjoiYzRmYThkOWQyMmY2ZGZmZDZjN2NjYzJkY2M3MmJiMzAiLCJ1c2VySWQiOiIzNDExNjU5NTQifQ==</vt:lpwstr>
  </property>
</Properties>
</file>