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60" w:lineRule="exact"/>
        <w:ind w:firstLine="0" w:firstLineChars="0"/>
        <w:rPr>
          <w:rFonts w:hint="eastAsia" w:asciiTheme="minorEastAsia" w:hAnsiTheme="minorEastAsia" w:eastAsiaTheme="minorEastAsia" w:cstheme="minorEastAsia"/>
          <w:color w:val="auto"/>
          <w:sz w:val="24"/>
          <w:szCs w:val="24"/>
          <w:lang w:val="en-US" w:eastAsia="zh-CN"/>
        </w:rPr>
      </w:pPr>
    </w:p>
    <w:p>
      <w:pPr>
        <w:pStyle w:val="3"/>
        <w:pageBreakBefore w:val="0"/>
        <w:kinsoku/>
        <w:wordWrap/>
        <w:overflowPunct/>
        <w:topLinePunct w:val="0"/>
        <w:autoSpaceDE/>
        <w:autoSpaceDN/>
        <w:bidi w:val="0"/>
        <w:spacing w:before="0" w:after="0" w:line="560" w:lineRule="exact"/>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坪山街道小散工程安全生产纳管服务</w:t>
      </w:r>
      <w:r>
        <w:rPr>
          <w:rFonts w:hint="eastAsia" w:ascii="方正小标宋简体" w:hAnsi="方正小标宋简体" w:eastAsia="方正小标宋简体" w:cs="方正小标宋简体"/>
          <w:b w:val="0"/>
          <w:bCs/>
          <w:color w:val="auto"/>
          <w:sz w:val="44"/>
          <w:szCs w:val="44"/>
        </w:rPr>
        <w:t>采购需求</w:t>
      </w:r>
    </w:p>
    <w:p>
      <w:pPr>
        <w:pStyle w:val="5"/>
        <w:pageBreakBefore w:val="0"/>
        <w:kinsoku/>
        <w:wordWrap/>
        <w:overflowPunct/>
        <w:topLinePunct w:val="0"/>
        <w:autoSpaceDE/>
        <w:autoSpaceDN/>
        <w:bidi w:val="0"/>
        <w:spacing w:before="0" w:after="0" w:line="560" w:lineRule="exact"/>
        <w:rPr>
          <w:rFonts w:hint="eastAsia" w:asciiTheme="minorEastAsia" w:hAnsiTheme="minorEastAsia" w:eastAsiaTheme="minorEastAsia" w:cstheme="minorEastAsia"/>
          <w:color w:val="auto"/>
          <w:sz w:val="24"/>
          <w:szCs w:val="24"/>
        </w:rPr>
      </w:pPr>
    </w:p>
    <w:p>
      <w:pPr>
        <w:pageBreakBefore w:val="0"/>
        <w:numPr>
          <w:ilvl w:val="0"/>
          <w:numId w:val="1"/>
        </w:numPr>
        <w:kinsoku/>
        <w:wordWrap/>
        <w:overflowPunct/>
        <w:topLinePunct w:val="0"/>
        <w:autoSpaceDE/>
        <w:autoSpaceDN/>
        <w:bidi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采购项目概况</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仿宋"/>
          <w:b w:val="0"/>
          <w:bCs/>
          <w:sz w:val="32"/>
          <w:szCs w:val="32"/>
          <w:highlight w:val="none"/>
          <w:lang w:val="en-US" w:eastAsia="zh-CN"/>
        </w:rPr>
        <w:t>为进一步加强街道小散工程安全生产纳管，坪山街道城建办</w:t>
      </w:r>
      <w:r>
        <w:rPr>
          <w:rFonts w:hint="eastAsia" w:ascii="仿宋_GB2312" w:hAnsi="仿宋_GB2312" w:eastAsia="仿宋_GB2312" w:cs="仿宋_GB2312"/>
          <w:sz w:val="32"/>
          <w:szCs w:val="32"/>
          <w:lang w:val="en-US" w:eastAsia="zh-CN"/>
        </w:rPr>
        <w:t>拟购买坪山街道小散工程安全生产纳管服务，</w:t>
      </w:r>
      <w:r>
        <w:rPr>
          <w:rFonts w:hint="eastAsia" w:ascii="仿宋" w:hAnsi="仿宋" w:eastAsia="仿宋" w:cs="仿宋"/>
          <w:b w:val="0"/>
          <w:bCs/>
          <w:sz w:val="32"/>
          <w:szCs w:val="32"/>
          <w:highlight w:val="none"/>
          <w:lang w:val="en-US" w:eastAsia="zh-CN"/>
        </w:rPr>
        <w:t>落实辖区小散工程安全纳管和常态化监管</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实现小散工程全方位、全周期、全过程闭环监管</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hint="eastAsia" w:ascii="黑体" w:hAnsi="黑体" w:eastAsia="黑体" w:cs="黑体"/>
          <w:color w:val="FF0000"/>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000000" w:themeColor="text1"/>
          <w:sz w:val="32"/>
          <w:szCs w:val="32"/>
          <w:lang w:val="en-US" w:eastAsia="zh-CN"/>
          <w14:textFill>
            <w14:solidFill>
              <w14:schemeClr w14:val="tx1"/>
            </w14:solidFill>
          </w14:textFill>
        </w:rPr>
        <w:t>服务内容</w:t>
      </w:r>
    </w:p>
    <w:tbl>
      <w:tblPr>
        <w:tblStyle w:val="16"/>
        <w:tblW w:w="7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6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序号</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统筹辖区内小散工程安全纳管工作，对辖区内小散工程和零星作业进行安全监管督导检查和施工现场安全检查，每周巡查一级小散工程不少于3次，每周巡查二级小散工程不少于2次，每月对辖区内物业小散工程和零星作业开展1次抽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巡查过程发现安全隐患，及时发整改告知书并掌握整改落实情况，重点检查在建项目是否备案，隐患整改是否闭环、对分拨违法违规行为是否及时处置等情况，支持和配合街道行政执法部门开展相关行政执法工作，配合上级相关部门要求施工单位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协调街道相关部门开展对已备案的小散工程在施工阶段的安全监管。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收集汇总每日巡查内容及各社区受理的开工申报登记，编写巡查工作小结，在相关工作群及时报送，建立健全辖区小散工程建筑活动台账，落实周报月报。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每季度对社区工作人员开展小散工程和零星作业安全生产专业技能培训工作，每月对小散工程和零星作业负责人及施工人员开展相关安全生产培训，或组织现场观看事故警示视频。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负责做好已备案的小散工程的系统跟踪销号工作。</w:t>
            </w:r>
          </w:p>
        </w:tc>
      </w:tr>
    </w:tbl>
    <w:p>
      <w:pPr>
        <w:pStyle w:val="6"/>
        <w:numPr>
          <w:ilvl w:val="-1"/>
          <w:numId w:val="0"/>
        </w:numPr>
        <w:ind w:firstLine="0" w:firstLineChars="0"/>
        <w:rPr>
          <w:rFonts w:hint="eastAsia" w:asciiTheme="minorEastAsia" w:hAnsiTheme="minorEastAsia" w:eastAsiaTheme="minorEastAsia" w:cstheme="minorEastAsia"/>
          <w:color w:val="000000"/>
          <w:sz w:val="24"/>
          <w:szCs w:val="24"/>
        </w:rPr>
      </w:pPr>
    </w:p>
    <w:p>
      <w:pPr>
        <w:pageBreakBefore w:val="0"/>
        <w:kinsoku/>
        <w:wordWrap/>
        <w:overflowPunct/>
        <w:topLinePunct w:val="0"/>
        <w:autoSpaceDE/>
        <w:autoSpaceDN/>
        <w:bidi w:val="0"/>
        <w:spacing w:line="56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、项目管理</w:t>
      </w:r>
      <w:r>
        <w:rPr>
          <w:rFonts w:hint="eastAsia" w:ascii="黑体" w:hAnsi="黑体" w:eastAsia="黑体" w:cs="黑体"/>
          <w:color w:val="00000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olor w:val="auto"/>
          <w:kern w:val="0"/>
          <w:sz w:val="32"/>
          <w:szCs w:val="32"/>
          <w:lang w:val="en-US" w:eastAsia="zh-CN" w:bidi="ar-SA"/>
        </w:rPr>
      </w:pPr>
      <w:r>
        <w:rPr>
          <w:rFonts w:hint="eastAsia" w:ascii="仿宋_GB2312" w:hAnsi="仿宋_GB2312" w:eastAsia="仿宋_GB2312" w:cs="仿宋_GB2312"/>
          <w:i w:val="0"/>
          <w:color w:val="000000"/>
          <w:kern w:val="0"/>
          <w:sz w:val="32"/>
          <w:szCs w:val="32"/>
          <w:lang w:val="en-US" w:eastAsia="zh-CN" w:bidi="ar-SA"/>
        </w:rPr>
        <w:t>1.中标单位在确定为成交单位之日</w:t>
      </w:r>
      <w:r>
        <w:rPr>
          <w:rFonts w:hint="eastAsia" w:ascii="仿宋_GB2312" w:hAnsi="仿宋_GB2312" w:eastAsia="仿宋_GB2312" w:cs="仿宋_GB2312"/>
          <w:i w:val="0"/>
          <w:color w:val="auto"/>
          <w:kern w:val="0"/>
          <w:sz w:val="32"/>
          <w:szCs w:val="32"/>
          <w:lang w:val="en-US" w:eastAsia="zh-CN" w:bidi="ar-SA"/>
        </w:rPr>
        <w:t>起3个工作日内与采购单位签订合同；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olor w:val="auto"/>
          <w:kern w:val="0"/>
          <w:sz w:val="32"/>
          <w:szCs w:val="32"/>
          <w:lang w:val="en-US" w:eastAsia="zh-CN" w:bidi="ar-SA"/>
        </w:rPr>
      </w:pPr>
      <w:r>
        <w:rPr>
          <w:rFonts w:hint="eastAsia" w:ascii="仿宋_GB2312" w:hAnsi="仿宋_GB2312" w:eastAsia="仿宋_GB2312" w:cs="仿宋_GB2312"/>
          <w:i w:val="0"/>
          <w:color w:val="auto"/>
          <w:kern w:val="0"/>
          <w:sz w:val="32"/>
          <w:szCs w:val="32"/>
          <w:lang w:val="en-US" w:eastAsia="zh-CN" w:bidi="ar-SA"/>
        </w:rPr>
        <w:t>2.中标单位必须接受采购单位的检查和管理；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olor w:val="auto"/>
          <w:kern w:val="0"/>
          <w:sz w:val="32"/>
          <w:szCs w:val="32"/>
          <w:lang w:val="en-US" w:eastAsia="zh-CN" w:bidi="ar-SA"/>
        </w:rPr>
      </w:pPr>
      <w:r>
        <w:rPr>
          <w:rFonts w:hint="eastAsia" w:ascii="仿宋_GB2312" w:hAnsi="仿宋_GB2312" w:eastAsia="仿宋_GB2312" w:cs="仿宋_GB2312"/>
          <w:i w:val="0"/>
          <w:color w:val="auto"/>
          <w:kern w:val="0"/>
          <w:sz w:val="32"/>
          <w:szCs w:val="32"/>
          <w:lang w:val="en-US" w:eastAsia="zh-CN" w:bidi="ar-SA"/>
        </w:rPr>
        <w:t>3.投标单位须配合采购单位的采购小组对投标单位证明文件的核证工作；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olor w:val="000000"/>
          <w:kern w:val="0"/>
          <w:sz w:val="32"/>
          <w:szCs w:val="32"/>
          <w:lang w:val="en-US" w:eastAsia="zh-CN" w:bidi="ar-SA"/>
        </w:rPr>
      </w:pPr>
      <w:r>
        <w:rPr>
          <w:rFonts w:hint="eastAsia" w:ascii="仿宋_GB2312" w:hAnsi="仿宋_GB2312" w:eastAsia="仿宋_GB2312" w:cs="仿宋_GB2312"/>
          <w:i w:val="0"/>
          <w:color w:val="000000"/>
          <w:kern w:val="0"/>
          <w:sz w:val="32"/>
          <w:szCs w:val="32"/>
          <w:lang w:val="en-US" w:eastAsia="zh-CN" w:bidi="ar-SA"/>
        </w:rPr>
        <w:t>4.为确保项目质量，中标单位不得将项目转包、分包；</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i w:val="0"/>
          <w:color w:val="000000"/>
          <w:kern w:val="0"/>
          <w:sz w:val="32"/>
          <w:szCs w:val="32"/>
          <w:lang w:val="en-US" w:eastAsia="zh-CN" w:bidi="ar-SA"/>
        </w:rPr>
        <w:t>5.投标单位若认为采购需求文件的技术要求或其他要求有倾向性或不公正性，可在采购需求公告期间提出，以维护采购行为的公平、公正。</w:t>
      </w:r>
    </w:p>
    <w:p>
      <w:pPr>
        <w:numPr>
          <w:ilvl w:val="0"/>
          <w:numId w:val="0"/>
        </w:numPr>
        <w:spacing w:line="560" w:lineRule="exact"/>
        <w:ind w:firstLine="0" w:firstLineChars="0"/>
        <w:rPr>
          <w:rFonts w:hint="eastAsia" w:asciiTheme="minorEastAsia" w:hAnsiTheme="minorEastAsia" w:eastAsiaTheme="minorEastAsia" w:cstheme="minorEastAsia"/>
          <w:color w:val="000000"/>
          <w:kern w:val="0"/>
          <w:sz w:val="24"/>
          <w:szCs w:val="24"/>
          <w:lang w:val="en-US" w:eastAsia="zh-CN"/>
        </w:rPr>
      </w:pPr>
    </w:p>
    <w:p>
      <w:pPr>
        <w:pageBreakBefore w:val="0"/>
        <w:numPr>
          <w:ilvl w:val="-1"/>
          <w:numId w:val="0"/>
        </w:numPr>
        <w:kinsoku/>
        <w:wordWrap/>
        <w:overflowPunct/>
        <w:topLinePunct w:val="0"/>
        <w:autoSpaceDE/>
        <w:autoSpaceDN/>
        <w:bidi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、供应商资格要求</w:t>
      </w:r>
    </w:p>
    <w:p>
      <w:pPr>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须为在中华人民共和国境内注册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独立法人</w:t>
      </w:r>
      <w:r>
        <w:rPr>
          <w:rFonts w:hint="eastAsia" w:ascii="仿宋_GB2312" w:hAnsi="仿宋_GB2312" w:eastAsia="仿宋_GB2312" w:cs="仿宋_GB2312"/>
          <w:color w:val="auto"/>
          <w:sz w:val="32"/>
          <w:szCs w:val="32"/>
          <w:lang w:val="en-US" w:eastAsia="zh-CN"/>
        </w:rPr>
        <w:t>资格或是具有独立承担民事责任能力的其他组织（独立法人提供营业执照扫描件或复印件；非法人组织则提供主管部门颁发或批准成立的证书或其他证明文件扫描件或复印件）。</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参加本次政府采购活动前3年内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在经营活动中没有重大违法记录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78" w:beforeLines="25" w:after="78" w:afterLines="25"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3.投标单位应具有良好的商业信誉。拒绝</w:t>
      </w:r>
      <w:r>
        <w:rPr>
          <w:rFonts w:hint="eastAsia" w:ascii="仿宋_GB2312" w:hAnsi="仿宋_GB2312" w:eastAsia="仿宋_GB2312" w:cs="仿宋_GB2312"/>
          <w:sz w:val="32"/>
          <w:szCs w:val="32"/>
          <w:lang w:val="en-US" w:eastAsia="zh-CN"/>
        </w:rPr>
        <w:t>因违法经营受到刑事处罚或者责令停产停业、吊销许可证或者执照、较大数额罚款等行政处罚的投标单位参与本项目的采购活动。</w:t>
      </w:r>
    </w:p>
    <w:p>
      <w:pPr>
        <w:pStyle w:val="6"/>
        <w:keepNext w:val="0"/>
        <w:keepLines w:val="0"/>
        <w:pageBreakBefore w:val="0"/>
        <w:widowControl w:val="0"/>
        <w:kinsoku/>
        <w:wordWrap/>
        <w:overflowPunct/>
        <w:topLinePunct w:val="0"/>
        <w:autoSpaceDE/>
        <w:autoSpaceDN/>
        <w:bidi w:val="0"/>
        <w:adjustRightInd/>
        <w:snapToGrid/>
        <w:spacing w:before="78" w:beforeLines="25" w:after="78" w:afterLines="25" w:line="56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auto"/>
          <w:sz w:val="32"/>
          <w:szCs w:val="32"/>
        </w:rPr>
        <w:t>之间存在关联关系，且确实可能影响该项目开标的公平公正的，采购</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有权暂停项目了解情况，</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auto"/>
          <w:sz w:val="32"/>
          <w:szCs w:val="32"/>
        </w:rPr>
        <w:t>应当全权配合；经确认存在上述关联关系的，取消</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auto"/>
          <w:sz w:val="32"/>
          <w:szCs w:val="32"/>
        </w:rPr>
        <w:t>资格，作废标处理；中标后确认上述关联关系的，根据采购相关法律法规追究相应供应商法律责任。</w:t>
      </w:r>
    </w:p>
    <w:p>
      <w:pPr>
        <w:pageBreakBefore w:val="0"/>
        <w:kinsoku/>
        <w:wordWrap/>
        <w:overflowPunct/>
        <w:topLinePunct w:val="0"/>
        <w:autoSpaceDE/>
        <w:autoSpaceDN/>
        <w:bidi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、评标定标方法</w:t>
      </w:r>
    </w:p>
    <w:p>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本项目采用综合评分法，即投标文件满足采购需求文件全部实质性要求，且按照评审因素的量化指标评审得分最高的投标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为中标候选</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的评标方法。</w:t>
      </w:r>
    </w:p>
    <w:p>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确定中标单位按评审后得分由高到低顺序排列。得分相同的，按投标报价由低到高顺序排列。得分且投标报价相同的，按技术指标优劣顺序排列。</w:t>
      </w:r>
    </w:p>
    <w:p>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采购单位的采购小组对每个通过资格性检查和符合性检查且报价不超过预算金额或投标控制价的投标单位进行评审、打分，然后汇总每个投标单位每项评分因素的评分。</w:t>
      </w:r>
    </w:p>
    <w:p>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采购单位的采购小组在评标时，按照以下量化的评审因素，对进入该阶段评审的各投标</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rPr>
        <w:t>进行分析和比较：</w:t>
      </w:r>
    </w:p>
    <w:tbl>
      <w:tblPr>
        <w:tblStyle w:val="16"/>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708"/>
        <w:gridCol w:w="1283"/>
        <w:gridCol w:w="45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975" w:type="dxa"/>
            <w:gridSpan w:val="4"/>
            <w:vAlign w:val="center"/>
          </w:tcPr>
          <w:p>
            <w:pPr>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评分项</w:t>
            </w:r>
          </w:p>
        </w:tc>
        <w:tc>
          <w:tcPr>
            <w:tcW w:w="4531" w:type="dxa"/>
            <w:vAlign w:val="center"/>
          </w:tcPr>
          <w:p>
            <w:pPr>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权重</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975" w:type="dxa"/>
            <w:gridSpan w:val="4"/>
            <w:vAlign w:val="center"/>
          </w:tcPr>
          <w:p>
            <w:pPr>
              <w:spacing w:line="300" w:lineRule="exact"/>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rPr>
              <w:t>价格</w:t>
            </w:r>
            <w:r>
              <w:rPr>
                <w:rFonts w:hint="eastAsia" w:asciiTheme="minorEastAsia" w:hAnsiTheme="minorEastAsia" w:eastAsiaTheme="minorEastAsia" w:cstheme="minorEastAsia"/>
                <w:b/>
                <w:color w:val="auto"/>
                <w:sz w:val="24"/>
                <w:szCs w:val="24"/>
                <w:lang w:val="en-US" w:eastAsia="zh-CN"/>
              </w:rPr>
              <w:t>指标</w:t>
            </w:r>
          </w:p>
        </w:tc>
        <w:tc>
          <w:tcPr>
            <w:tcW w:w="4531" w:type="dxa"/>
            <w:vAlign w:val="center"/>
          </w:tcPr>
          <w:p>
            <w:pPr>
              <w:spacing w:line="300" w:lineRule="exact"/>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20</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5"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708"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评分方式</w:t>
            </w:r>
          </w:p>
        </w:tc>
        <w:tc>
          <w:tcPr>
            <w:tcW w:w="4531"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75"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价格高低</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spacing w:line="3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满足采购需求</w:t>
            </w:r>
            <w:r>
              <w:rPr>
                <w:rFonts w:hint="eastAsia" w:ascii="仿宋_GB2312" w:hAnsi="仿宋_GB2312" w:eastAsia="仿宋_GB2312" w:cs="仿宋_GB2312"/>
                <w:color w:val="auto"/>
                <w:sz w:val="24"/>
                <w:szCs w:val="24"/>
                <w:lang w:val="en-US" w:eastAsia="zh-CN"/>
              </w:rPr>
              <w:t>中供应商资质</w:t>
            </w:r>
            <w:r>
              <w:rPr>
                <w:rFonts w:hint="eastAsia" w:ascii="仿宋_GB2312" w:hAnsi="仿宋_GB2312" w:eastAsia="仿宋_GB2312" w:cs="仿宋_GB2312"/>
                <w:color w:val="auto"/>
                <w:sz w:val="24"/>
                <w:szCs w:val="24"/>
              </w:rPr>
              <w:t>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且投标价格最低的投标报价为评标基准价，其价格分为满分；</w:t>
            </w:r>
          </w:p>
          <w:p>
            <w:pPr>
              <w:spacing w:line="30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其它投标</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的价格分统一按照下列公式计算：投标报价得分=（评标基准价/投标报价）×价格权值</w:t>
            </w:r>
            <w:r>
              <w:rPr>
                <w:rFonts w:hint="eastAsia" w:ascii="仿宋_GB2312" w:hAnsi="仿宋_GB2312"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lang w:eastAsia="zh-CN"/>
              </w:rPr>
              <w:t>。</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975" w:type="dxa"/>
            <w:gridSpan w:val="4"/>
            <w:vAlign w:val="center"/>
          </w:tcPr>
          <w:p>
            <w:pPr>
              <w:spacing w:line="300" w:lineRule="exact"/>
              <w:jc w:val="center"/>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综合实力指标</w:t>
            </w:r>
          </w:p>
        </w:tc>
        <w:tc>
          <w:tcPr>
            <w:tcW w:w="4531" w:type="dxa"/>
            <w:vAlign w:val="center"/>
          </w:tcPr>
          <w:p>
            <w:pPr>
              <w:spacing w:line="300" w:lineRule="exact"/>
              <w:jc w:val="center"/>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35</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5"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708"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评分方式</w:t>
            </w:r>
          </w:p>
        </w:tc>
        <w:tc>
          <w:tcPr>
            <w:tcW w:w="4531"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75"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服务资质</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spacing w:line="300" w:lineRule="exact"/>
              <w:jc w:val="left"/>
              <w:outlineLvl w:val="9"/>
              <w:rPr>
                <w:rFonts w:hint="eastAsia" w:ascii="仿宋_GB2312" w:hAnsi="仿宋_GB2312" w:eastAsia="仿宋_GB2312" w:cs="仿宋_GB2312"/>
                <w:b w:val="0"/>
                <w:bCs w:val="0"/>
                <w:color w:val="auto"/>
                <w:sz w:val="24"/>
                <w:szCs w:val="24"/>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color w:val="auto"/>
                <w:sz w:val="24"/>
                <w:szCs w:val="24"/>
              </w:rPr>
              <w:t>具有</w:t>
            </w:r>
            <w:r>
              <w:rPr>
                <w:rFonts w:hint="eastAsia" w:ascii="仿宋_GB2312" w:hAnsi="仿宋_GB2312" w:eastAsia="仿宋_GB2312" w:cs="仿宋_GB2312"/>
                <w:color w:val="auto"/>
                <w:sz w:val="24"/>
                <w:szCs w:val="24"/>
                <w:lang w:val="en-US" w:eastAsia="zh-CN"/>
              </w:rPr>
              <w:t>广东省住房和城乡建设厅</w:t>
            </w:r>
            <w:r>
              <w:rPr>
                <w:rFonts w:hint="eastAsia" w:ascii="仿宋_GB2312" w:hAnsi="仿宋_GB2312" w:eastAsia="仿宋_GB2312" w:cs="仿宋_GB2312"/>
                <w:color w:val="auto"/>
                <w:sz w:val="24"/>
                <w:szCs w:val="24"/>
                <w:lang w:eastAsia="zh-CN"/>
              </w:rPr>
              <w:t>颁发的</w:t>
            </w:r>
            <w:r>
              <w:rPr>
                <w:rFonts w:hint="eastAsia" w:ascii="仿宋_GB2312" w:hAnsi="仿宋_GB2312" w:eastAsia="仿宋_GB2312" w:cs="仿宋_GB2312"/>
                <w:color w:val="auto"/>
                <w:sz w:val="24"/>
                <w:szCs w:val="24"/>
              </w:rPr>
              <w:t>安全生产许可证证书的</w:t>
            </w:r>
            <w:r>
              <w:rPr>
                <w:rFonts w:hint="eastAsia" w:ascii="仿宋_GB2312" w:hAnsi="仿宋_GB2312" w:eastAsia="仿宋_GB2312" w:cs="仿宋_GB2312"/>
                <w:b w:val="0"/>
                <w:bCs w:val="0"/>
                <w:color w:val="auto"/>
                <w:sz w:val="24"/>
                <w:szCs w:val="24"/>
              </w:rPr>
              <w:t>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w:t>
            </w:r>
          </w:p>
          <w:p>
            <w:pPr>
              <w:spacing w:line="300" w:lineRule="exac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具有安全生产标准化建设指导单位证书的得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w:t>
            </w:r>
          </w:p>
          <w:p>
            <w:pPr>
              <w:numPr>
                <w:ilvl w:val="-1"/>
                <w:numId w:val="0"/>
              </w:numPr>
              <w:spacing w:line="3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3、具有建筑业企业资质证书（施工、劳务）的</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w:t>
            </w:r>
          </w:p>
          <w:p>
            <w:pPr>
              <w:spacing w:line="300" w:lineRule="exact"/>
              <w:jc w:val="left"/>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rPr>
              <w:t>具有质量管理体系认证证书的得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w:t>
            </w:r>
          </w:p>
          <w:p>
            <w:pPr>
              <w:spacing w:line="240" w:lineRule="auto"/>
              <w:jc w:val="left"/>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rPr>
              <w:t>、具有职业健康安全管理体系认证证书的得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 xml:space="preserve">。 </w:t>
            </w:r>
          </w:p>
          <w:p>
            <w:pPr>
              <w:spacing w:line="240" w:lineRule="auto"/>
              <w:jc w:val="left"/>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、具有环境管理体系认证证书的得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w:t>
            </w:r>
          </w:p>
          <w:p>
            <w:pPr>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7、具有（1）日常安全生产巡查服务企业，（2）安全生产知识培训服务企业，（3）消防系统安全巡查服务企业，（4）市政工程监理服务企业等资质证书的，每提供一项得10%，本小项最高得分40%。</w:t>
            </w:r>
          </w:p>
          <w:p>
            <w:pPr>
              <w:spacing w:line="300" w:lineRule="exact"/>
              <w:jc w:val="left"/>
              <w:rPr>
                <w:rFonts w:hint="eastAsia" w:ascii="仿宋_GB2312" w:hAnsi="仿宋_GB2312" w:eastAsia="仿宋_GB2312" w:cs="仿宋_GB2312"/>
                <w:color w:val="auto"/>
                <w:sz w:val="24"/>
                <w:szCs w:val="24"/>
                <w:lang w:val="en-US" w:eastAsia="zh-CN"/>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b w:val="0"/>
                <w:i w:val="0"/>
                <w:caps w:val="0"/>
                <w:color w:val="auto"/>
                <w:spacing w:val="0"/>
                <w:w w:val="100"/>
                <w:kern w:val="2"/>
                <w:sz w:val="24"/>
                <w:szCs w:val="24"/>
                <w:lang w:val="en-US" w:eastAsia="zh-CN" w:bidi="ar-SA"/>
              </w:rPr>
              <w:t>投标单位需提供有效的认证证书复印件加盖投标单位公章，原件备查。提供证明材料不清晰，或在评分中出现无证明材料或采购小组无法凭所提供材料判断是否得分的情况，一律作不得分处理。</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p>
        </w:tc>
        <w:tc>
          <w:tcPr>
            <w:tcW w:w="1275"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同类项目业绩</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spacing w:line="300" w:lineRule="exact"/>
              <w:rPr>
                <w:rFonts w:hint="eastAsia" w:ascii="仿宋_GB2312" w:hAnsi="仿宋_GB2312" w:eastAsia="仿宋_GB2312" w:cs="仿宋_GB2312"/>
                <w:b w:val="0"/>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color w:val="auto"/>
                <w:sz w:val="24"/>
                <w:szCs w:val="24"/>
                <w:lang w:val="en-US" w:eastAsia="zh-CN"/>
              </w:rPr>
              <w:t>根据投标单位近3年（从2020年1月12日起至本项目发布公告之日止）具备同类项目业绩进行评分：承担过政府行政机关或事业单位委托的相关工程安全监管服务的，每提供一项得50%，以上满分为100%。</w:t>
            </w:r>
          </w:p>
          <w:p>
            <w:pPr>
              <w:spacing w:line="300" w:lineRule="exact"/>
              <w:rPr>
                <w:rFonts w:hint="eastAsia" w:ascii="仿宋_GB2312" w:hAnsi="仿宋_GB2312" w:eastAsia="仿宋_GB2312" w:cs="仿宋_GB2312"/>
                <w:b/>
                <w:color w:val="auto"/>
                <w:sz w:val="24"/>
                <w:szCs w:val="24"/>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投标单位须提供相关业绩的合同关键页或中标通知书扫描件或复印件加盖投标单位公章，不具备或未提供有效证明文件不得分，原件备查。</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09" w:type="dxa"/>
            <w:vAlign w:val="center"/>
          </w:tcPr>
          <w:p>
            <w:pPr>
              <w:spacing w:line="300" w:lineRule="exact"/>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lang w:val="en-US" w:eastAsia="zh-CN"/>
              </w:rPr>
              <w:t>3</w:t>
            </w:r>
          </w:p>
        </w:tc>
        <w:tc>
          <w:tcPr>
            <w:tcW w:w="1275"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履约评价</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spacing w:line="300" w:lineRule="exact"/>
              <w:rPr>
                <w:rFonts w:hint="eastAsia" w:ascii="仿宋_GB2312" w:hAnsi="仿宋_GB2312" w:eastAsia="仿宋_GB2312" w:cs="仿宋_GB2312"/>
                <w:b w:val="0"/>
                <w:bCs/>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在上述“同类项目业绩”中所提供的项目经采购单位或被服务单位总体履约评价结果为“优或满意”的得50%，最高得100%。</w:t>
            </w:r>
          </w:p>
          <w:p>
            <w:pPr>
              <w:spacing w:line="300" w:lineRule="exact"/>
              <w:rPr>
                <w:rFonts w:hint="eastAsia" w:ascii="仿宋_GB2312" w:hAnsi="仿宋_GB2312" w:eastAsia="仿宋_GB2312" w:cs="仿宋_GB2312"/>
                <w:color w:val="FF0000"/>
                <w:sz w:val="24"/>
                <w:szCs w:val="24"/>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投标单位须提供</w:t>
            </w:r>
            <w:r>
              <w:rPr>
                <w:rFonts w:hint="eastAsia" w:ascii="仿宋_GB2312" w:hAnsi="仿宋_GB2312" w:eastAsia="仿宋_GB2312" w:cs="仿宋_GB2312"/>
                <w:color w:val="auto"/>
                <w:sz w:val="24"/>
                <w:szCs w:val="24"/>
              </w:rPr>
              <w:t>采购单位或被服务单位总体履约评价为“</w:t>
            </w:r>
            <w:r>
              <w:rPr>
                <w:rFonts w:hint="eastAsia" w:ascii="仿宋_GB2312" w:hAnsi="仿宋_GB2312" w:eastAsia="仿宋_GB2312" w:cs="仿宋_GB2312"/>
                <w:color w:val="auto"/>
                <w:sz w:val="24"/>
                <w:szCs w:val="24"/>
                <w:lang w:val="en-US" w:eastAsia="zh-CN"/>
              </w:rPr>
              <w:t>优</w:t>
            </w:r>
            <w:r>
              <w:rPr>
                <w:rFonts w:hint="eastAsia" w:ascii="仿宋_GB2312" w:hAnsi="仿宋_GB2312" w:eastAsia="仿宋_GB2312" w:cs="仿宋_GB2312"/>
                <w:color w:val="auto"/>
                <w:sz w:val="24"/>
                <w:szCs w:val="24"/>
              </w:rPr>
              <w:t>或</w:t>
            </w:r>
            <w:r>
              <w:rPr>
                <w:rFonts w:hint="eastAsia" w:ascii="仿宋_GB2312" w:hAnsi="仿宋_GB2312" w:eastAsia="仿宋_GB2312" w:cs="仿宋_GB2312"/>
                <w:color w:val="auto"/>
                <w:sz w:val="24"/>
                <w:szCs w:val="24"/>
                <w:lang w:val="en-US" w:eastAsia="zh-CN"/>
              </w:rPr>
              <w:t>满意或合格</w:t>
            </w:r>
            <w:r>
              <w:rPr>
                <w:rFonts w:hint="eastAsia" w:ascii="仿宋_GB2312" w:hAnsi="仿宋_GB2312" w:eastAsia="仿宋_GB2312" w:cs="仿宋_GB2312"/>
                <w:color w:val="auto"/>
                <w:sz w:val="24"/>
                <w:szCs w:val="24"/>
              </w:rPr>
              <w:t>”（或相当于“</w:t>
            </w:r>
            <w:r>
              <w:rPr>
                <w:rFonts w:hint="eastAsia" w:ascii="仿宋_GB2312" w:hAnsi="仿宋_GB2312" w:eastAsia="仿宋_GB2312" w:cs="仿宋_GB2312"/>
                <w:color w:val="auto"/>
                <w:sz w:val="24"/>
                <w:szCs w:val="24"/>
                <w:lang w:val="en-US" w:eastAsia="zh-CN"/>
              </w:rPr>
              <w:t>优</w:t>
            </w:r>
            <w:r>
              <w:rPr>
                <w:rFonts w:hint="eastAsia" w:ascii="仿宋_GB2312" w:hAnsi="仿宋_GB2312" w:eastAsia="仿宋_GB2312" w:cs="仿宋_GB2312"/>
                <w:color w:val="auto"/>
                <w:sz w:val="24"/>
                <w:szCs w:val="24"/>
              </w:rPr>
              <w:t>或</w:t>
            </w:r>
            <w:r>
              <w:rPr>
                <w:rFonts w:hint="eastAsia" w:ascii="仿宋_GB2312" w:hAnsi="仿宋_GB2312" w:eastAsia="仿宋_GB2312" w:cs="仿宋_GB2312"/>
                <w:color w:val="auto"/>
                <w:sz w:val="24"/>
                <w:szCs w:val="24"/>
                <w:lang w:val="en-US" w:eastAsia="zh-CN"/>
              </w:rPr>
              <w:t>满意或合格</w:t>
            </w:r>
            <w:r>
              <w:rPr>
                <w:rFonts w:hint="eastAsia" w:ascii="仿宋_GB2312" w:hAnsi="仿宋_GB2312" w:eastAsia="仿宋_GB2312" w:cs="仿宋_GB2312"/>
                <w:color w:val="auto"/>
                <w:sz w:val="24"/>
                <w:szCs w:val="24"/>
              </w:rPr>
              <w:t>”的同等评价）的证明文件复印件或扫描件，并加盖投标</w:t>
            </w:r>
            <w:r>
              <w:rPr>
                <w:rFonts w:hint="eastAsia" w:ascii="仿宋_GB2312" w:hAnsi="仿宋_GB2312" w:eastAsia="仿宋_GB2312" w:cs="仿宋_GB2312"/>
                <w:b w:val="0"/>
                <w:bCs/>
                <w:color w:val="auto"/>
                <w:sz w:val="24"/>
                <w:szCs w:val="24"/>
                <w:lang w:val="en-US" w:eastAsia="zh-CN"/>
              </w:rPr>
              <w:t>单位</w:t>
            </w:r>
            <w:r>
              <w:rPr>
                <w:rFonts w:hint="eastAsia" w:ascii="仿宋_GB2312" w:hAnsi="仿宋_GB2312" w:eastAsia="仿宋_GB2312" w:cs="仿宋_GB2312"/>
                <w:color w:val="auto"/>
                <w:sz w:val="24"/>
                <w:szCs w:val="24"/>
              </w:rPr>
              <w:t>公章，原件备查。未提供证明材料或者提供的证明材料不符合要求或提供的证明材料不清晰导致无法辨认的，不得分。</w:t>
            </w:r>
          </w:p>
        </w:tc>
        <w:tc>
          <w:tcPr>
            <w:tcW w:w="709" w:type="dxa"/>
            <w:vAlign w:val="center"/>
          </w:tcPr>
          <w:p>
            <w:pPr>
              <w:spacing w:line="300" w:lineRule="exact"/>
              <w:jc w:val="center"/>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275"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诚信</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283"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采购小组打分</w:t>
            </w:r>
          </w:p>
        </w:tc>
        <w:tc>
          <w:tcPr>
            <w:tcW w:w="4531" w:type="dxa"/>
            <w:vAlign w:val="center"/>
          </w:tcPr>
          <w:p>
            <w:pPr>
              <w:spacing w:line="300" w:lineRule="exac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根据深圳市财政委员会政府采购诚信管理相关规定，对投标单位被记录诚信档案的情况进行评审（对于受过行政处罚的供应商，行政处罚期满后，可参与政府采购活动，其诚信分不再扣减。）</w:t>
            </w:r>
          </w:p>
          <w:p>
            <w:pPr>
              <w:spacing w:line="300" w:lineRule="exac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color w:val="auto"/>
                <w:sz w:val="24"/>
                <w:szCs w:val="24"/>
              </w:rPr>
              <w:t>须提供《诚信承诺函》，如若投标</w:t>
            </w:r>
            <w:r>
              <w:rPr>
                <w:rFonts w:hint="eastAsia" w:ascii="仿宋_GB2312" w:hAnsi="仿宋_GB2312" w:eastAsia="仿宋_GB2312" w:cs="仿宋_GB2312"/>
                <w:b w:val="0"/>
                <w:bCs/>
                <w:color w:val="auto"/>
                <w:sz w:val="24"/>
                <w:szCs w:val="24"/>
                <w:lang w:val="en-US" w:eastAsia="zh-CN"/>
              </w:rPr>
              <w:t>单位</w:t>
            </w:r>
            <w:r>
              <w:rPr>
                <w:rFonts w:hint="eastAsia" w:ascii="仿宋_GB2312" w:hAnsi="仿宋_GB2312" w:eastAsia="仿宋_GB2312" w:cs="仿宋_GB2312"/>
                <w:color w:val="auto"/>
                <w:sz w:val="24"/>
                <w:szCs w:val="24"/>
              </w:rPr>
              <w:t>承诺与实际情况不相符，将按照虚假投标的情况报相关主管部门处理，承诺</w:t>
            </w:r>
            <w:r>
              <w:rPr>
                <w:rFonts w:hint="eastAsia" w:ascii="仿宋_GB2312" w:hAnsi="仿宋_GB2312" w:eastAsia="仿宋_GB2312" w:cs="仿宋_GB2312"/>
                <w:color w:val="auto"/>
                <w:sz w:val="24"/>
                <w:szCs w:val="24"/>
                <w:highlight w:val="none"/>
              </w:rPr>
              <w:t>函应加盖投标</w:t>
            </w:r>
            <w:r>
              <w:rPr>
                <w:rFonts w:hint="eastAsia" w:ascii="仿宋_GB2312" w:hAnsi="仿宋_GB2312" w:eastAsia="仿宋_GB2312" w:cs="仿宋_GB2312"/>
                <w:b w:val="0"/>
                <w:bCs/>
                <w:color w:val="auto"/>
                <w:sz w:val="24"/>
                <w:szCs w:val="24"/>
                <w:lang w:val="en-US" w:eastAsia="zh-CN"/>
              </w:rPr>
              <w:t>单位</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color w:val="auto"/>
                <w:sz w:val="24"/>
                <w:szCs w:val="24"/>
                <w:highlight w:val="none"/>
                <w:lang w:eastAsia="zh-CN"/>
              </w:rPr>
              <w:t>未提供《诚信承诺函》不得分。</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975" w:type="dxa"/>
            <w:gridSpan w:val="4"/>
            <w:vAlign w:val="center"/>
          </w:tcPr>
          <w:p>
            <w:pPr>
              <w:spacing w:line="300" w:lineRule="exact"/>
              <w:jc w:val="center"/>
              <w:rPr>
                <w:rFonts w:hint="eastAsia" w:ascii="仿宋_GB2312" w:hAnsi="仿宋_GB2312" w:eastAsia="仿宋_GB2312" w:cs="仿宋_GB2312"/>
                <w:b/>
                <w:color w:val="FF0000"/>
                <w:sz w:val="24"/>
                <w:szCs w:val="24"/>
                <w:lang w:val="en-US" w:eastAsia="zh-CN"/>
              </w:rPr>
            </w:pPr>
            <w:r>
              <w:rPr>
                <w:rFonts w:hint="eastAsia" w:ascii="仿宋_GB2312" w:hAnsi="仿宋_GB2312" w:eastAsia="仿宋_GB2312" w:cs="仿宋_GB2312"/>
                <w:b/>
                <w:color w:val="auto"/>
                <w:sz w:val="24"/>
                <w:szCs w:val="24"/>
                <w:lang w:val="en-US" w:eastAsia="zh-CN"/>
              </w:rPr>
              <w:t>技术指标</w:t>
            </w:r>
          </w:p>
        </w:tc>
        <w:tc>
          <w:tcPr>
            <w:tcW w:w="4531" w:type="dxa"/>
            <w:vAlign w:val="center"/>
          </w:tcPr>
          <w:p>
            <w:pPr>
              <w:spacing w:line="300" w:lineRule="exact"/>
              <w:jc w:val="center"/>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45</w:t>
            </w:r>
          </w:p>
        </w:tc>
        <w:tc>
          <w:tcPr>
            <w:tcW w:w="709" w:type="dxa"/>
            <w:vAlign w:val="center"/>
          </w:tcPr>
          <w:p>
            <w:pPr>
              <w:spacing w:line="300" w:lineRule="exact"/>
              <w:jc w:val="center"/>
              <w:rPr>
                <w:rFonts w:hint="eastAsia" w:asciiTheme="minorEastAsia" w:hAnsiTheme="minorEastAsia" w:eastAsiaTheme="minorEastAsia" w:cstheme="minorEastAsia"/>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5"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评分因素</w:t>
            </w:r>
          </w:p>
        </w:tc>
        <w:tc>
          <w:tcPr>
            <w:tcW w:w="708"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权重</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评分方式</w:t>
            </w:r>
          </w:p>
        </w:tc>
        <w:tc>
          <w:tcPr>
            <w:tcW w:w="4531"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评分准则</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09" w:type="dxa"/>
            <w:vAlign w:val="center"/>
          </w:tcPr>
          <w:p>
            <w:pPr>
              <w:spacing w:line="300" w:lineRule="exact"/>
              <w:jc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1</w:t>
            </w:r>
          </w:p>
        </w:tc>
        <w:tc>
          <w:tcPr>
            <w:tcW w:w="1275" w:type="dxa"/>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项目整体设想及规划</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keepNext w:val="0"/>
              <w:keepLines w:val="0"/>
              <w:pageBreakBefore w:val="0"/>
              <w:numPr>
                <w:ilvl w:val="0"/>
                <w:numId w:val="0"/>
              </w:numPr>
              <w:kinsoku/>
              <w:wordWrap w:val="0"/>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color w:val="auto"/>
                <w:sz w:val="24"/>
                <w:szCs w:val="24"/>
              </w:rPr>
              <w:t>投标</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val="en-US" w:eastAsia="zh-CN"/>
              </w:rPr>
              <w:t>以下三项内容：</w:t>
            </w:r>
          </w:p>
          <w:p>
            <w:pPr>
              <w:keepNext w:val="0"/>
              <w:keepLines w:val="0"/>
              <w:pageBreakBefore w:val="0"/>
              <w:numPr>
                <w:ilvl w:val="0"/>
                <w:numId w:val="0"/>
              </w:numPr>
              <w:kinsoku/>
              <w:wordWrap w:val="0"/>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项目整体设想及规划</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2、</w:t>
            </w:r>
            <w:r>
              <w:rPr>
                <w:rFonts w:hint="eastAsia" w:ascii="仿宋_GB2312" w:hAnsi="仿宋_GB2312" w:eastAsia="仿宋_GB2312" w:cs="仿宋_GB2312"/>
                <w:color w:val="auto"/>
                <w:sz w:val="24"/>
                <w:szCs w:val="24"/>
              </w:rPr>
              <w:t>管理目标是否符合项目要求</w:t>
            </w:r>
            <w:r>
              <w:rPr>
                <w:rFonts w:hint="eastAsia" w:ascii="仿宋_GB2312" w:hAnsi="仿宋_GB2312" w:eastAsia="仿宋_GB2312" w:cs="仿宋_GB2312"/>
                <w:color w:val="auto"/>
                <w:sz w:val="24"/>
                <w:szCs w:val="24"/>
                <w:lang w:eastAsia="zh-CN"/>
              </w:rPr>
              <w:t>；</w:t>
            </w:r>
          </w:p>
          <w:p>
            <w:pPr>
              <w:keepNext w:val="0"/>
              <w:keepLines w:val="0"/>
              <w:pageBreakBefore w:val="0"/>
              <w:numPr>
                <w:ilvl w:val="0"/>
                <w:numId w:val="2"/>
              </w:numPr>
              <w:kinsoku/>
              <w:wordWrap w:val="0"/>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管理措施制度是否具有可操作性，符合本项目要求。</w:t>
            </w:r>
          </w:p>
          <w:p>
            <w:pPr>
              <w:numPr>
                <w:ilvl w:val="0"/>
                <w:numId w:val="0"/>
              </w:numPr>
              <w:wordWrap w:val="0"/>
              <w:autoSpaceDE/>
              <w:autoSpaceDN/>
              <w:jc w:val="left"/>
              <w:rPr>
                <w:rFonts w:hint="eastAsia" w:ascii="宋体" w:hAnsi="宋体" w:eastAsia="宋体" w:cs="宋体"/>
                <w:sz w:val="24"/>
                <w:szCs w:val="24"/>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宋体" w:hAnsi="宋体" w:eastAsia="宋体" w:cs="宋体"/>
                <w:sz w:val="24"/>
                <w:szCs w:val="24"/>
              </w:rPr>
              <w:t xml:space="preserve"> </w:t>
            </w:r>
          </w:p>
          <w:p>
            <w:pPr>
              <w:pStyle w:val="36"/>
              <w:keepNext w:val="0"/>
              <w:keepLines w:val="0"/>
              <w:pageBreakBefore w:val="0"/>
              <w:widowControl w:val="0"/>
              <w:kinsoku/>
              <w:wordWrap/>
              <w:overflowPunct/>
              <w:topLinePunct w:val="0"/>
              <w:autoSpaceDE w:val="0"/>
              <w:autoSpaceDN w:val="0"/>
              <w:bidi w:val="0"/>
              <w:adjustRightInd/>
              <w:snapToGrid/>
              <w:spacing w:line="360" w:lineRule="exact"/>
              <w:ind w:left="108"/>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pacing w:val="0"/>
                <w:sz w:val="24"/>
                <w:szCs w:val="24"/>
              </w:rPr>
              <w:t>、提供上述</w:t>
            </w:r>
            <w:r>
              <w:rPr>
                <w:rFonts w:hint="eastAsia" w:ascii="仿宋_GB2312" w:hAnsi="仿宋_GB2312" w:eastAsia="仿宋_GB2312" w:cs="仿宋_GB2312"/>
                <w:color w:val="auto"/>
                <w:spacing w:val="0"/>
                <w:sz w:val="24"/>
                <w:szCs w:val="24"/>
                <w:lang w:val="en-US" w:eastAsia="zh-CN"/>
              </w:rPr>
              <w:t>3</w:t>
            </w:r>
            <w:r>
              <w:rPr>
                <w:rFonts w:hint="eastAsia" w:ascii="仿宋_GB2312" w:hAnsi="仿宋_GB2312" w:eastAsia="仿宋_GB2312" w:cs="仿宋_GB2312"/>
                <w:color w:val="auto"/>
                <w:spacing w:val="0"/>
                <w:sz w:val="24"/>
                <w:szCs w:val="24"/>
              </w:rPr>
              <w:t>项完整内容的得分</w:t>
            </w:r>
            <w:r>
              <w:rPr>
                <w:rFonts w:hint="eastAsia" w:ascii="仿宋_GB2312" w:hAnsi="仿宋_GB2312" w:eastAsia="仿宋_GB2312" w:cs="仿宋_GB2312"/>
                <w:color w:val="auto"/>
                <w:spacing w:val="0"/>
                <w:sz w:val="24"/>
                <w:szCs w:val="24"/>
                <w:lang w:val="en-US" w:eastAsia="zh-CN"/>
              </w:rPr>
              <w:t>60%</w:t>
            </w:r>
            <w:r>
              <w:rPr>
                <w:rFonts w:hint="eastAsia" w:ascii="仿宋_GB2312" w:hAnsi="仿宋_GB2312" w:eastAsia="仿宋_GB2312" w:cs="仿宋_GB2312"/>
                <w:color w:val="auto"/>
                <w:spacing w:val="0"/>
                <w:sz w:val="24"/>
                <w:szCs w:val="24"/>
                <w:lang w:eastAsia="zh-CN"/>
              </w:rPr>
              <w:t>，</w:t>
            </w:r>
            <w:r>
              <w:rPr>
                <w:rFonts w:hint="eastAsia" w:ascii="仿宋_GB2312" w:hAnsi="仿宋_GB2312" w:eastAsia="仿宋_GB2312" w:cs="仿宋_GB2312"/>
                <w:color w:val="auto"/>
                <w:spacing w:val="0"/>
                <w:sz w:val="24"/>
                <w:szCs w:val="24"/>
                <w:lang w:val="en-US" w:eastAsia="zh-CN"/>
              </w:rPr>
              <w:t>满足任意2项得分40%，满足任意1项得分20%</w:t>
            </w:r>
            <w:r>
              <w:rPr>
                <w:rFonts w:hint="eastAsia" w:ascii="仿宋_GB2312" w:hAnsi="仿宋_GB2312" w:eastAsia="仿宋_GB2312" w:cs="仿宋_GB2312"/>
                <w:color w:val="auto"/>
                <w:sz w:val="24"/>
                <w:szCs w:val="24"/>
              </w:rPr>
              <w:t xml:space="preserve">。 </w:t>
            </w:r>
          </w:p>
          <w:p>
            <w:pPr>
              <w:pStyle w:val="36"/>
              <w:keepNext w:val="0"/>
              <w:keepLines w:val="0"/>
              <w:pageBreakBefore w:val="0"/>
              <w:widowControl w:val="0"/>
              <w:kinsoku/>
              <w:wordWrap/>
              <w:overflowPunct/>
              <w:topLinePunct w:val="0"/>
              <w:autoSpaceDE w:val="0"/>
              <w:autoSpaceDN w:val="0"/>
              <w:bidi w:val="0"/>
              <w:adjustRightInd/>
              <w:snapToGrid/>
              <w:spacing w:line="360" w:lineRule="exact"/>
              <w:ind w:left="108"/>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2、在此基础上，</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 xml:space="preserve">进行评价： </w:t>
            </w:r>
          </w:p>
          <w:p>
            <w:pPr>
              <w:pStyle w:val="36"/>
              <w:keepNext w:val="0"/>
              <w:keepLines w:val="0"/>
              <w:pageBreakBefore w:val="0"/>
              <w:widowControl w:val="0"/>
              <w:kinsoku/>
              <w:wordWrap/>
              <w:overflowPunct/>
              <w:topLinePunct w:val="0"/>
              <w:autoSpaceDE w:val="0"/>
              <w:autoSpaceDN w:val="0"/>
              <w:bidi w:val="0"/>
              <w:adjustRightInd/>
              <w:snapToGrid/>
              <w:spacing w:line="360" w:lineRule="exact"/>
              <w:ind w:left="108"/>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（1）方案整体科学合理、针对性强、可操作性强，评审为优，</w:t>
            </w:r>
            <w:r>
              <w:rPr>
                <w:rFonts w:hint="eastAsia" w:ascii="仿宋_GB2312" w:hAnsi="仿宋_GB2312" w:eastAsia="仿宋_GB2312" w:cs="仿宋_GB2312"/>
                <w:color w:val="auto"/>
                <w:sz w:val="24"/>
                <w:szCs w:val="24"/>
                <w:lang w:val="en-US" w:eastAsia="zh-CN"/>
              </w:rPr>
              <w:t>得</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 xml:space="preserve">； </w:t>
            </w:r>
          </w:p>
          <w:p>
            <w:pPr>
              <w:pStyle w:val="36"/>
              <w:keepNext w:val="0"/>
              <w:keepLines w:val="0"/>
              <w:pageBreakBefore w:val="0"/>
              <w:widowControl w:val="0"/>
              <w:kinsoku/>
              <w:wordWrap/>
              <w:overflowPunct/>
              <w:topLinePunct w:val="0"/>
              <w:autoSpaceDE w:val="0"/>
              <w:autoSpaceDN w:val="0"/>
              <w:bidi w:val="0"/>
              <w:adjustRightInd/>
              <w:snapToGrid/>
              <w:spacing w:line="360" w:lineRule="exact"/>
              <w:ind w:left="108"/>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（2）方案较合理、有一定针对性、一定可操作性，评审为良，</w:t>
            </w:r>
            <w:r>
              <w:rPr>
                <w:rFonts w:hint="eastAsia" w:ascii="仿宋_GB2312" w:hAnsi="仿宋_GB2312" w:eastAsia="仿宋_GB2312" w:cs="仿宋_GB2312"/>
                <w:color w:val="auto"/>
                <w:sz w:val="24"/>
                <w:szCs w:val="24"/>
                <w:lang w:val="en-US" w:eastAsia="zh-CN"/>
              </w:rPr>
              <w:t>得</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 xml:space="preserve">； </w:t>
            </w:r>
          </w:p>
          <w:p>
            <w:pPr>
              <w:pStyle w:val="36"/>
              <w:keepNext w:val="0"/>
              <w:keepLines w:val="0"/>
              <w:pageBreakBefore w:val="0"/>
              <w:widowControl w:val="0"/>
              <w:kinsoku/>
              <w:wordWrap/>
              <w:overflowPunct/>
              <w:topLinePunct w:val="0"/>
              <w:autoSpaceDE w:val="0"/>
              <w:autoSpaceDN w:val="0"/>
              <w:bidi w:val="0"/>
              <w:adjustRightInd/>
              <w:snapToGrid/>
              <w:spacing w:line="360" w:lineRule="exact"/>
              <w:ind w:left="108"/>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（3）方案不尽合理、针对性一般、可操作性一般，评审为中，</w:t>
            </w:r>
            <w:r>
              <w:rPr>
                <w:rFonts w:hint="eastAsia" w:ascii="仿宋_GB2312" w:hAnsi="仿宋_GB2312" w:eastAsia="仿宋_GB2312" w:cs="仿宋_GB2312"/>
                <w:color w:val="auto"/>
                <w:sz w:val="24"/>
                <w:szCs w:val="24"/>
                <w:lang w:val="en-US" w:eastAsia="zh-CN"/>
              </w:rPr>
              <w:t>得</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 xml:space="preserve">； </w:t>
            </w:r>
          </w:p>
          <w:p>
            <w:pPr>
              <w:pStyle w:val="36"/>
              <w:autoSpaceDE w:val="0"/>
              <w:autoSpaceDN w:val="0"/>
              <w:spacing w:line="360" w:lineRule="exact"/>
              <w:ind w:left="108"/>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auto"/>
                <w:sz w:val="24"/>
                <w:szCs w:val="24"/>
              </w:rPr>
              <w:t>（4）方案不合理、无针对性、无可操作性，评审为差，</w:t>
            </w:r>
            <w:r>
              <w:rPr>
                <w:rFonts w:hint="eastAsia" w:ascii="仿宋_GB2312" w:hAnsi="仿宋_GB2312" w:eastAsia="仿宋_GB2312" w:cs="仿宋_GB2312"/>
                <w:color w:val="auto"/>
                <w:sz w:val="24"/>
                <w:szCs w:val="24"/>
                <w:lang w:val="en-US" w:eastAsia="zh-CN"/>
              </w:rPr>
              <w:t>不得</w:t>
            </w:r>
            <w:r>
              <w:rPr>
                <w:rFonts w:hint="eastAsia" w:ascii="仿宋_GB2312" w:hAnsi="仿宋_GB2312" w:eastAsia="仿宋_GB2312" w:cs="仿宋_GB2312"/>
                <w:color w:val="auto"/>
                <w:sz w:val="24"/>
                <w:szCs w:val="24"/>
              </w:rPr>
              <w:t>分。</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709"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275" w:type="dxa"/>
            <w:vAlign w:val="center"/>
          </w:tcPr>
          <w:p>
            <w:pPr>
              <w:jc w:val="center"/>
              <w:rPr>
                <w:rFonts w:hint="eastAsia" w:ascii="仿宋_GB2312" w:hAnsi="黑体" w:eastAsia="仿宋_GB2312" w:cs="Times New Roman"/>
                <w:color w:val="auto"/>
                <w:sz w:val="24"/>
                <w:szCs w:val="24"/>
                <w:lang w:val="en-US" w:eastAsia="zh-CN"/>
              </w:rPr>
            </w:pPr>
            <w:r>
              <w:rPr>
                <w:rFonts w:hint="eastAsia" w:ascii="仿宋_GB2312" w:hAnsi="黑体" w:eastAsia="仿宋_GB2312" w:cs="Times New Roman"/>
                <w:color w:val="auto"/>
                <w:sz w:val="24"/>
                <w:szCs w:val="24"/>
              </w:rPr>
              <w:t>项目重点难点分析、应对措施及相关的合理化建议</w:t>
            </w:r>
          </w:p>
        </w:tc>
        <w:tc>
          <w:tcPr>
            <w:tcW w:w="708" w:type="dxa"/>
            <w:vAlign w:val="center"/>
          </w:tcPr>
          <w:p>
            <w:pPr>
              <w:spacing w:line="3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jc w:val="lef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投标</w:t>
            </w:r>
            <w:r>
              <w:rPr>
                <w:rFonts w:hint="eastAsia" w:ascii="仿宋_GB2312" w:hAnsi="黑体" w:eastAsia="仿宋_GB2312"/>
                <w:b w:val="0"/>
                <w:bCs/>
                <w:sz w:val="24"/>
                <w:szCs w:val="24"/>
                <w:lang w:val="en-US" w:eastAsia="zh-CN"/>
              </w:rPr>
              <w:t>单</w:t>
            </w:r>
            <w:r>
              <w:rPr>
                <w:rFonts w:hint="eastAsia" w:ascii="仿宋_GB2312" w:hAnsi="黑体" w:eastAsia="仿宋_GB2312" w:cs="Times New Roman"/>
                <w:b w:val="0"/>
                <w:bCs/>
                <w:sz w:val="24"/>
                <w:szCs w:val="24"/>
                <w:lang w:val="en-US" w:eastAsia="zh-CN"/>
              </w:rPr>
              <w:t>位</w:t>
            </w:r>
            <w:r>
              <w:rPr>
                <w:rFonts w:hint="eastAsia" w:ascii="仿宋_GB2312" w:hAnsi="黑体" w:eastAsia="仿宋_GB2312" w:cs="Times New Roman"/>
                <w:bCs/>
                <w:kern w:val="2"/>
                <w:sz w:val="24"/>
                <w:szCs w:val="24"/>
                <w:lang w:val="en-US" w:eastAsia="zh-CN"/>
              </w:rPr>
              <w:t>提供的</w:t>
            </w:r>
            <w:r>
              <w:rPr>
                <w:rFonts w:hint="eastAsia" w:ascii="仿宋_GB2312" w:hAnsi="黑体" w:eastAsia="仿宋_GB2312" w:cs="Times New Roman"/>
                <w:bCs/>
                <w:sz w:val="24"/>
                <w:szCs w:val="24"/>
              </w:rPr>
              <w:t>重点难点分析、应对措施及相关的合理化建议</w:t>
            </w:r>
            <w:r>
              <w:rPr>
                <w:rFonts w:hint="eastAsia" w:ascii="仿宋_GB2312" w:hAnsi="仿宋_GB2312" w:eastAsia="仿宋_GB2312" w:cs="仿宋_GB2312"/>
                <w:kern w:val="0"/>
                <w:sz w:val="24"/>
                <w:szCs w:val="24"/>
                <w:lang w:eastAsia="zh-CN"/>
              </w:rPr>
              <w:t>是否具有科学性、合理性、可行性、全面性。</w:t>
            </w:r>
          </w:p>
          <w:p>
            <w:pPr>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color w:val="auto"/>
                <w:kern w:val="2"/>
                <w:sz w:val="24"/>
                <w:szCs w:val="24"/>
                <w:lang w:val="en-US" w:eastAsia="zh-CN"/>
              </w:rPr>
              <w:t>采购小组</w:t>
            </w:r>
            <w:r>
              <w:rPr>
                <w:rFonts w:hint="eastAsia" w:ascii="仿宋_GB2312" w:hAnsi="仿宋_GB2312" w:eastAsia="仿宋_GB2312" w:cs="仿宋_GB2312"/>
                <w:color w:val="auto"/>
                <w:kern w:val="2"/>
                <w:sz w:val="24"/>
                <w:szCs w:val="24"/>
              </w:rPr>
              <w:t>根据</w:t>
            </w:r>
            <w:r>
              <w:rPr>
                <w:rFonts w:hint="eastAsia" w:ascii="仿宋_GB2312" w:hAnsi="仿宋_GB2312" w:eastAsia="仿宋_GB2312" w:cs="仿宋_GB2312"/>
                <w:color w:val="auto"/>
                <w:kern w:val="2"/>
                <w:sz w:val="24"/>
                <w:szCs w:val="24"/>
                <w:lang w:eastAsia="zh-CN"/>
              </w:rPr>
              <w:t>相应</w:t>
            </w:r>
            <w:r>
              <w:rPr>
                <w:rFonts w:hint="eastAsia" w:ascii="仿宋_GB2312" w:hAnsi="仿宋_GB2312" w:eastAsia="仿宋_GB2312" w:cs="仿宋_GB2312"/>
                <w:color w:val="auto"/>
                <w:kern w:val="2"/>
                <w:sz w:val="24"/>
                <w:szCs w:val="24"/>
              </w:rPr>
              <w:t>的优劣情况分档打分：一档：100%，二档：</w:t>
            </w:r>
            <w:r>
              <w:rPr>
                <w:rFonts w:hint="eastAsia" w:ascii="仿宋_GB2312" w:hAnsi="仿宋_GB2312" w:eastAsia="仿宋_GB2312" w:cs="仿宋_GB2312"/>
                <w:color w:val="auto"/>
                <w:kern w:val="2"/>
                <w:sz w:val="24"/>
                <w:szCs w:val="24"/>
                <w:lang w:val="en-US" w:eastAsia="zh-CN"/>
              </w:rPr>
              <w:t>8</w:t>
            </w:r>
            <w:r>
              <w:rPr>
                <w:rFonts w:hint="eastAsia" w:ascii="仿宋_GB2312" w:hAnsi="仿宋_GB2312" w:eastAsia="仿宋_GB2312" w:cs="仿宋_GB2312"/>
                <w:color w:val="auto"/>
                <w:kern w:val="2"/>
                <w:sz w:val="24"/>
                <w:szCs w:val="24"/>
              </w:rPr>
              <w:t>0%，三档：</w:t>
            </w:r>
            <w:r>
              <w:rPr>
                <w:rFonts w:hint="eastAsia" w:ascii="仿宋_GB2312" w:hAnsi="仿宋_GB2312" w:eastAsia="仿宋_GB2312" w:cs="仿宋_GB2312"/>
                <w:color w:val="auto"/>
                <w:kern w:val="2"/>
                <w:sz w:val="24"/>
                <w:szCs w:val="24"/>
                <w:lang w:val="en-US" w:eastAsia="zh-CN"/>
              </w:rPr>
              <w:t>60%</w:t>
            </w: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val="en-US" w:eastAsia="zh-CN"/>
              </w:rPr>
              <w:t>四档：40%</w:t>
            </w:r>
            <w:r>
              <w:rPr>
                <w:rFonts w:hint="eastAsia" w:ascii="仿宋_GB2312" w:hAnsi="仿宋_GB2312" w:eastAsia="仿宋_GB2312" w:cs="仿宋_GB2312"/>
                <w:color w:val="auto"/>
                <w:kern w:val="2"/>
                <w:sz w:val="24"/>
                <w:szCs w:val="24"/>
              </w:rPr>
              <w:t>，未提供或完全不符合得0分</w:t>
            </w:r>
            <w:r>
              <w:rPr>
                <w:rFonts w:hint="eastAsia" w:ascii="仿宋_GB2312" w:hAnsi="仿宋_GB2312" w:eastAsia="仿宋_GB2312" w:cs="仿宋_GB2312"/>
                <w:b w:val="0"/>
                <w:bCs w:val="0"/>
                <w:color w:val="auto"/>
                <w:sz w:val="24"/>
                <w:szCs w:val="24"/>
                <w:lang w:val="en-US" w:eastAsia="zh-CN"/>
              </w:rPr>
              <w:t>。</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09" w:type="dxa"/>
            <w:vAlign w:val="center"/>
          </w:tcPr>
          <w:p>
            <w:pPr>
              <w:spacing w:line="300" w:lineRule="exact"/>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auto"/>
                <w:sz w:val="24"/>
                <w:szCs w:val="24"/>
                <w:lang w:val="en-US" w:eastAsia="zh-CN"/>
              </w:rPr>
              <w:t>3</w:t>
            </w:r>
          </w:p>
        </w:tc>
        <w:tc>
          <w:tcPr>
            <w:tcW w:w="1275" w:type="dxa"/>
            <w:vAlign w:val="center"/>
          </w:tcPr>
          <w:p>
            <w:pPr>
              <w:jc w:val="center"/>
              <w:rPr>
                <w:rFonts w:hint="eastAsia" w:ascii="仿宋_GB2312" w:hAnsi="黑体" w:eastAsia="仿宋_GB2312" w:cs="Times New Roman"/>
                <w:color w:val="auto"/>
                <w:sz w:val="24"/>
                <w:szCs w:val="24"/>
                <w:lang w:eastAsia="zh-CN"/>
              </w:rPr>
            </w:pPr>
            <w:r>
              <w:rPr>
                <w:rFonts w:hint="eastAsia" w:ascii="仿宋_GB2312" w:hAnsi="黑体" w:eastAsia="仿宋_GB2312" w:cs="Times New Roman"/>
                <w:color w:val="auto"/>
                <w:sz w:val="24"/>
                <w:szCs w:val="24"/>
              </w:rPr>
              <w:t>应急事件的处理方案</w:t>
            </w:r>
          </w:p>
        </w:tc>
        <w:tc>
          <w:tcPr>
            <w:tcW w:w="708" w:type="dxa"/>
            <w:vAlign w:val="center"/>
          </w:tcPr>
          <w:p>
            <w:pPr>
              <w:spacing w:line="300" w:lineRule="exact"/>
              <w:jc w:val="center"/>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jc w:val="lef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投标</w:t>
            </w:r>
            <w:r>
              <w:rPr>
                <w:rFonts w:hint="eastAsia" w:ascii="仿宋_GB2312" w:hAnsi="黑体" w:eastAsia="仿宋_GB2312"/>
                <w:b w:val="0"/>
                <w:bCs/>
                <w:sz w:val="24"/>
                <w:szCs w:val="24"/>
                <w:lang w:val="en-US" w:eastAsia="zh-CN"/>
              </w:rPr>
              <w:t>单位</w:t>
            </w:r>
            <w:r>
              <w:rPr>
                <w:rFonts w:hint="eastAsia" w:ascii="仿宋_GB2312" w:hAnsi="仿宋_GB2312" w:eastAsia="仿宋_GB2312" w:cs="仿宋_GB2312"/>
                <w:kern w:val="0"/>
                <w:sz w:val="24"/>
                <w:szCs w:val="24"/>
                <w:lang w:val="en-US" w:eastAsia="zh-CN"/>
              </w:rPr>
              <w:t>提供的</w:t>
            </w:r>
            <w:r>
              <w:rPr>
                <w:rFonts w:hint="eastAsia" w:eastAsia="仿宋_GB2312"/>
                <w:szCs w:val="21"/>
                <w:lang w:val="en-US" w:eastAsia="zh-CN"/>
              </w:rPr>
              <w:t>应急事情的处理方案</w:t>
            </w:r>
            <w:r>
              <w:rPr>
                <w:rFonts w:hint="eastAsia" w:ascii="仿宋_GB2312" w:hAnsi="仿宋_GB2312" w:eastAsia="仿宋_GB2312" w:cs="仿宋_GB2312"/>
                <w:kern w:val="0"/>
                <w:sz w:val="24"/>
                <w:szCs w:val="24"/>
                <w:lang w:eastAsia="zh-CN"/>
              </w:rPr>
              <w:t>是否具有科学性、合理性、可行性、全面性。</w:t>
            </w:r>
          </w:p>
          <w:p>
            <w:pPr>
              <w:rPr>
                <w:rFonts w:hint="eastAsia" w:ascii="仿宋_GB2312" w:hAnsi="仿宋_GB2312" w:eastAsia="仿宋_GB2312" w:cs="仿宋_GB2312"/>
                <w:b w:val="0"/>
                <w:bCs/>
                <w:color w:val="auto"/>
                <w:sz w:val="24"/>
                <w:szCs w:val="24"/>
                <w:lang w:val="en-US" w:eastAsia="zh-CN"/>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kern w:val="0"/>
                <w:sz w:val="24"/>
                <w:szCs w:val="24"/>
                <w:lang w:val="en-US" w:eastAsia="zh-CN"/>
              </w:rPr>
              <w:t>采购小组</w:t>
            </w: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相应</w:t>
            </w:r>
            <w:r>
              <w:rPr>
                <w:rFonts w:hint="eastAsia" w:ascii="仿宋_GB2312" w:hAnsi="仿宋_GB2312" w:eastAsia="仿宋_GB2312" w:cs="仿宋_GB2312"/>
                <w:kern w:val="0"/>
                <w:sz w:val="24"/>
                <w:szCs w:val="24"/>
              </w:rPr>
              <w:t>的优劣情况分档打分：一档：100%，二档：</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0%，三档：</w:t>
            </w:r>
            <w:r>
              <w:rPr>
                <w:rFonts w:hint="eastAsia" w:ascii="仿宋_GB2312" w:hAnsi="仿宋_GB2312" w:eastAsia="仿宋_GB2312" w:cs="仿宋_GB2312"/>
                <w:kern w:val="0"/>
                <w:sz w:val="24"/>
                <w:szCs w:val="24"/>
                <w:lang w:val="en-US" w:eastAsia="zh-CN"/>
              </w:rPr>
              <w:t>60%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四档：40%</w:t>
            </w:r>
            <w:r>
              <w:rPr>
                <w:rFonts w:hint="eastAsia" w:ascii="仿宋_GB2312" w:hAnsi="仿宋_GB2312" w:eastAsia="仿宋_GB2312" w:cs="仿宋_GB2312"/>
                <w:kern w:val="0"/>
                <w:sz w:val="24"/>
                <w:szCs w:val="24"/>
              </w:rPr>
              <w:t>，未提供或完全不符合得0分</w:t>
            </w:r>
            <w:r>
              <w:rPr>
                <w:rFonts w:hint="eastAsia" w:ascii="仿宋_GB2312" w:hAnsi="仿宋_GB2312" w:eastAsia="仿宋_GB2312" w:cs="仿宋_GB2312"/>
                <w:b w:val="0"/>
                <w:bCs/>
                <w:color w:val="auto"/>
                <w:sz w:val="24"/>
                <w:szCs w:val="24"/>
                <w:lang w:val="en-US" w:eastAsia="zh-CN"/>
              </w:rPr>
              <w:t>。</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709" w:type="dxa"/>
            <w:vAlign w:val="center"/>
          </w:tcPr>
          <w:p>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275" w:type="dxa"/>
            <w:vAlign w:val="center"/>
          </w:tcPr>
          <w:p>
            <w:pPr>
              <w:spacing w:line="300" w:lineRule="exact"/>
              <w:jc w:val="center"/>
              <w:rPr>
                <w:rFonts w:hint="eastAsia" w:ascii="仿宋_GB2312" w:hAnsi="仿宋_GB2312" w:eastAsia="仿宋_GB2312" w:cs="仿宋_GB2312"/>
                <w:b w:val="0"/>
                <w:bCs/>
                <w:color w:val="auto"/>
                <w:sz w:val="24"/>
                <w:szCs w:val="24"/>
                <w:lang w:val="en-US" w:eastAsia="zh-CN"/>
              </w:rPr>
            </w:pPr>
            <w:r>
              <w:rPr>
                <w:rFonts w:hint="eastAsia" w:ascii="仿宋_GB2312" w:hAnsi="黑体" w:eastAsia="仿宋_GB2312" w:cs="Times New Roman"/>
                <w:color w:val="auto"/>
                <w:sz w:val="24"/>
                <w:szCs w:val="24"/>
              </w:rPr>
              <w:t>项目团队成员情况</w:t>
            </w:r>
          </w:p>
        </w:tc>
        <w:tc>
          <w:tcPr>
            <w:tcW w:w="708" w:type="dxa"/>
            <w:vAlign w:val="center"/>
          </w:tcPr>
          <w:p>
            <w:pPr>
              <w:spacing w:line="3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283" w:type="dxa"/>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采购小组打分</w:t>
            </w:r>
          </w:p>
        </w:tc>
        <w:tc>
          <w:tcPr>
            <w:tcW w:w="4531" w:type="dxa"/>
            <w:vAlign w:val="center"/>
          </w:tcPr>
          <w:p>
            <w:pPr>
              <w:spacing w:line="300" w:lineRule="exac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rPr>
              <w:t>评审</w:t>
            </w:r>
            <w:r>
              <w:rPr>
                <w:rFonts w:hint="eastAsia" w:ascii="仿宋_GB2312" w:hAnsi="黑体" w:eastAsia="仿宋_GB2312"/>
                <w:b/>
                <w:color w:val="auto"/>
                <w:sz w:val="24"/>
                <w:szCs w:val="24"/>
                <w:lang w:val="en-US" w:eastAsia="zh-CN"/>
              </w:rPr>
              <w:t>内容</w:t>
            </w:r>
            <w:r>
              <w:rPr>
                <w:rFonts w:hint="eastAsia" w:ascii="仿宋_GB2312" w:hAnsi="黑体" w:eastAsia="仿宋_GB2312"/>
                <w:b/>
                <w:color w:val="auto"/>
                <w:sz w:val="24"/>
                <w:szCs w:val="24"/>
              </w:rPr>
              <w:t>：</w:t>
            </w:r>
            <w:r>
              <w:rPr>
                <w:rFonts w:hint="eastAsia" w:ascii="仿宋_GB2312" w:hAnsi="仿宋_GB2312" w:eastAsia="仿宋_GB2312" w:cs="仿宋_GB2312"/>
                <w:b/>
                <w:color w:val="auto"/>
                <w:sz w:val="24"/>
                <w:szCs w:val="24"/>
                <w:lang w:val="en-US" w:eastAsia="zh-CN"/>
              </w:rPr>
              <w:t xml:space="preserve"> </w:t>
            </w:r>
          </w:p>
          <w:p>
            <w:pPr>
              <w:spacing w:line="300" w:lineRule="exact"/>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kern w:val="0"/>
                <w:sz w:val="24"/>
                <w:szCs w:val="24"/>
                <w:lang w:val="en-US" w:eastAsia="zh-CN"/>
              </w:rPr>
              <w:t xml:space="preserve">项目团队成员具有： </w:t>
            </w:r>
          </w:p>
          <w:p>
            <w:pPr>
              <w:spacing w:line="300" w:lineRule="exact"/>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kern w:val="0"/>
                <w:sz w:val="24"/>
                <w:szCs w:val="24"/>
                <w:lang w:val="en-US" w:eastAsia="zh-CN"/>
              </w:rPr>
              <w:t xml:space="preserve">1、具有国家注册安全工程师资格证书的，每提供一名得25%，本项小计最高得50%； </w:t>
            </w:r>
          </w:p>
          <w:p>
            <w:pPr>
              <w:spacing w:line="300" w:lineRule="exact"/>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val="0"/>
                <w:kern w:val="0"/>
                <w:sz w:val="24"/>
                <w:szCs w:val="24"/>
                <w:lang w:val="en-US" w:eastAsia="zh-CN"/>
              </w:rPr>
              <w:t>2、具有市级或以上管理部门颁发的</w:t>
            </w:r>
            <w:r>
              <w:rPr>
                <w:rFonts w:hint="eastAsia" w:ascii="仿宋_GB2312" w:hAnsi="仿宋_GB2312" w:eastAsia="仿宋_GB2312" w:cs="仿宋_GB2312"/>
                <w:kern w:val="0"/>
                <w:sz w:val="24"/>
                <w:szCs w:val="24"/>
              </w:rPr>
              <w:t>安全生产管理人员且持有建筑施工企业专职安全生产管理人员C证的</w:t>
            </w:r>
            <w:r>
              <w:rPr>
                <w:rFonts w:hint="eastAsia" w:ascii="仿宋_GB2312" w:hAnsi="仿宋_GB2312" w:eastAsia="仿宋_GB2312" w:cs="仿宋_GB2312"/>
                <w:b w:val="0"/>
                <w:kern w:val="0"/>
                <w:sz w:val="24"/>
                <w:szCs w:val="24"/>
                <w:lang w:val="en-US" w:eastAsia="zh-CN"/>
              </w:rPr>
              <w:t>，每提供一名得10%，本项小计最高得50%。</w:t>
            </w:r>
          </w:p>
          <w:p>
            <w:pPr>
              <w:spacing w:line="300" w:lineRule="exact"/>
              <w:rPr>
                <w:rFonts w:hint="eastAsia" w:ascii="仿宋_GB2312" w:hAnsi="仿宋_GB2312" w:eastAsia="仿宋_GB2312" w:cs="仿宋_GB2312"/>
                <w:b/>
                <w:color w:val="auto"/>
                <w:sz w:val="24"/>
                <w:szCs w:val="24"/>
                <w:lang w:val="en-US" w:eastAsia="zh-CN"/>
              </w:rPr>
            </w:pPr>
            <w:r>
              <w:rPr>
                <w:rFonts w:hint="eastAsia" w:ascii="仿宋_GB2312" w:hAnsi="黑体" w:eastAsia="仿宋_GB2312"/>
                <w:b/>
                <w:color w:val="auto"/>
                <w:sz w:val="24"/>
                <w:szCs w:val="24"/>
                <w:lang w:val="en-US" w:eastAsia="zh-CN"/>
              </w:rPr>
              <w:t>评审标准</w:t>
            </w:r>
            <w:r>
              <w:rPr>
                <w:rFonts w:hint="eastAsia" w:ascii="仿宋_GB2312" w:hAnsi="黑体" w:eastAsia="仿宋_GB2312"/>
                <w:b/>
                <w:color w:val="auto"/>
                <w:sz w:val="24"/>
                <w:szCs w:val="24"/>
              </w:rPr>
              <w:t>：</w:t>
            </w:r>
            <w:r>
              <w:rPr>
                <w:rFonts w:hint="eastAsia" w:ascii="仿宋_GB2312" w:hAnsi="仿宋_GB2312" w:eastAsia="仿宋_GB2312" w:cs="仿宋_GB2312"/>
                <w:b w:val="0"/>
                <w:bCs/>
                <w:color w:val="auto"/>
                <w:sz w:val="24"/>
                <w:szCs w:val="24"/>
                <w:lang w:val="en-US" w:eastAsia="zh-CN"/>
              </w:rPr>
              <w:t>投标单位需提供有效的证书复印件加盖投标单位公章，原件备查。提供证明材料不清晰，或在评分中出现无证明材料或采购小组无法凭所提供材料判断是否得分的情况，一律作不得分处理。</w:t>
            </w:r>
          </w:p>
        </w:tc>
        <w:tc>
          <w:tcPr>
            <w:tcW w:w="709" w:type="dxa"/>
            <w:vAlign w:val="center"/>
          </w:tcPr>
          <w:p>
            <w:pPr>
              <w:spacing w:line="300" w:lineRule="exact"/>
              <w:jc w:val="center"/>
              <w:rPr>
                <w:rFonts w:hint="eastAsia" w:asciiTheme="minorEastAsia" w:hAnsiTheme="minorEastAsia" w:eastAsiaTheme="minorEastAsia" w:cstheme="minorEastAsia"/>
                <w:b/>
                <w:color w:val="auto"/>
                <w:sz w:val="24"/>
                <w:szCs w:val="24"/>
              </w:rPr>
            </w:pPr>
          </w:p>
        </w:tc>
      </w:tr>
    </w:tbl>
    <w:p>
      <w:pPr>
        <w:pStyle w:val="10"/>
        <w:rPr>
          <w:rFonts w:hint="eastAsia"/>
        </w:rPr>
      </w:pPr>
    </w:p>
    <w:p>
      <w:pPr>
        <w:pageBreakBefore w:val="0"/>
        <w:kinsoku/>
        <w:wordWrap/>
        <w:overflowPunct/>
        <w:topLinePunct w:val="0"/>
        <w:autoSpaceDE/>
        <w:autoSpaceDN/>
        <w:bidi w:val="0"/>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、商务需求</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（一）服务</w:t>
      </w:r>
      <w:r>
        <w:rPr>
          <w:rFonts w:hint="eastAsia" w:ascii="仿宋_GB2312" w:hAnsi="仿宋_GB2312" w:eastAsia="仿宋_GB2312" w:cs="仿宋_GB2312"/>
          <w:color w:val="auto"/>
          <w:sz w:val="32"/>
          <w:szCs w:val="32"/>
          <w:lang w:val="en-US" w:eastAsia="zh-CN"/>
        </w:rPr>
        <w:t>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合同签订之日起一年</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（二）服务地点</w:t>
      </w:r>
    </w:p>
    <w:p>
      <w:pPr>
        <w:pageBreakBefore w:val="0"/>
        <w:kinsoku/>
        <w:wordWrap/>
        <w:overflowPunct/>
        <w:topLinePunct w:val="0"/>
        <w:autoSpaceDE/>
        <w:autoSpaceDN/>
        <w:bidi w:val="0"/>
        <w:spacing w:line="560" w:lineRule="exact"/>
        <w:ind w:firstLine="63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深圳市坪山区坪山街道办事处管辖范围内</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（三）报价要求</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1、本项目预算总价为56.5（含）万元。</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本项目服务费采用包干制，应包括服务成本、法定税费和企业的利润。由投标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根据采购文件所提供的资料自行测算投标报价；一经中标，报价总价作为中标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与采购人签定的合同金额，合同期限内不做调整。</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应当根据本企业的成本自行决定报价，但不得以低于其企业成本的报价投标。</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的报价不得超过项目预算金额。</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的报价，应当是本项目采购范围和采购文件上所列的各项内容中所述的全部，不得以任何理由予以重复。</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除非采购</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通过修改采购文件予以更正，否则，投标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应毫无例外地按响应文件所列的清单中项目和数量填报综合单价和合价。投标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未填综合单价或合价的项目，在实施后，将不得以支付，并视作该项费用已包括在其它有价款的综合单价或合价内。</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应先到项目地点踏勘以充分了解项目的位置、情况、道路及任何其它足以影响投标报价的情况，任何因忽视或误解项目情况而导致的索赔或服务期限延长申请将不获批准。</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不得期望通过索赔等方式获取补偿，否则，除可能遭到拒绝外，还可能将被作为不良行为记录在案，并可能影响其以后参加政府采购的项目投标。各投标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在报价时，应充分考虑报价的风险。</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（四）付款方式</w:t>
      </w:r>
    </w:p>
    <w:p>
      <w:pPr>
        <w:pageBreakBefore w:val="0"/>
        <w:kinsoku/>
        <w:wordWrap/>
        <w:overflowPunct/>
        <w:topLinePunct w:val="0"/>
        <w:autoSpaceDE/>
        <w:autoSpaceDN/>
        <w:bidi w:val="0"/>
        <w:spacing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合同签订时进行具体约定。</w:t>
      </w:r>
    </w:p>
    <w:p>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本项前述条款约定的付款日期届满前，中标单位需至少提前7个工作日向</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提供等额合法发票（开票内容需经</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同意，开票税款由中标单位承担），经</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查验认可中标单位履约行为及结果符合合同约定后，由</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内设部门按政府财政支付流程完成相应的付款审批程序，并在审批完成后3个工作日内将相应价款支付至中标单位收款账户。因</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内部审批流程导致</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未能按合同其他条款约定的期限付款的，免除</w:t>
      </w:r>
      <w:r>
        <w:rPr>
          <w:rFonts w:hint="eastAsia" w:ascii="仿宋_GB2312" w:hAnsi="仿宋_GB2312" w:eastAsia="仿宋_GB2312" w:cs="仿宋_GB2312"/>
          <w:color w:val="auto"/>
          <w:sz w:val="32"/>
          <w:szCs w:val="32"/>
          <w:lang w:val="en-US" w:eastAsia="zh-CN"/>
        </w:rPr>
        <w:t>采购单位</w:t>
      </w:r>
      <w:r>
        <w:rPr>
          <w:rFonts w:hint="eastAsia" w:ascii="仿宋_GB2312" w:hAnsi="仿宋_GB2312" w:eastAsia="仿宋_GB2312" w:cs="仿宋_GB2312"/>
          <w:color w:val="auto"/>
          <w:sz w:val="32"/>
          <w:szCs w:val="32"/>
        </w:rPr>
        <w:t>此项逾期付款的违约责任。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（五）保密责任</w:t>
      </w:r>
    </w:p>
    <w:p>
      <w:pPr>
        <w:pageBreakBefore w:val="0"/>
        <w:kinsoku/>
        <w:wordWrap/>
        <w:overflowPunct/>
        <w:topLinePunct w:val="0"/>
        <w:autoSpaceDE/>
        <w:autoSpaceDN/>
        <w:bidi w:val="0"/>
        <w:spacing w:line="56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中标单位必须严格遵守《中华人民共和国保守国家秘密法》（以下简称为《保密法》），不得泄露《保密法》及地方保密法规所规定的保密事项。采购单位提供给中标单位的</w:t>
      </w:r>
      <w:r>
        <w:rPr>
          <w:rFonts w:hint="eastAsia" w:ascii="仿宋_GB2312" w:hAnsi="仿宋_GB2312" w:eastAsia="仿宋_GB2312" w:cs="仿宋_GB2312"/>
          <w:color w:val="auto"/>
          <w:sz w:val="32"/>
          <w:szCs w:val="32"/>
          <w:highlight w:val="none"/>
          <w:lang w:val="en-US" w:eastAsia="zh-CN"/>
        </w:rPr>
        <w:t>合同相关文件信息</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一律不得另作他用，或提供给第三方。如中标单位违反保密规定，泄露保密法规规定的保密事项，采购单位有权追究中</w:t>
      </w:r>
      <w:bookmarkStart w:id="0" w:name="_GoBack"/>
      <w:bookmarkEnd w:id="0"/>
      <w:r>
        <w:rPr>
          <w:rFonts w:hint="eastAsia" w:ascii="仿宋_GB2312" w:hAnsi="仿宋_GB2312" w:eastAsia="仿宋_GB2312" w:cs="仿宋_GB2312"/>
          <w:color w:val="auto"/>
          <w:sz w:val="32"/>
          <w:szCs w:val="32"/>
        </w:rPr>
        <w:t>标单位相关法律责任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保密责任条款自</w:t>
      </w:r>
      <w:r>
        <w:rPr>
          <w:rFonts w:hint="eastAsia" w:ascii="仿宋_GB2312" w:hAnsi="仿宋_GB2312" w:eastAsia="仿宋_GB2312" w:cs="仿宋_GB2312"/>
          <w:color w:val="auto"/>
          <w:sz w:val="32"/>
          <w:szCs w:val="32"/>
          <w:highlight w:val="none"/>
          <w:lang w:val="en-US" w:eastAsia="zh-CN"/>
        </w:rPr>
        <w:t>合同履约完成</w:t>
      </w:r>
      <w:r>
        <w:rPr>
          <w:rFonts w:hint="eastAsia" w:ascii="仿宋_GB2312" w:hAnsi="仿宋_GB2312" w:eastAsia="仿宋_GB2312" w:cs="仿宋_GB2312"/>
          <w:color w:val="auto"/>
          <w:sz w:val="32"/>
          <w:szCs w:val="32"/>
        </w:rPr>
        <w:t>后自行终止。</w:t>
      </w:r>
    </w:p>
    <w:p>
      <w:pPr>
        <w:pStyle w:val="10"/>
        <w:spacing w:after="0"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（六）争议处理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val="en-US" w:eastAsia="zh-CN"/>
        </w:rPr>
        <w:t>本项目</w:t>
      </w:r>
      <w:r>
        <w:rPr>
          <w:rFonts w:hint="eastAsia" w:ascii="仿宋_GB2312" w:hAnsi="仿宋_GB2312" w:eastAsia="仿宋_GB2312" w:cs="仿宋_GB2312"/>
          <w:color w:val="000000"/>
          <w:sz w:val="32"/>
          <w:szCs w:val="32"/>
        </w:rPr>
        <w:t>合同执行过程中发生任何争议，双方应友好协商解决。协商不成</w:t>
      </w:r>
      <w:r>
        <w:rPr>
          <w:rFonts w:hint="eastAsia" w:ascii="仿宋_GB2312" w:hAnsi="仿宋_GB2312" w:eastAsia="仿宋_GB2312" w:cs="仿宋_GB2312"/>
          <w:color w:val="000000"/>
          <w:sz w:val="32"/>
          <w:szCs w:val="32"/>
          <w:lang w:val="en-US" w:eastAsia="zh-CN"/>
        </w:rPr>
        <w:t>任何一方可向采购单位所在地</w:t>
      </w:r>
      <w:r>
        <w:rPr>
          <w:rFonts w:hint="eastAsia" w:ascii="仿宋_GB2312" w:hAnsi="仿宋_GB2312" w:eastAsia="仿宋_GB2312" w:cs="仿宋_GB2312"/>
          <w:color w:val="000000"/>
          <w:sz w:val="32"/>
          <w:szCs w:val="32"/>
        </w:rPr>
        <w:t>人民法院</w:t>
      </w:r>
      <w:r>
        <w:rPr>
          <w:rFonts w:hint="eastAsia" w:ascii="仿宋_GB2312" w:hAnsi="仿宋_GB2312" w:eastAsia="仿宋_GB2312" w:cs="仿宋_GB2312"/>
          <w:color w:val="000000"/>
          <w:sz w:val="32"/>
          <w:szCs w:val="32"/>
          <w:lang w:val="en-US" w:eastAsia="zh-CN"/>
        </w:rPr>
        <w:t>提出诉讼</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在本项目</w:t>
      </w:r>
      <w:r>
        <w:rPr>
          <w:rFonts w:hint="eastAsia" w:ascii="仿宋_GB2312" w:hAnsi="仿宋_GB2312" w:eastAsia="仿宋_GB2312" w:cs="仿宋_GB2312"/>
          <w:color w:val="000000"/>
          <w:sz w:val="32"/>
          <w:szCs w:val="32"/>
        </w:rPr>
        <w:t>合同</w:t>
      </w:r>
      <w:r>
        <w:rPr>
          <w:rFonts w:hint="eastAsia" w:ascii="仿宋_GB2312" w:hAnsi="仿宋_GB2312" w:eastAsia="仿宋_GB2312" w:cs="仿宋_GB2312"/>
          <w:color w:val="000000"/>
          <w:sz w:val="32"/>
          <w:szCs w:val="32"/>
          <w:lang w:val="en-US" w:eastAsia="zh-CN"/>
        </w:rPr>
        <w:t>履行</w:t>
      </w:r>
      <w:r>
        <w:rPr>
          <w:rFonts w:hint="eastAsia" w:ascii="仿宋_GB2312" w:hAnsi="仿宋_GB2312" w:eastAsia="仿宋_GB2312" w:cs="仿宋_GB2312"/>
          <w:color w:val="000000"/>
          <w:sz w:val="32"/>
          <w:szCs w:val="32"/>
        </w:rPr>
        <w:t>期间，如因不可抗拒因素而造成任何一方无法履行合同时，一方应通知另一方，自通知送达之日起本合同终止，并双方互不担责。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在本项目</w:t>
      </w:r>
      <w:r>
        <w:rPr>
          <w:rFonts w:hint="eastAsia" w:ascii="仿宋_GB2312" w:hAnsi="仿宋_GB2312" w:eastAsia="仿宋_GB2312" w:cs="仿宋_GB2312"/>
          <w:color w:val="000000"/>
          <w:sz w:val="32"/>
          <w:szCs w:val="32"/>
        </w:rPr>
        <w:t>合同</w:t>
      </w:r>
      <w:r>
        <w:rPr>
          <w:rFonts w:hint="eastAsia" w:ascii="仿宋_GB2312" w:hAnsi="仿宋_GB2312" w:eastAsia="仿宋_GB2312" w:cs="仿宋_GB2312"/>
          <w:color w:val="000000"/>
          <w:sz w:val="32"/>
          <w:szCs w:val="32"/>
          <w:lang w:val="en-US" w:eastAsia="zh-CN"/>
        </w:rPr>
        <w:t>履行</w:t>
      </w:r>
      <w:r>
        <w:rPr>
          <w:rFonts w:hint="eastAsia" w:ascii="仿宋_GB2312" w:hAnsi="仿宋_GB2312" w:eastAsia="仿宋_GB2312" w:cs="仿宋_GB2312"/>
          <w:color w:val="000000"/>
          <w:sz w:val="32"/>
          <w:szCs w:val="32"/>
        </w:rPr>
        <w:t>期间，如果一方违约行为致使不能实现本</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合同目的的，另一方有权解除合同，并追究违约方的违约责任。</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中标单位</w:t>
      </w:r>
      <w:r>
        <w:rPr>
          <w:rFonts w:hint="eastAsia" w:ascii="仿宋_GB2312" w:hAnsi="仿宋_GB2312" w:eastAsia="仿宋_GB2312" w:cs="仿宋_GB2312"/>
          <w:color w:val="auto"/>
          <w:sz w:val="32"/>
          <w:szCs w:val="32"/>
          <w:lang w:val="en-US" w:eastAsia="zh-CN"/>
        </w:rPr>
        <w:t>应按时完成本项目的服务内容</w:t>
      </w:r>
      <w:r>
        <w:rPr>
          <w:rFonts w:hint="eastAsia" w:ascii="仿宋_GB2312" w:hAnsi="仿宋_GB2312" w:eastAsia="仿宋_GB2312" w:cs="仿宋_GB2312"/>
          <w:color w:val="auto"/>
          <w:sz w:val="32"/>
          <w:szCs w:val="32"/>
        </w:rPr>
        <w:t>，不得延误，</w:t>
      </w:r>
      <w:r>
        <w:rPr>
          <w:rFonts w:hint="eastAsia" w:ascii="仿宋_GB2312" w:hAnsi="仿宋_GB2312" w:eastAsia="仿宋_GB2312" w:cs="仿宋_GB2312"/>
          <w:color w:val="auto"/>
          <w:sz w:val="32"/>
          <w:szCs w:val="32"/>
          <w:lang w:eastAsia="zh-CN"/>
        </w:rPr>
        <w:t>因</w:t>
      </w:r>
      <w:r>
        <w:rPr>
          <w:rFonts w:hint="eastAsia" w:ascii="仿宋_GB2312" w:hAnsi="仿宋_GB2312" w:eastAsia="仿宋_GB2312" w:cs="仿宋_GB2312"/>
          <w:color w:val="auto"/>
          <w:sz w:val="32"/>
          <w:szCs w:val="32"/>
        </w:rPr>
        <w:t>延误原因所造成的损失由中标单位承担。</w:t>
      </w:r>
    </w:p>
    <w:p>
      <w:pPr>
        <w:numPr>
          <w:ilvl w:val="0"/>
          <w:numId w:val="3"/>
        </w:num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供应商情况介绍</w:t>
      </w:r>
    </w:p>
    <w:p>
      <w:pPr>
        <w:pStyle w:val="2"/>
        <w:numPr>
          <w:ilvl w:val="-1"/>
          <w:numId w:val="0"/>
        </w:numPr>
        <w:rPr>
          <w:rFonts w:hint="eastAsia" w:ascii="黑体" w:hAnsi="黑体" w:eastAsia="黑体" w:cs="黑体"/>
          <w:color w:val="auto"/>
          <w:sz w:val="32"/>
          <w:szCs w:val="32"/>
        </w:rPr>
      </w:pPr>
    </w:p>
    <w:p>
      <w:pPr>
        <w:pStyle w:val="2"/>
        <w:numPr>
          <w:ilvl w:val="-1"/>
          <w:numId w:val="0"/>
        </w:numPr>
        <w:rPr>
          <w:rFonts w:hint="eastAsia" w:ascii="黑体" w:hAnsi="黑体" w:eastAsia="黑体" w:cs="黑体"/>
          <w:color w:val="auto"/>
          <w:sz w:val="32"/>
          <w:szCs w:val="32"/>
        </w:rPr>
      </w:pPr>
    </w:p>
    <w:tbl>
      <w:tblPr>
        <w:tblStyle w:val="16"/>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37"/>
        <w:gridCol w:w="414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2237" w:type="dxa"/>
            <w:vAlign w:val="top"/>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项目</w:t>
            </w:r>
          </w:p>
        </w:tc>
        <w:tc>
          <w:tcPr>
            <w:tcW w:w="4142"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内容及说明</w:t>
            </w:r>
          </w:p>
        </w:tc>
        <w:tc>
          <w:tcPr>
            <w:tcW w:w="1711"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w:t>
            </w:r>
          </w:p>
        </w:tc>
        <w:tc>
          <w:tcPr>
            <w:tcW w:w="6379" w:type="dxa"/>
            <w:gridSpan w:val="2"/>
            <w:vAlign w:val="top"/>
          </w:tcPr>
          <w:p>
            <w:pPr>
              <w:spacing w:line="5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营业执照</w:t>
            </w: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成立日期及注册号</w:t>
            </w:r>
          </w:p>
        </w:tc>
        <w:tc>
          <w:tcPr>
            <w:tcW w:w="4142" w:type="dxa"/>
            <w:vAlign w:val="center"/>
          </w:tcPr>
          <w:p>
            <w:pPr>
              <w:spacing w:line="560" w:lineRule="exact"/>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注册资本（万元）</w:t>
            </w:r>
          </w:p>
        </w:tc>
        <w:tc>
          <w:tcPr>
            <w:tcW w:w="4142" w:type="dxa"/>
            <w:vAlign w:val="center"/>
          </w:tcPr>
          <w:p>
            <w:pPr>
              <w:spacing w:line="560" w:lineRule="exact"/>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4142" w:type="dxa"/>
            <w:vAlign w:val="center"/>
          </w:tcPr>
          <w:p>
            <w:pPr>
              <w:spacing w:line="560" w:lineRule="exact"/>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c>
          <w:tcPr>
            <w:tcW w:w="4142" w:type="dxa"/>
            <w:vAlign w:val="center"/>
          </w:tcPr>
          <w:p>
            <w:pPr>
              <w:spacing w:line="560" w:lineRule="exact"/>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w:t>
            </w:r>
          </w:p>
        </w:tc>
        <w:tc>
          <w:tcPr>
            <w:tcW w:w="6379" w:type="dxa"/>
            <w:gridSpan w:val="2"/>
            <w:vAlign w:val="center"/>
          </w:tcPr>
          <w:p>
            <w:pPr>
              <w:spacing w:line="5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税务登记证</w:t>
            </w: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税务登记证编号</w:t>
            </w:r>
          </w:p>
        </w:tc>
        <w:tc>
          <w:tcPr>
            <w:tcW w:w="4142" w:type="dxa"/>
            <w:vAlign w:val="center"/>
          </w:tcPr>
          <w:p>
            <w:pPr>
              <w:spacing w:line="560" w:lineRule="exact"/>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w:t>
            </w:r>
          </w:p>
        </w:tc>
        <w:tc>
          <w:tcPr>
            <w:tcW w:w="6379" w:type="dxa"/>
            <w:gridSpan w:val="2"/>
            <w:vAlign w:val="center"/>
          </w:tcPr>
          <w:p>
            <w:pPr>
              <w:spacing w:line="5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资格（质）证书（</w:t>
            </w:r>
            <w:r>
              <w:rPr>
                <w:rFonts w:hint="eastAsia" w:asciiTheme="minorEastAsia" w:hAnsiTheme="minorEastAsia" w:eastAsiaTheme="minorEastAsia" w:cstheme="minorEastAsia"/>
                <w:color w:val="auto"/>
                <w:sz w:val="24"/>
                <w:szCs w:val="24"/>
              </w:rPr>
              <w:t>若有其他资质证书，可按表格格式扩展</w:t>
            </w:r>
            <w:r>
              <w:rPr>
                <w:rFonts w:hint="eastAsia" w:asciiTheme="minorEastAsia" w:hAnsiTheme="minorEastAsia" w:eastAsiaTheme="minorEastAsia" w:cstheme="minorEastAsia"/>
                <w:b/>
                <w:color w:val="auto"/>
                <w:sz w:val="24"/>
                <w:szCs w:val="24"/>
              </w:rPr>
              <w:t>）</w:t>
            </w: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发证机关</w:t>
            </w: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发证日期及编号</w:t>
            </w: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w:t>
            </w: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w:t>
            </w:r>
          </w:p>
        </w:tc>
        <w:tc>
          <w:tcPr>
            <w:tcW w:w="6379" w:type="dxa"/>
            <w:gridSpan w:val="2"/>
            <w:vAlign w:val="center"/>
          </w:tcPr>
          <w:p>
            <w:pPr>
              <w:spacing w:line="5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其他</w:t>
            </w:r>
            <w:r>
              <w:rPr>
                <w:rFonts w:hint="eastAsia" w:asciiTheme="minorEastAsia" w:hAnsiTheme="minorEastAsia" w:eastAsiaTheme="minorEastAsia" w:cstheme="minorEastAsia"/>
                <w:color w:val="auto"/>
                <w:sz w:val="24"/>
                <w:szCs w:val="24"/>
              </w:rPr>
              <w:t>（投标人认为需补充的其他说明）</w:t>
            </w: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783" w:type="dxa"/>
            <w:vAlign w:val="center"/>
          </w:tcPr>
          <w:p>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237"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4142" w:type="dxa"/>
            <w:vAlign w:val="center"/>
          </w:tcPr>
          <w:p>
            <w:pPr>
              <w:spacing w:line="560" w:lineRule="exact"/>
              <w:jc w:val="center"/>
              <w:rPr>
                <w:rFonts w:hint="eastAsia" w:asciiTheme="minorEastAsia" w:hAnsiTheme="minorEastAsia" w:eastAsiaTheme="minorEastAsia" w:cstheme="minorEastAsia"/>
                <w:color w:val="auto"/>
                <w:sz w:val="24"/>
                <w:szCs w:val="24"/>
              </w:rPr>
            </w:pPr>
          </w:p>
        </w:tc>
        <w:tc>
          <w:tcPr>
            <w:tcW w:w="1711" w:type="dxa"/>
            <w:vAlign w:val="center"/>
          </w:tcPr>
          <w:p>
            <w:pPr>
              <w:spacing w:line="560" w:lineRule="exact"/>
              <w:jc w:val="center"/>
              <w:rPr>
                <w:rFonts w:hint="eastAsia" w:asciiTheme="minorEastAsia" w:hAnsiTheme="minorEastAsia" w:eastAsiaTheme="minorEastAsia" w:cstheme="minorEastAsia"/>
                <w:color w:val="auto"/>
                <w:sz w:val="24"/>
                <w:szCs w:val="24"/>
              </w:rPr>
            </w:pPr>
          </w:p>
        </w:tc>
      </w:tr>
    </w:tbl>
    <w:p>
      <w:pPr>
        <w:spacing w:line="56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注：</w:t>
      </w:r>
      <w:r>
        <w:rPr>
          <w:rFonts w:hint="eastAsia" w:asciiTheme="minorEastAsia" w:hAnsiTheme="minorEastAsia" w:eastAsiaTheme="minorEastAsia" w:cstheme="minorEastAsia"/>
          <w:bCs/>
          <w:color w:val="auto"/>
          <w:sz w:val="24"/>
          <w:szCs w:val="24"/>
        </w:rPr>
        <w:t>在按要求填写好此表格后，各投标人可以用其它的方式，就公司整体情况作出详细的介绍。</w:t>
      </w:r>
    </w:p>
    <w:p>
      <w:pPr>
        <w:pStyle w:val="20"/>
        <w:spacing w:line="560" w:lineRule="exact"/>
        <w:ind w:firstLine="0" w:firstLineChars="0"/>
        <w:jc w:val="left"/>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、分项报价清单</w:t>
      </w:r>
    </w:p>
    <w:p>
      <w:pPr>
        <w:spacing w:line="56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u w:val="single"/>
        </w:rPr>
        <w:t xml:space="preserve">                   </w:t>
      </w:r>
    </w:p>
    <w:p>
      <w:pPr>
        <w:spacing w:line="560" w:lineRule="exact"/>
        <w:ind w:firstLine="0" w:firstLineChars="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代表姓名：</w:t>
      </w:r>
      <w:r>
        <w:rPr>
          <w:rFonts w:hint="eastAsia" w:asciiTheme="minorEastAsia" w:hAnsiTheme="minorEastAsia" w:eastAsiaTheme="minorEastAsia" w:cstheme="minorEastAsia"/>
          <w:color w:val="auto"/>
          <w:sz w:val="24"/>
          <w:szCs w:val="24"/>
          <w:u w:val="single"/>
        </w:rPr>
        <w:t xml:space="preserve">               </w:t>
      </w:r>
    </w:p>
    <w:p>
      <w:pPr>
        <w:pStyle w:val="2"/>
        <w:rPr>
          <w:rFonts w:hint="eastAsia" w:asciiTheme="minorEastAsia" w:hAnsiTheme="minorEastAsia" w:eastAsiaTheme="minorEastAsia" w:cstheme="minorEastAsia"/>
          <w:color w:val="auto"/>
          <w:sz w:val="24"/>
          <w:szCs w:val="24"/>
          <w:u w:val="single"/>
        </w:rPr>
      </w:pPr>
    </w:p>
    <w:p>
      <w:pPr>
        <w:pStyle w:val="2"/>
        <w:rPr>
          <w:rFonts w:hint="eastAsia" w:asciiTheme="minorEastAsia" w:hAnsiTheme="minorEastAsia" w:eastAsiaTheme="minorEastAsia" w:cstheme="minorEastAsia"/>
          <w:color w:val="auto"/>
          <w:sz w:val="24"/>
          <w:szCs w:val="24"/>
          <w:u w:val="single"/>
        </w:rPr>
      </w:pPr>
    </w:p>
    <w:p>
      <w:pPr>
        <w:pStyle w:val="2"/>
        <w:rPr>
          <w:rFonts w:hint="eastAsia" w:asciiTheme="minorEastAsia" w:hAnsiTheme="minorEastAsia" w:eastAsiaTheme="minorEastAsia" w:cstheme="minorEastAsia"/>
          <w:color w:val="auto"/>
          <w:sz w:val="24"/>
          <w:szCs w:val="24"/>
          <w:u w:val="single"/>
        </w:rPr>
      </w:pPr>
    </w:p>
    <w:p>
      <w:pPr>
        <w:pStyle w:val="2"/>
        <w:rPr>
          <w:rFonts w:hint="eastAsia" w:asciiTheme="minorEastAsia" w:hAnsiTheme="minorEastAsia" w:eastAsiaTheme="minorEastAsia" w:cstheme="minorEastAsia"/>
          <w:color w:val="auto"/>
          <w:sz w:val="24"/>
          <w:szCs w:val="24"/>
          <w:u w:val="single"/>
        </w:rPr>
      </w:pPr>
    </w:p>
    <w:p>
      <w:pPr>
        <w:pStyle w:val="2"/>
        <w:rPr>
          <w:rFonts w:hint="eastAsia" w:asciiTheme="minorEastAsia" w:hAnsiTheme="minorEastAsia" w:eastAsiaTheme="minorEastAsia" w:cstheme="minorEastAsia"/>
          <w:color w:val="auto"/>
          <w:sz w:val="24"/>
          <w:szCs w:val="24"/>
          <w:u w:val="single"/>
        </w:rPr>
      </w:pPr>
    </w:p>
    <w:p>
      <w:pPr>
        <w:pStyle w:val="2"/>
        <w:rPr>
          <w:rFonts w:hint="eastAsia" w:asciiTheme="minorEastAsia" w:hAnsiTheme="minorEastAsia" w:eastAsiaTheme="minorEastAsia" w:cstheme="minorEastAsia"/>
          <w:color w:val="auto"/>
          <w:sz w:val="24"/>
          <w:szCs w:val="24"/>
          <w:u w:val="single"/>
        </w:rPr>
      </w:pPr>
    </w:p>
    <w:p>
      <w:pPr>
        <w:pStyle w:val="10"/>
        <w:rPr>
          <w:rFonts w:hint="eastAsia"/>
        </w:rPr>
      </w:pPr>
    </w:p>
    <w:tbl>
      <w:tblPr>
        <w:tblStyle w:val="16"/>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645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序号</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服务内容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报价</w:t>
            </w:r>
            <w:r>
              <w:rPr>
                <w:rFonts w:hint="default" w:ascii="仿宋_GB2312" w:hAnsi="宋体" w:eastAsia="仿宋_GB2312" w:cs="仿宋_GB2312"/>
                <w:i w:val="0"/>
                <w:iCs w:val="0"/>
                <w:color w:val="000000"/>
                <w:kern w:val="0"/>
                <w:sz w:val="22"/>
                <w:szCs w:val="22"/>
                <w:u w:val="none"/>
                <w:lang w:val="en-US" w:eastAsia="zh-CN" w:bidi="ar"/>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统筹辖区内小散工程安全纳管工作，对辖区内小散工程和零星作业进行安全监管督导检查和施工现场安全检查，每周巡查一级小散工程不少于3次，每周巡查二级小散工程不少于2次，每月对辖区内物业小散工程和零星作业开展1次抽查。 </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巡查过程发现安全隐患，及时发整改告知书并掌握整改落实情况，重点检查在建项目是否备案，隐患整改是否闭环、对分拨违法违规行为是否及时处置等情况，支持和配合街道行政执法部门开展相关行政执法工作，配合上级相关部门要求施工单位落实安全生产责任。</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协调街道相关部门开展对已备案的小散工程在施工阶段的安全监管。</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收集汇总每日巡查内容及各社区受理的开工申报登记，编写巡查工作小结，在相关工作群及时报送，建立健全辖区小散工程建筑活动台账，落实周报月报。</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每季度对社区工作人员开展小散工程和零星作业安全生产专业技能培训工作，每月对小散工程和零星作业负责人及施工人员开展相关安全生产培训，或组织现场观看事故警示视频。</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负责做好已备案的小散工程的系统跟踪销号工作。</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合计（含税）：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after="60" w:line="560" w:lineRule="exact"/>
        <w:ind w:firstLine="0" w:firstLineChars="0"/>
        <w:textAlignment w:val="auto"/>
        <w:outlineLvl w:val="9"/>
        <w:rPr>
          <w:rFonts w:hint="eastAsia" w:asciiTheme="minorEastAsia" w:hAnsiTheme="minorEastAsia" w:eastAsiaTheme="minorEastAsia" w:cstheme="minorEastAsia"/>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60" w:line="560" w:lineRule="exact"/>
        <w:ind w:firstLine="240" w:firstLineChars="1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注：</w:t>
      </w:r>
      <w:r>
        <w:rPr>
          <w:rFonts w:hint="eastAsia" w:asciiTheme="minorEastAsia" w:hAnsiTheme="minorEastAsia" w:eastAsiaTheme="minorEastAsia" w:cstheme="minorEastAsia"/>
          <w:color w:val="auto"/>
          <w:sz w:val="24"/>
          <w:szCs w:val="24"/>
        </w:rPr>
        <w:t>1.所有价格应按“采购需求”中规定的</w:t>
      </w:r>
      <w:r>
        <w:rPr>
          <w:rFonts w:hint="eastAsia" w:asciiTheme="minorEastAsia" w:hAnsiTheme="minorEastAsia" w:eastAsiaTheme="minorEastAsia" w:cstheme="minorEastAsia"/>
          <w:color w:val="auto"/>
          <w:sz w:val="24"/>
          <w:szCs w:val="24"/>
          <w:lang w:val="en-US" w:eastAsia="zh-CN"/>
        </w:rPr>
        <w:t>格式、</w:t>
      </w:r>
      <w:r>
        <w:rPr>
          <w:rFonts w:hint="eastAsia" w:asciiTheme="minorEastAsia" w:hAnsiTheme="minorEastAsia" w:eastAsiaTheme="minorEastAsia" w:cstheme="minorEastAsia"/>
          <w:color w:val="auto"/>
          <w:sz w:val="24"/>
          <w:szCs w:val="24"/>
        </w:rPr>
        <w:t>货币单位填写；</w:t>
      </w:r>
    </w:p>
    <w:p>
      <w:pPr>
        <w:numPr>
          <w:ilvl w:val="-1"/>
          <w:numId w:val="0"/>
        </w:numPr>
        <w:spacing w:after="60" w:line="560" w:lineRule="exact"/>
        <w:ind w:firstLine="720" w:firstLineChars="3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投标人如果需要对报价或其它内容加以说明，可在备注栏填写</w:t>
      </w:r>
      <w:r>
        <w:rPr>
          <w:rFonts w:hint="eastAsia" w:asciiTheme="minorEastAsia" w:hAnsiTheme="minorEastAsia" w:eastAsiaTheme="minorEastAsia" w:cstheme="minorEastAsia"/>
          <w:bCs/>
          <w:color w:val="auto"/>
          <w:sz w:val="24"/>
          <w:szCs w:val="24"/>
          <w:lang w:eastAsia="zh-CN"/>
        </w:rPr>
        <w:t>。</w:t>
      </w:r>
    </w:p>
    <w:p>
      <w:pPr>
        <w:spacing w:after="60" w:line="560" w:lineRule="exact"/>
        <w:ind w:firstLine="480" w:firstLineChars="200"/>
        <w:outlineLvl w:val="9"/>
        <w:rPr>
          <w:rFonts w:hint="eastAsia" w:asciiTheme="minorEastAsia" w:hAnsiTheme="minorEastAsia" w:eastAsiaTheme="minorEastAsia" w:cstheme="minorEastAsia"/>
          <w:color w:val="auto"/>
          <w:sz w:val="24"/>
          <w:szCs w:val="24"/>
          <w:lang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18"/>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2</w:t>
                          </w:r>
                          <w:r>
                            <w:rPr>
                              <w:rStyle w:val="18"/>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Style w:val="18"/>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2</w:t>
                    </w:r>
                    <w:r>
                      <w:rPr>
                        <w:rStyle w:val="18"/>
                        <w:rFonts w:ascii="宋体" w:hAnsi="宋体"/>
                        <w:sz w:val="28"/>
                        <w:szCs w:val="28"/>
                      </w:rPr>
                      <w:fldChar w:fldCharType="end"/>
                    </w: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4813935</wp:posOffset>
              </wp:positionH>
              <wp:positionV relativeFrom="paragraph">
                <wp:posOffset>-138430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05pt;margin-top:-10.9pt;height:144pt;width:144pt;mso-position-horizontal-relative:margin;mso-wrap-style:none;z-index:251660288;mso-width-relative:page;mso-height-relative:page;" filled="f" stroked="f" coordsize="21600,21600" o:gfxdata="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GyJCJDYAAAADAEAAA8AAAAAAAAAAQAg&#10;AAAAOAAAAGRycy9kb3ducmV2LnhtbFBLAQIUABQAAAAIAIdO4kAkgka0MQIAAGEEAAAOAAAAAAAA&#10;AAEAIAAAAD0BAABkcnMvZTJvRG9jLnhtbFBLBQYAAAAABgAGAFkBAADg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9E8BD"/>
    <w:multiLevelType w:val="singleLevel"/>
    <w:tmpl w:val="10C9E8BD"/>
    <w:lvl w:ilvl="0" w:tentative="0">
      <w:start w:val="3"/>
      <w:numFmt w:val="decimal"/>
      <w:suff w:val="nothing"/>
      <w:lvlText w:val="%1、"/>
      <w:lvlJc w:val="left"/>
    </w:lvl>
  </w:abstractNum>
  <w:abstractNum w:abstractNumId="1">
    <w:nsid w:val="1C6F2D7D"/>
    <w:multiLevelType w:val="singleLevel"/>
    <w:tmpl w:val="1C6F2D7D"/>
    <w:lvl w:ilvl="0" w:tentative="0">
      <w:start w:val="7"/>
      <w:numFmt w:val="chineseCounting"/>
      <w:suff w:val="nothing"/>
      <w:lvlText w:val="%1、"/>
      <w:lvlJc w:val="left"/>
      <w:rPr>
        <w:rFonts w:hint="eastAsia"/>
      </w:rPr>
    </w:lvl>
  </w:abstractNum>
  <w:abstractNum w:abstractNumId="2">
    <w:nsid w:val="6B19F3B0"/>
    <w:multiLevelType w:val="singleLevel"/>
    <w:tmpl w:val="6B19F3B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47"/>
    <w:rsid w:val="00000725"/>
    <w:rsid w:val="0001211D"/>
    <w:rsid w:val="00017ECA"/>
    <w:rsid w:val="00026F61"/>
    <w:rsid w:val="0008769B"/>
    <w:rsid w:val="000937F0"/>
    <w:rsid w:val="000A3B7C"/>
    <w:rsid w:val="000A435A"/>
    <w:rsid w:val="000C1137"/>
    <w:rsid w:val="000C4093"/>
    <w:rsid w:val="000C48AA"/>
    <w:rsid w:val="000D3133"/>
    <w:rsid w:val="000E4EEE"/>
    <w:rsid w:val="000E4F89"/>
    <w:rsid w:val="000F3F6D"/>
    <w:rsid w:val="00105496"/>
    <w:rsid w:val="0011478A"/>
    <w:rsid w:val="001167D8"/>
    <w:rsid w:val="001306E3"/>
    <w:rsid w:val="00135721"/>
    <w:rsid w:val="0013726E"/>
    <w:rsid w:val="001503D9"/>
    <w:rsid w:val="0016484E"/>
    <w:rsid w:val="00170019"/>
    <w:rsid w:val="00170BE0"/>
    <w:rsid w:val="00172A8E"/>
    <w:rsid w:val="00174DC8"/>
    <w:rsid w:val="00186375"/>
    <w:rsid w:val="00190557"/>
    <w:rsid w:val="001A7A59"/>
    <w:rsid w:val="001B0AC7"/>
    <w:rsid w:val="001B5F5B"/>
    <w:rsid w:val="001B7B5D"/>
    <w:rsid w:val="001C06E3"/>
    <w:rsid w:val="001C3A99"/>
    <w:rsid w:val="001D5EF4"/>
    <w:rsid w:val="001E2A70"/>
    <w:rsid w:val="001E37C3"/>
    <w:rsid w:val="001F0BA8"/>
    <w:rsid w:val="00204097"/>
    <w:rsid w:val="00205F68"/>
    <w:rsid w:val="00215CF6"/>
    <w:rsid w:val="00216717"/>
    <w:rsid w:val="00217B19"/>
    <w:rsid w:val="0022060E"/>
    <w:rsid w:val="00221BDA"/>
    <w:rsid w:val="00225485"/>
    <w:rsid w:val="002342F7"/>
    <w:rsid w:val="00236C7C"/>
    <w:rsid w:val="00250ADC"/>
    <w:rsid w:val="00253D26"/>
    <w:rsid w:val="0028134C"/>
    <w:rsid w:val="002932D1"/>
    <w:rsid w:val="00295501"/>
    <w:rsid w:val="002A654A"/>
    <w:rsid w:val="002B412D"/>
    <w:rsid w:val="002C2DB1"/>
    <w:rsid w:val="002C3E3C"/>
    <w:rsid w:val="002C5647"/>
    <w:rsid w:val="002D55BB"/>
    <w:rsid w:val="002D5972"/>
    <w:rsid w:val="002F0CE6"/>
    <w:rsid w:val="002F4014"/>
    <w:rsid w:val="00301FC9"/>
    <w:rsid w:val="00326F61"/>
    <w:rsid w:val="00331061"/>
    <w:rsid w:val="003369CE"/>
    <w:rsid w:val="00345B5D"/>
    <w:rsid w:val="003516A5"/>
    <w:rsid w:val="00354D39"/>
    <w:rsid w:val="00360A25"/>
    <w:rsid w:val="003650EA"/>
    <w:rsid w:val="003659C7"/>
    <w:rsid w:val="00383BF8"/>
    <w:rsid w:val="003D381D"/>
    <w:rsid w:val="003E5A4B"/>
    <w:rsid w:val="003F04B1"/>
    <w:rsid w:val="003F3E1B"/>
    <w:rsid w:val="00411A09"/>
    <w:rsid w:val="00414AD3"/>
    <w:rsid w:val="00415CC6"/>
    <w:rsid w:val="004229EE"/>
    <w:rsid w:val="004400FD"/>
    <w:rsid w:val="0044255C"/>
    <w:rsid w:val="004557A3"/>
    <w:rsid w:val="00463762"/>
    <w:rsid w:val="004823FA"/>
    <w:rsid w:val="004835F6"/>
    <w:rsid w:val="00492FF2"/>
    <w:rsid w:val="00495E40"/>
    <w:rsid w:val="004A1D8A"/>
    <w:rsid w:val="004A2EBA"/>
    <w:rsid w:val="004B2867"/>
    <w:rsid w:val="004B7001"/>
    <w:rsid w:val="004D158F"/>
    <w:rsid w:val="004E28C4"/>
    <w:rsid w:val="004E45D9"/>
    <w:rsid w:val="00501A9A"/>
    <w:rsid w:val="00502128"/>
    <w:rsid w:val="00502A62"/>
    <w:rsid w:val="00506633"/>
    <w:rsid w:val="00511466"/>
    <w:rsid w:val="00517930"/>
    <w:rsid w:val="00523E52"/>
    <w:rsid w:val="0054165F"/>
    <w:rsid w:val="0056754B"/>
    <w:rsid w:val="00575506"/>
    <w:rsid w:val="00592D72"/>
    <w:rsid w:val="0059797A"/>
    <w:rsid w:val="005A3E33"/>
    <w:rsid w:val="005B45C2"/>
    <w:rsid w:val="005C1882"/>
    <w:rsid w:val="005C4438"/>
    <w:rsid w:val="005E44D4"/>
    <w:rsid w:val="005E4BAF"/>
    <w:rsid w:val="005F0A01"/>
    <w:rsid w:val="005F3703"/>
    <w:rsid w:val="00635BCB"/>
    <w:rsid w:val="0065500A"/>
    <w:rsid w:val="0065711B"/>
    <w:rsid w:val="00664DE7"/>
    <w:rsid w:val="00672125"/>
    <w:rsid w:val="006740D1"/>
    <w:rsid w:val="00676552"/>
    <w:rsid w:val="00682146"/>
    <w:rsid w:val="00683C07"/>
    <w:rsid w:val="0068594B"/>
    <w:rsid w:val="00693207"/>
    <w:rsid w:val="006A1A56"/>
    <w:rsid w:val="006A3069"/>
    <w:rsid w:val="006B6422"/>
    <w:rsid w:val="006D4EF1"/>
    <w:rsid w:val="006E5923"/>
    <w:rsid w:val="006E5A56"/>
    <w:rsid w:val="006E7C72"/>
    <w:rsid w:val="00717F95"/>
    <w:rsid w:val="00720093"/>
    <w:rsid w:val="00723482"/>
    <w:rsid w:val="00726440"/>
    <w:rsid w:val="0074456A"/>
    <w:rsid w:val="00766015"/>
    <w:rsid w:val="00770FA1"/>
    <w:rsid w:val="007857AC"/>
    <w:rsid w:val="007902F3"/>
    <w:rsid w:val="007918C1"/>
    <w:rsid w:val="0079698D"/>
    <w:rsid w:val="00797CE5"/>
    <w:rsid w:val="007A01BF"/>
    <w:rsid w:val="007B48A6"/>
    <w:rsid w:val="007B4A01"/>
    <w:rsid w:val="007D029D"/>
    <w:rsid w:val="007D6879"/>
    <w:rsid w:val="007E32B8"/>
    <w:rsid w:val="007F614B"/>
    <w:rsid w:val="008047BB"/>
    <w:rsid w:val="00831C39"/>
    <w:rsid w:val="00836960"/>
    <w:rsid w:val="00847778"/>
    <w:rsid w:val="00857D7B"/>
    <w:rsid w:val="00864091"/>
    <w:rsid w:val="00886347"/>
    <w:rsid w:val="008951DC"/>
    <w:rsid w:val="008A754E"/>
    <w:rsid w:val="008B77C8"/>
    <w:rsid w:val="008C10D7"/>
    <w:rsid w:val="008D2B32"/>
    <w:rsid w:val="008D3731"/>
    <w:rsid w:val="008E305C"/>
    <w:rsid w:val="008F2646"/>
    <w:rsid w:val="00913393"/>
    <w:rsid w:val="00932240"/>
    <w:rsid w:val="00932BA4"/>
    <w:rsid w:val="00933117"/>
    <w:rsid w:val="009448C5"/>
    <w:rsid w:val="00945331"/>
    <w:rsid w:val="00947738"/>
    <w:rsid w:val="00950305"/>
    <w:rsid w:val="00952181"/>
    <w:rsid w:val="009538DD"/>
    <w:rsid w:val="0096365D"/>
    <w:rsid w:val="00963B43"/>
    <w:rsid w:val="00987AA6"/>
    <w:rsid w:val="0099480A"/>
    <w:rsid w:val="009A2CC1"/>
    <w:rsid w:val="009A2DA0"/>
    <w:rsid w:val="009A3BDC"/>
    <w:rsid w:val="009A6207"/>
    <w:rsid w:val="009B7AFE"/>
    <w:rsid w:val="009C73C6"/>
    <w:rsid w:val="009D2C52"/>
    <w:rsid w:val="009E18BB"/>
    <w:rsid w:val="009E531A"/>
    <w:rsid w:val="009F0BE3"/>
    <w:rsid w:val="00A0035A"/>
    <w:rsid w:val="00A05757"/>
    <w:rsid w:val="00A11DC6"/>
    <w:rsid w:val="00A249EC"/>
    <w:rsid w:val="00A3442D"/>
    <w:rsid w:val="00A44EA0"/>
    <w:rsid w:val="00A451C7"/>
    <w:rsid w:val="00A45225"/>
    <w:rsid w:val="00A4638E"/>
    <w:rsid w:val="00A46793"/>
    <w:rsid w:val="00A4780B"/>
    <w:rsid w:val="00A65B3F"/>
    <w:rsid w:val="00A74673"/>
    <w:rsid w:val="00A86590"/>
    <w:rsid w:val="00AA4B96"/>
    <w:rsid w:val="00AB1168"/>
    <w:rsid w:val="00AB1D97"/>
    <w:rsid w:val="00AB5B9F"/>
    <w:rsid w:val="00AD16A1"/>
    <w:rsid w:val="00AE769F"/>
    <w:rsid w:val="00AF039E"/>
    <w:rsid w:val="00AF19C3"/>
    <w:rsid w:val="00AF6B9B"/>
    <w:rsid w:val="00B05823"/>
    <w:rsid w:val="00B25C8B"/>
    <w:rsid w:val="00B3074D"/>
    <w:rsid w:val="00B424A3"/>
    <w:rsid w:val="00B45A9E"/>
    <w:rsid w:val="00B5773A"/>
    <w:rsid w:val="00B77088"/>
    <w:rsid w:val="00B8208B"/>
    <w:rsid w:val="00B923A5"/>
    <w:rsid w:val="00B966BC"/>
    <w:rsid w:val="00B96B2F"/>
    <w:rsid w:val="00BA07AF"/>
    <w:rsid w:val="00BA7738"/>
    <w:rsid w:val="00BB2723"/>
    <w:rsid w:val="00BB3AEF"/>
    <w:rsid w:val="00BC3C39"/>
    <w:rsid w:val="00BC4600"/>
    <w:rsid w:val="00BC7AB6"/>
    <w:rsid w:val="00BD60CF"/>
    <w:rsid w:val="00BF262B"/>
    <w:rsid w:val="00C14E62"/>
    <w:rsid w:val="00C222D7"/>
    <w:rsid w:val="00C22A7D"/>
    <w:rsid w:val="00C30D67"/>
    <w:rsid w:val="00C3294E"/>
    <w:rsid w:val="00C348A6"/>
    <w:rsid w:val="00C42A69"/>
    <w:rsid w:val="00C525E3"/>
    <w:rsid w:val="00C60910"/>
    <w:rsid w:val="00C64D0F"/>
    <w:rsid w:val="00C71503"/>
    <w:rsid w:val="00C75607"/>
    <w:rsid w:val="00C76647"/>
    <w:rsid w:val="00C808A1"/>
    <w:rsid w:val="00C81153"/>
    <w:rsid w:val="00C86A81"/>
    <w:rsid w:val="00CA5D18"/>
    <w:rsid w:val="00CA6CF1"/>
    <w:rsid w:val="00CB3B7F"/>
    <w:rsid w:val="00CB59E7"/>
    <w:rsid w:val="00CC3E56"/>
    <w:rsid w:val="00CC5CF5"/>
    <w:rsid w:val="00CC7D6D"/>
    <w:rsid w:val="00CE10C8"/>
    <w:rsid w:val="00CE3D6B"/>
    <w:rsid w:val="00CE70BD"/>
    <w:rsid w:val="00D0327B"/>
    <w:rsid w:val="00D0334B"/>
    <w:rsid w:val="00D06385"/>
    <w:rsid w:val="00D41D72"/>
    <w:rsid w:val="00D53B9E"/>
    <w:rsid w:val="00D54047"/>
    <w:rsid w:val="00D77317"/>
    <w:rsid w:val="00D80CD7"/>
    <w:rsid w:val="00DA19D6"/>
    <w:rsid w:val="00DB7B77"/>
    <w:rsid w:val="00DC2489"/>
    <w:rsid w:val="00DE156C"/>
    <w:rsid w:val="00E35B2B"/>
    <w:rsid w:val="00E35B30"/>
    <w:rsid w:val="00E5450D"/>
    <w:rsid w:val="00E558A5"/>
    <w:rsid w:val="00E65059"/>
    <w:rsid w:val="00E81970"/>
    <w:rsid w:val="00E87C29"/>
    <w:rsid w:val="00E93583"/>
    <w:rsid w:val="00E9718F"/>
    <w:rsid w:val="00EA176A"/>
    <w:rsid w:val="00EA5D32"/>
    <w:rsid w:val="00EB3A80"/>
    <w:rsid w:val="00EC1A0B"/>
    <w:rsid w:val="00ED0E2C"/>
    <w:rsid w:val="00ED20D4"/>
    <w:rsid w:val="00ED5361"/>
    <w:rsid w:val="00ED6C4D"/>
    <w:rsid w:val="00EE4A06"/>
    <w:rsid w:val="00EF43D2"/>
    <w:rsid w:val="00F02801"/>
    <w:rsid w:val="00F101C3"/>
    <w:rsid w:val="00F110CF"/>
    <w:rsid w:val="00F3159E"/>
    <w:rsid w:val="00F43EC0"/>
    <w:rsid w:val="00F52837"/>
    <w:rsid w:val="00F71500"/>
    <w:rsid w:val="00F74780"/>
    <w:rsid w:val="00F74E85"/>
    <w:rsid w:val="00F80649"/>
    <w:rsid w:val="00F83523"/>
    <w:rsid w:val="00F8464D"/>
    <w:rsid w:val="00F87E8A"/>
    <w:rsid w:val="00F9289C"/>
    <w:rsid w:val="00FA4E47"/>
    <w:rsid w:val="00FB45C1"/>
    <w:rsid w:val="00FC71A7"/>
    <w:rsid w:val="00FC7213"/>
    <w:rsid w:val="00FD32D3"/>
    <w:rsid w:val="00FD3FE6"/>
    <w:rsid w:val="00FD4EE2"/>
    <w:rsid w:val="00FF113A"/>
    <w:rsid w:val="00FF2EC4"/>
    <w:rsid w:val="01817DAC"/>
    <w:rsid w:val="02082258"/>
    <w:rsid w:val="039743D1"/>
    <w:rsid w:val="03E03C85"/>
    <w:rsid w:val="05013050"/>
    <w:rsid w:val="05B95B28"/>
    <w:rsid w:val="05C53F82"/>
    <w:rsid w:val="06BA52EE"/>
    <w:rsid w:val="076117F6"/>
    <w:rsid w:val="07A370AA"/>
    <w:rsid w:val="08073829"/>
    <w:rsid w:val="08F1285C"/>
    <w:rsid w:val="091A3FBF"/>
    <w:rsid w:val="096C5AC7"/>
    <w:rsid w:val="097C1635"/>
    <w:rsid w:val="09F33C22"/>
    <w:rsid w:val="0A171764"/>
    <w:rsid w:val="0A4106A1"/>
    <w:rsid w:val="0A907B1A"/>
    <w:rsid w:val="0AB66DCC"/>
    <w:rsid w:val="0AC01D1D"/>
    <w:rsid w:val="0B845D81"/>
    <w:rsid w:val="0CDA7B59"/>
    <w:rsid w:val="0CED4AFF"/>
    <w:rsid w:val="0D21433D"/>
    <w:rsid w:val="0E6F2627"/>
    <w:rsid w:val="0F585E1E"/>
    <w:rsid w:val="0F736BB6"/>
    <w:rsid w:val="0F9646D8"/>
    <w:rsid w:val="10283906"/>
    <w:rsid w:val="109021E5"/>
    <w:rsid w:val="10C975AC"/>
    <w:rsid w:val="10D426BF"/>
    <w:rsid w:val="117C27A4"/>
    <w:rsid w:val="134D6B1B"/>
    <w:rsid w:val="14FF3CE2"/>
    <w:rsid w:val="15071E33"/>
    <w:rsid w:val="15080B11"/>
    <w:rsid w:val="151C330B"/>
    <w:rsid w:val="153915FC"/>
    <w:rsid w:val="158A3C3A"/>
    <w:rsid w:val="16416803"/>
    <w:rsid w:val="17176687"/>
    <w:rsid w:val="173F255C"/>
    <w:rsid w:val="177C7088"/>
    <w:rsid w:val="17AA7B9D"/>
    <w:rsid w:val="17B04438"/>
    <w:rsid w:val="17FF0B75"/>
    <w:rsid w:val="185B5E04"/>
    <w:rsid w:val="18D65FD1"/>
    <w:rsid w:val="18DD1F5C"/>
    <w:rsid w:val="192B0F07"/>
    <w:rsid w:val="194B4616"/>
    <w:rsid w:val="19A73ECD"/>
    <w:rsid w:val="1A1E6E4C"/>
    <w:rsid w:val="1A27767A"/>
    <w:rsid w:val="1A863F24"/>
    <w:rsid w:val="1B290739"/>
    <w:rsid w:val="1BC001BA"/>
    <w:rsid w:val="1E4C180E"/>
    <w:rsid w:val="1E842FF9"/>
    <w:rsid w:val="1F4B2AAC"/>
    <w:rsid w:val="1F77426F"/>
    <w:rsid w:val="1FE21258"/>
    <w:rsid w:val="20C94B36"/>
    <w:rsid w:val="20DB795E"/>
    <w:rsid w:val="21C264FB"/>
    <w:rsid w:val="21D424EB"/>
    <w:rsid w:val="21E51710"/>
    <w:rsid w:val="229A7965"/>
    <w:rsid w:val="22B511B5"/>
    <w:rsid w:val="23581DF3"/>
    <w:rsid w:val="23E04ECA"/>
    <w:rsid w:val="24172EC8"/>
    <w:rsid w:val="24CB313B"/>
    <w:rsid w:val="26073214"/>
    <w:rsid w:val="262D3F97"/>
    <w:rsid w:val="2666206C"/>
    <w:rsid w:val="269B745F"/>
    <w:rsid w:val="27203645"/>
    <w:rsid w:val="2776242C"/>
    <w:rsid w:val="284E28C8"/>
    <w:rsid w:val="2885049D"/>
    <w:rsid w:val="29D42E75"/>
    <w:rsid w:val="2A363086"/>
    <w:rsid w:val="2AB0708E"/>
    <w:rsid w:val="2BDB74B8"/>
    <w:rsid w:val="2C5A154C"/>
    <w:rsid w:val="2CFC09A7"/>
    <w:rsid w:val="2DFF14F9"/>
    <w:rsid w:val="2EE476C8"/>
    <w:rsid w:val="2F385478"/>
    <w:rsid w:val="30392B07"/>
    <w:rsid w:val="30406039"/>
    <w:rsid w:val="308E0FCC"/>
    <w:rsid w:val="30FD667A"/>
    <w:rsid w:val="31545CD3"/>
    <w:rsid w:val="3171035B"/>
    <w:rsid w:val="33524F23"/>
    <w:rsid w:val="342E740A"/>
    <w:rsid w:val="34F04B45"/>
    <w:rsid w:val="35A9612B"/>
    <w:rsid w:val="35BE0F98"/>
    <w:rsid w:val="35C222CB"/>
    <w:rsid w:val="36311AEB"/>
    <w:rsid w:val="36A2168E"/>
    <w:rsid w:val="36E17B36"/>
    <w:rsid w:val="38362A3B"/>
    <w:rsid w:val="385916C3"/>
    <w:rsid w:val="38C30651"/>
    <w:rsid w:val="38D95F23"/>
    <w:rsid w:val="39474F60"/>
    <w:rsid w:val="39950F03"/>
    <w:rsid w:val="3A8A51D2"/>
    <w:rsid w:val="3B0C05AB"/>
    <w:rsid w:val="3B240D2C"/>
    <w:rsid w:val="3CCF42BB"/>
    <w:rsid w:val="3DE456D0"/>
    <w:rsid w:val="3FA07FC0"/>
    <w:rsid w:val="3FA83B0C"/>
    <w:rsid w:val="3FE8193F"/>
    <w:rsid w:val="40092AA7"/>
    <w:rsid w:val="406545D1"/>
    <w:rsid w:val="412164E0"/>
    <w:rsid w:val="43474AAA"/>
    <w:rsid w:val="438C21E0"/>
    <w:rsid w:val="456D3FED"/>
    <w:rsid w:val="45AA0659"/>
    <w:rsid w:val="45FA65E0"/>
    <w:rsid w:val="46AC43B3"/>
    <w:rsid w:val="470E77CF"/>
    <w:rsid w:val="48476ACA"/>
    <w:rsid w:val="487A74AE"/>
    <w:rsid w:val="48D46B82"/>
    <w:rsid w:val="48F1386C"/>
    <w:rsid w:val="49127C9B"/>
    <w:rsid w:val="49242021"/>
    <w:rsid w:val="498733F9"/>
    <w:rsid w:val="4B455B94"/>
    <w:rsid w:val="4B583C8F"/>
    <w:rsid w:val="4BAB32B4"/>
    <w:rsid w:val="4BF672C9"/>
    <w:rsid w:val="4CC83AC9"/>
    <w:rsid w:val="4D2D2451"/>
    <w:rsid w:val="4D4F37C1"/>
    <w:rsid w:val="4D750D1D"/>
    <w:rsid w:val="4DA93522"/>
    <w:rsid w:val="4E620254"/>
    <w:rsid w:val="4E9B57A9"/>
    <w:rsid w:val="4EB364D6"/>
    <w:rsid w:val="4F25598B"/>
    <w:rsid w:val="4FAC4126"/>
    <w:rsid w:val="4FBA2ADF"/>
    <w:rsid w:val="4FE33867"/>
    <w:rsid w:val="507D7F64"/>
    <w:rsid w:val="51451895"/>
    <w:rsid w:val="51D52CAE"/>
    <w:rsid w:val="52166DB8"/>
    <w:rsid w:val="52182781"/>
    <w:rsid w:val="529E4AE0"/>
    <w:rsid w:val="52DC2691"/>
    <w:rsid w:val="52E80EBA"/>
    <w:rsid w:val="53C0530B"/>
    <w:rsid w:val="545539FB"/>
    <w:rsid w:val="54F948BD"/>
    <w:rsid w:val="550C30D3"/>
    <w:rsid w:val="55A36C99"/>
    <w:rsid w:val="56430217"/>
    <w:rsid w:val="56A4516D"/>
    <w:rsid w:val="578E7099"/>
    <w:rsid w:val="57CB4B9B"/>
    <w:rsid w:val="57D950A6"/>
    <w:rsid w:val="588F51F0"/>
    <w:rsid w:val="58F15468"/>
    <w:rsid w:val="58FB7A0F"/>
    <w:rsid w:val="590B120F"/>
    <w:rsid w:val="592C6EC4"/>
    <w:rsid w:val="5A6D5243"/>
    <w:rsid w:val="5B2C4252"/>
    <w:rsid w:val="5B7311D4"/>
    <w:rsid w:val="5B9F340C"/>
    <w:rsid w:val="5CBD2286"/>
    <w:rsid w:val="5D103272"/>
    <w:rsid w:val="5E3D098F"/>
    <w:rsid w:val="5EC91951"/>
    <w:rsid w:val="5F1F413B"/>
    <w:rsid w:val="61A82C05"/>
    <w:rsid w:val="62D016C7"/>
    <w:rsid w:val="6391591E"/>
    <w:rsid w:val="63ED206A"/>
    <w:rsid w:val="64B03D55"/>
    <w:rsid w:val="64FA47DA"/>
    <w:rsid w:val="65A941C6"/>
    <w:rsid w:val="65B36EAA"/>
    <w:rsid w:val="65FA58EF"/>
    <w:rsid w:val="661D611F"/>
    <w:rsid w:val="664075A6"/>
    <w:rsid w:val="6673616B"/>
    <w:rsid w:val="668A0972"/>
    <w:rsid w:val="66A5620D"/>
    <w:rsid w:val="677874B3"/>
    <w:rsid w:val="67EC2207"/>
    <w:rsid w:val="68865AD3"/>
    <w:rsid w:val="69D5658D"/>
    <w:rsid w:val="69EC4171"/>
    <w:rsid w:val="6B8E186C"/>
    <w:rsid w:val="6CAE7EE8"/>
    <w:rsid w:val="6E507836"/>
    <w:rsid w:val="6E945136"/>
    <w:rsid w:val="6EBC6404"/>
    <w:rsid w:val="6ECF7F99"/>
    <w:rsid w:val="6F54249D"/>
    <w:rsid w:val="6F7266DD"/>
    <w:rsid w:val="6F891F28"/>
    <w:rsid w:val="6F8C4E99"/>
    <w:rsid w:val="702D584E"/>
    <w:rsid w:val="70593889"/>
    <w:rsid w:val="70D13DED"/>
    <w:rsid w:val="713C33F0"/>
    <w:rsid w:val="71CD26F4"/>
    <w:rsid w:val="721C4D44"/>
    <w:rsid w:val="72446EB9"/>
    <w:rsid w:val="72640EEC"/>
    <w:rsid w:val="731C1B80"/>
    <w:rsid w:val="738978FE"/>
    <w:rsid w:val="74AC10AC"/>
    <w:rsid w:val="754540A0"/>
    <w:rsid w:val="75604C1F"/>
    <w:rsid w:val="76F56DAA"/>
    <w:rsid w:val="788E0964"/>
    <w:rsid w:val="78A25EF7"/>
    <w:rsid w:val="7A647F5B"/>
    <w:rsid w:val="7BAD12DF"/>
    <w:rsid w:val="7BCA1F7B"/>
    <w:rsid w:val="7BE00B73"/>
    <w:rsid w:val="7C510544"/>
    <w:rsid w:val="7C9E01D7"/>
    <w:rsid w:val="7D1F7055"/>
    <w:rsid w:val="7E957EDF"/>
    <w:rsid w:val="7F643FFD"/>
    <w:rsid w:val="7FCA221C"/>
    <w:rsid w:val="7FD10742"/>
    <w:rsid w:val="7FF13355"/>
    <w:rsid w:val="DFFD7D50"/>
    <w:rsid w:val="EBF504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4"/>
    <w:next w:val="5"/>
    <w:link w:val="28"/>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paragraph" w:styleId="5">
    <w:name w:val="heading 4"/>
    <w:basedOn w:val="1"/>
    <w:next w:val="1"/>
    <w:link w:val="29"/>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6">
    <w:name w:val="Normal Indent"/>
    <w:basedOn w:val="1"/>
    <w:qFormat/>
    <w:uiPriority w:val="0"/>
    <w:pPr>
      <w:spacing w:line="560" w:lineRule="exact"/>
      <w:ind w:firstLine="420" w:firstLineChars="200"/>
    </w:pPr>
  </w:style>
  <w:style w:type="paragraph" w:styleId="7">
    <w:name w:val="caption"/>
    <w:basedOn w:val="1"/>
    <w:next w:val="1"/>
    <w:qFormat/>
    <w:uiPriority w:val="0"/>
    <w:pPr>
      <w:spacing w:before="152" w:beforeLines="0" w:after="160" w:afterLines="0"/>
    </w:pPr>
    <w:rPr>
      <w:rFonts w:ascii="Arial" w:hAnsi="Arial"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semiHidden/>
    <w:unhideWhenUsed/>
    <w:qFormat/>
    <w:uiPriority w:val="99"/>
    <w:pPr>
      <w:jc w:val="left"/>
    </w:pPr>
  </w:style>
  <w:style w:type="paragraph" w:styleId="10">
    <w:name w:val="Body Text"/>
    <w:basedOn w:val="1"/>
    <w:next w:val="1"/>
    <w:link w:val="26"/>
    <w:qFormat/>
    <w:uiPriority w:val="0"/>
    <w:rPr>
      <w:rFonts w:ascii="Times New Roman" w:hAnsi="Times New Roman"/>
      <w:sz w:val="32"/>
      <w:szCs w:val="24"/>
    </w:rPr>
  </w:style>
  <w:style w:type="paragraph" w:styleId="11">
    <w:name w:val="Date"/>
    <w:basedOn w:val="1"/>
    <w:next w:val="1"/>
    <w:link w:val="27"/>
    <w:semiHidden/>
    <w:unhideWhenUsed/>
    <w:qFormat/>
    <w:uiPriority w:val="99"/>
    <w:pPr>
      <w:ind w:left="100" w:leftChars="2500"/>
    </w:pPr>
  </w:style>
  <w:style w:type="paragraph" w:styleId="12">
    <w:name w:val="Balloon Text"/>
    <w:basedOn w:val="1"/>
    <w:link w:val="31"/>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unhideWhenUsed/>
    <w:qFormat/>
    <w:uiPriority w:val="99"/>
    <w:pPr>
      <w:snapToGrid w:val="0"/>
      <w:jc w:val="left"/>
    </w:pPr>
    <w:rPr>
      <w:sz w:val="18"/>
    </w:rPr>
  </w:style>
  <w:style w:type="character" w:styleId="18">
    <w:name w:val="page number"/>
    <w:basedOn w:val="17"/>
    <w:qFormat/>
    <w:uiPriority w:val="0"/>
  </w:style>
  <w:style w:type="character" w:styleId="19">
    <w:name w:val="footnote reference"/>
    <w:basedOn w:val="17"/>
    <w:semiHidden/>
    <w:unhideWhenUsed/>
    <w:qFormat/>
    <w:uiPriority w:val="99"/>
    <w:rPr>
      <w:vertAlign w:val="superscript"/>
    </w:rPr>
  </w:style>
  <w:style w:type="paragraph" w:customStyle="1" w:styleId="20">
    <w:name w:val="列出段落2"/>
    <w:basedOn w:val="1"/>
    <w:next w:val="21"/>
    <w:qFormat/>
    <w:uiPriority w:val="34"/>
    <w:pPr>
      <w:ind w:firstLine="420" w:firstLineChars="200"/>
    </w:pPr>
    <w:rPr>
      <w:rFonts w:ascii="Calibri" w:hAnsi="Calibri"/>
      <w:kern w:val="0"/>
      <w:sz w:val="20"/>
      <w:szCs w:val="20"/>
    </w:rPr>
  </w:style>
  <w:style w:type="paragraph" w:customStyle="1" w:styleId="21">
    <w:name w:val="xl591"/>
    <w:basedOn w:val="1"/>
    <w:next w:val="7"/>
    <w:qFormat/>
    <w:uiPriority w:val="99"/>
    <w:pPr>
      <w:widowControl/>
      <w:spacing w:before="100" w:beforeAutospacing="1" w:after="100" w:afterAutospacing="1"/>
      <w:jc w:val="left"/>
    </w:pPr>
    <w:rPr>
      <w:rFonts w:ascii="宋体" w:hAnsi="宋体" w:cs="宋体"/>
      <w:kern w:val="0"/>
      <w:sz w:val="24"/>
    </w:rPr>
  </w:style>
  <w:style w:type="paragraph" w:styleId="22">
    <w:name w:val="List Paragraph"/>
    <w:basedOn w:val="1"/>
    <w:qFormat/>
    <w:uiPriority w:val="34"/>
    <w:pPr>
      <w:ind w:firstLine="420" w:firstLineChars="200"/>
    </w:pPr>
  </w:style>
  <w:style w:type="paragraph" w:customStyle="1" w:styleId="23">
    <w:name w:val="Char Char Char Char Char Char1 Char"/>
    <w:basedOn w:val="8"/>
    <w:qFormat/>
    <w:uiPriority w:val="0"/>
    <w:pPr>
      <w:adjustRightInd w:val="0"/>
      <w:spacing w:line="436" w:lineRule="exact"/>
      <w:ind w:left="357"/>
      <w:jc w:val="left"/>
      <w:outlineLvl w:val="3"/>
    </w:pPr>
    <w:rPr>
      <w:rFonts w:ascii="Times New Roman" w:hAnsi="Times New Roman"/>
      <w:szCs w:val="24"/>
    </w:rPr>
  </w:style>
  <w:style w:type="character" w:customStyle="1" w:styleId="24">
    <w:name w:val="页眉 Char"/>
    <w:link w:val="14"/>
    <w:semiHidden/>
    <w:qFormat/>
    <w:uiPriority w:val="99"/>
    <w:rPr>
      <w:sz w:val="18"/>
      <w:szCs w:val="18"/>
    </w:rPr>
  </w:style>
  <w:style w:type="character" w:customStyle="1" w:styleId="25">
    <w:name w:val="页脚 Char"/>
    <w:link w:val="13"/>
    <w:qFormat/>
    <w:uiPriority w:val="99"/>
    <w:rPr>
      <w:sz w:val="18"/>
      <w:szCs w:val="18"/>
    </w:rPr>
  </w:style>
  <w:style w:type="character" w:customStyle="1" w:styleId="26">
    <w:name w:val="正文文本 Char"/>
    <w:link w:val="10"/>
    <w:qFormat/>
    <w:uiPriority w:val="0"/>
    <w:rPr>
      <w:rFonts w:ascii="Times New Roman" w:hAnsi="Times New Roman" w:eastAsia="宋体" w:cs="Times New Roman"/>
      <w:sz w:val="32"/>
      <w:szCs w:val="24"/>
    </w:rPr>
  </w:style>
  <w:style w:type="character" w:customStyle="1" w:styleId="27">
    <w:name w:val="日期 Char"/>
    <w:basedOn w:val="17"/>
    <w:link w:val="11"/>
    <w:semiHidden/>
    <w:qFormat/>
    <w:uiPriority w:val="99"/>
  </w:style>
  <w:style w:type="character" w:customStyle="1" w:styleId="28">
    <w:name w:val="标题 2 Char"/>
    <w:link w:val="3"/>
    <w:qFormat/>
    <w:uiPriority w:val="0"/>
    <w:rPr>
      <w:rFonts w:ascii="宋体" w:hAnsi="宋体" w:eastAsia="宋体" w:cs="Times New Roman"/>
      <w:b/>
      <w:kern w:val="0"/>
      <w:sz w:val="24"/>
      <w:szCs w:val="20"/>
    </w:rPr>
  </w:style>
  <w:style w:type="character" w:customStyle="1" w:styleId="29">
    <w:name w:val="标题 4 Char"/>
    <w:link w:val="5"/>
    <w:qFormat/>
    <w:uiPriority w:val="9"/>
    <w:rPr>
      <w:rFonts w:ascii="Cambria" w:hAnsi="Cambria" w:eastAsia="宋体" w:cs="Times New Roman"/>
      <w:b/>
      <w:bCs/>
      <w:sz w:val="28"/>
      <w:szCs w:val="28"/>
    </w:rPr>
  </w:style>
  <w:style w:type="character" w:customStyle="1" w:styleId="30">
    <w:name w:val="标题 3 Char"/>
    <w:link w:val="4"/>
    <w:semiHidden/>
    <w:qFormat/>
    <w:uiPriority w:val="9"/>
    <w:rPr>
      <w:b/>
      <w:bCs/>
      <w:sz w:val="32"/>
      <w:szCs w:val="32"/>
    </w:rPr>
  </w:style>
  <w:style w:type="character" w:customStyle="1" w:styleId="31">
    <w:name w:val="批注框文本 Char"/>
    <w:link w:val="12"/>
    <w:semiHidden/>
    <w:qFormat/>
    <w:uiPriority w:val="99"/>
    <w:rPr>
      <w:kern w:val="2"/>
      <w:sz w:val="18"/>
      <w:szCs w:val="18"/>
    </w:rPr>
  </w:style>
  <w:style w:type="paragraph" w:customStyle="1" w:styleId="32">
    <w:name w:val="样式1"/>
    <w:basedOn w:val="15"/>
    <w:qFormat/>
    <w:uiPriority w:val="0"/>
    <w:rPr>
      <w:sz w:val="21"/>
    </w:rPr>
  </w:style>
  <w:style w:type="paragraph" w:customStyle="1" w:styleId="33">
    <w:name w:val="Default"/>
    <w:unhideWhenUsed/>
    <w:qFormat/>
    <w:uiPriority w:val="0"/>
    <w:pPr>
      <w:widowControl w:val="0"/>
      <w:autoSpaceDE w:val="0"/>
      <w:autoSpaceDN w:val="0"/>
      <w:adjustRightInd w:val="0"/>
    </w:pPr>
    <w:rPr>
      <w:rFonts w:hint="eastAsia" w:ascii="Arial" w:hAnsi="Arial" w:eastAsia="宋体" w:cs="Calibri"/>
      <w:color w:val="000000"/>
      <w:sz w:val="24"/>
      <w:lang w:val="en-US" w:eastAsia="zh-CN" w:bidi="ar-SA"/>
    </w:rPr>
  </w:style>
  <w:style w:type="character" w:customStyle="1" w:styleId="34">
    <w:name w:val="font31"/>
    <w:basedOn w:val="17"/>
    <w:qFormat/>
    <w:uiPriority w:val="0"/>
    <w:rPr>
      <w:rFonts w:hint="eastAsia" w:ascii="仿宋_GB2312" w:eastAsia="仿宋_GB2312" w:cs="仿宋_GB2312"/>
      <w:color w:val="000000"/>
      <w:sz w:val="24"/>
      <w:szCs w:val="24"/>
      <w:u w:val="none"/>
    </w:rPr>
  </w:style>
  <w:style w:type="character" w:customStyle="1" w:styleId="35">
    <w:name w:val="font11"/>
    <w:basedOn w:val="17"/>
    <w:qFormat/>
    <w:uiPriority w:val="0"/>
    <w:rPr>
      <w:rFonts w:hint="eastAsia" w:ascii="仿宋_GB2312" w:eastAsia="仿宋_GB2312" w:cs="仿宋_GB2312"/>
      <w:color w:val="000000"/>
      <w:sz w:val="24"/>
      <w:szCs w:val="24"/>
      <w:u w:val="none"/>
    </w:rPr>
  </w:style>
  <w:style w:type="paragraph" w:customStyle="1" w:styleId="3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1446</Words>
  <Characters>8245</Characters>
  <Lines>68</Lines>
  <Paragraphs>19</Paragraphs>
  <TotalTime>7</TotalTime>
  <ScaleCrop>false</ScaleCrop>
  <LinksUpToDate>false</LinksUpToDate>
  <CharactersWithSpaces>9672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2019-04-05T07:51:00Z</dcterms:created>
  <dc:creator>袁峰</dc:creator>
  <cp:lastModifiedBy>PH</cp:lastModifiedBy>
  <cp:lastPrinted>2023-01-13T06:30:00Z</cp:lastPrinted>
  <dcterms:modified xsi:type="dcterms:W3CDTF">2025-10-14T12:56:21Z</dcterms:modified>
  <dc:title>深财购〔2019〕27号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3543973F7C6941B59A625B3D9004DE16</vt:lpwstr>
  </property>
</Properties>
</file>