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微软雅黑" w:hAnsi="微软雅黑" w:eastAsia="微软雅黑" w:cs="微软雅黑"/>
        </w:rPr>
      </w:pP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390"/>
        <w:gridCol w:w="420"/>
        <w:gridCol w:w="839"/>
        <w:gridCol w:w="1383"/>
        <w:gridCol w:w="1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779" w:type="dxa"/>
            <w:gridSpan w:val="7"/>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坪山区龙湾片区、安田片区城市更新单元计划有效期延期一览表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编号</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辖区</w:t>
            </w:r>
          </w:p>
        </w:tc>
        <w:tc>
          <w:tcPr>
            <w:tcW w:w="42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街道</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单元名称</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申报主体</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拟拆除范围用地面积（平方米）</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坪山区</w:t>
            </w:r>
          </w:p>
        </w:tc>
        <w:tc>
          <w:tcPr>
            <w:tcW w:w="42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龙田街道</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龙湾片区城市更新单元</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深圳市坑梓龙田股份合作公司</w:t>
            </w:r>
          </w:p>
        </w:tc>
        <w:tc>
          <w:tcPr>
            <w:tcW w:w="1290" w:type="dxa"/>
            <w:vAlign w:val="center"/>
          </w:tcPr>
          <w:p>
            <w:pPr>
              <w:pStyle w:val="5"/>
              <w:keepNext w:val="0"/>
              <w:keepLines w:val="0"/>
              <w:widowControl/>
              <w:suppressLineNumbers w:val="0"/>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145959</w:t>
            </w:r>
          </w:p>
        </w:tc>
        <w:tc>
          <w:tcPr>
            <w:tcW w:w="411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①拟更新</w:t>
            </w:r>
            <w:bookmarkStart w:id="0" w:name="_GoBack"/>
            <w:bookmarkEnd w:id="0"/>
            <w:r>
              <w:rPr>
                <w:rFonts w:hint="default" w:ascii="仿宋_GB2312" w:hAnsi="仿宋_GB2312" w:eastAsia="仿宋_GB2312" w:cs="仿宋_GB2312"/>
                <w:kern w:val="2"/>
                <w:sz w:val="21"/>
                <w:szCs w:val="21"/>
                <w:lang w:val="en-US" w:eastAsia="zh-CN" w:bidi="ar-SA"/>
              </w:rPr>
              <w:t>方向为居住、商业等功能。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②拟拆除重建用地范围内应落实用地面积不小于56160平方米的城市基础设施、公共服务设施或经营性用地等，其中应落实用地面积不小于26000平方米的教育设施用地，用地面积不小于8709平方米的公园绿地（含统筹落实龙兴南路北片区城市更新单元按照法定图则需移交8020平方米的部分公园绿地），移交政府用地面积不小于1012平方米的普通工业用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③在更新单元规划阶段按规定落实深圳市国土空间总体规划等相关法定规划的管控要求，并落实不可移动文物龙湾世居、黄氏霭庐、黄氏永昌号、龙田黄氏炮楼院的相关保护要求。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textAlignment w:val="auto"/>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④更新单元计划有效期2年，自2023年8月4日起至2025年8月3日止。延期1年，更新单元计划有效期至2026年8月3日止。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347"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default"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2</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坪山区</w:t>
            </w:r>
          </w:p>
        </w:tc>
        <w:tc>
          <w:tcPr>
            <w:tcW w:w="42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碧岭街道</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安田片区城市更新单元</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深圳市坪山碧岭股份合作公司</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69472</w:t>
            </w:r>
          </w:p>
        </w:tc>
        <w:tc>
          <w:tcPr>
            <w:tcW w:w="4110" w:type="dxa"/>
            <w:vAlign w:val="center"/>
          </w:tcPr>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①拟更新方向为居住、商业等功能。</w:t>
            </w:r>
          </w:p>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②拆除重建用地范围内应落实用地面积不小于29984平方米的城市基础设施、公共服务设施等公共利益项目用地，其中应落实用地面积不小于11748平方米的公园绿地。</w:t>
            </w:r>
          </w:p>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③在更新单元规划阶段按规定落实深圳市国土空间总体规划等相关法定规划的管控要求，并落实未定级不可移动文物安田世居的相关保护要求。</w:t>
            </w:r>
          </w:p>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④更新单元计划有效期2年，自2023年8月3日起至2025年8月2日止。</w:t>
            </w:r>
            <w:r>
              <w:rPr>
                <w:rFonts w:hint="default" w:ascii="仿宋_GB2312" w:hAnsi="仿宋_GB2312" w:eastAsia="仿宋_GB2312" w:cs="仿宋_GB2312"/>
                <w:kern w:val="2"/>
                <w:sz w:val="21"/>
                <w:szCs w:val="21"/>
                <w:lang w:val="en-US" w:eastAsia="zh-CN" w:bidi="ar-SA"/>
              </w:rPr>
              <w:t>延期1年，更新单元计划有效期至2026年8月</w:t>
            </w:r>
            <w:r>
              <w:rPr>
                <w:rFonts w:hint="eastAsia" w:ascii="仿宋_GB2312" w:hAnsi="仿宋_GB2312" w:eastAsia="仿宋_GB2312" w:cs="仿宋_GB2312"/>
                <w:kern w:val="2"/>
                <w:sz w:val="21"/>
                <w:szCs w:val="21"/>
                <w:lang w:val="en-US" w:eastAsia="zh-CN" w:bidi="ar-SA"/>
              </w:rPr>
              <w:t>2</w:t>
            </w:r>
            <w:r>
              <w:rPr>
                <w:rFonts w:hint="default" w:ascii="仿宋_GB2312" w:hAnsi="仿宋_GB2312" w:eastAsia="仿宋_GB2312" w:cs="仿宋_GB2312"/>
                <w:kern w:val="2"/>
                <w:sz w:val="21"/>
                <w:szCs w:val="21"/>
                <w:lang w:val="en-US" w:eastAsia="zh-CN" w:bidi="ar-SA"/>
              </w:rPr>
              <w:t>日止</w:t>
            </w:r>
            <w:r>
              <w:rPr>
                <w:rFonts w:hint="eastAsia" w:ascii="仿宋_GB2312" w:hAnsi="仿宋_GB2312" w:eastAsia="仿宋_GB2312" w:cs="仿宋_GB2312"/>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9" w:type="dxa"/>
            <w:gridSpan w:val="7"/>
            <w:vAlign w:val="center"/>
          </w:tcPr>
          <w:p>
            <w:pPr>
              <w:keepNext w:val="0"/>
              <w:keepLines w:val="0"/>
              <w:pageBreakBefore w:val="0"/>
              <w:widowControl w:val="0"/>
              <w:kinsoku/>
              <w:wordWrap/>
              <w:overflowPunct/>
              <w:topLinePunct w:val="0"/>
              <w:autoSpaceDE/>
              <w:autoSpaceDN/>
              <w:bidi w:val="0"/>
              <w:adjustRightInd/>
              <w:snapToGrid/>
              <w:spacing w:line="120" w:lineRule="atLeast"/>
              <w:jc w:val="both"/>
              <w:textAlignment w:val="auto"/>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vertAlign w:val="baseline"/>
              </w:rPr>
              <w:t>特别提示：</w:t>
            </w:r>
          </w:p>
          <w:p>
            <w:pPr>
              <w:keepNext w:val="0"/>
              <w:keepLines w:val="0"/>
              <w:pageBreakBefore w:val="0"/>
              <w:widowControl w:val="0"/>
              <w:kinsoku/>
              <w:wordWrap/>
              <w:overflowPunct/>
              <w:topLinePunct w:val="0"/>
              <w:autoSpaceDE/>
              <w:autoSpaceDN/>
              <w:bidi w:val="0"/>
              <w:adjustRightInd/>
              <w:snapToGrid/>
              <w:spacing w:line="120" w:lineRule="atLeast"/>
              <w:ind w:firstLine="420" w:firstLineChars="200"/>
              <w:jc w:val="both"/>
              <w:textAlignment w:val="auto"/>
              <w:rPr>
                <w:rFonts w:hint="eastAsia" w:ascii="黑体" w:hAnsi="黑体" w:eastAsia="黑体" w:cs="黑体"/>
                <w:b w:val="0"/>
                <w:bCs w:val="0"/>
                <w:sz w:val="21"/>
                <w:szCs w:val="21"/>
                <w:vertAlign w:val="baseline"/>
              </w:rPr>
            </w:pPr>
            <w:r>
              <w:rPr>
                <w:rFonts w:hint="eastAsia" w:ascii="仿宋_GB2312" w:hAnsi="仿宋_GB2312" w:eastAsia="仿宋_GB2312" w:cs="仿宋_GB2312"/>
                <w:kern w:val="2"/>
                <w:sz w:val="21"/>
                <w:szCs w:val="21"/>
                <w:lang w:val="en-US" w:eastAsia="zh-CN" w:bidi="ar-SA"/>
              </w:rPr>
              <w:t>1.本表所列的城市更新单元须按照城市更新相关政策完成城市更新单元规划编制及项目实施主体确认等工作后方可实施开发建设。</w:t>
            </w:r>
          </w:p>
          <w:p>
            <w:pPr>
              <w:keepNext w:val="0"/>
              <w:keepLines w:val="0"/>
              <w:pageBreakBefore w:val="0"/>
              <w:widowControl w:val="0"/>
              <w:kinsoku/>
              <w:wordWrap/>
              <w:overflowPunct/>
              <w:topLinePunct w:val="0"/>
              <w:autoSpaceDE/>
              <w:autoSpaceDN/>
              <w:bidi w:val="0"/>
              <w:adjustRightInd/>
              <w:snapToGrid/>
              <w:spacing w:line="120" w:lineRule="atLeast"/>
              <w:ind w:firstLine="420" w:firstLineChars="20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2.本表所列“申报主体”仅为城市更新单元计划的申报主体，项目实施主体须依据城市更新政策规定的条件及程序进行确认后产生。</w:t>
            </w:r>
          </w:p>
          <w:p>
            <w:pPr>
              <w:keepNext w:val="0"/>
              <w:keepLines w:val="0"/>
              <w:pageBreakBefore w:val="0"/>
              <w:widowControl w:val="0"/>
              <w:kinsoku/>
              <w:wordWrap/>
              <w:overflowPunct/>
              <w:topLinePunct w:val="0"/>
              <w:autoSpaceDE/>
              <w:autoSpaceDN/>
              <w:bidi w:val="0"/>
              <w:adjustRightInd/>
              <w:snapToGrid/>
              <w:spacing w:line="120" w:lineRule="atLeast"/>
              <w:ind w:firstLine="420" w:firstLineChars="20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3.在本表所列的计划有效期内，更新单元规划未获市政府或其授权机构批准的，更新单元计划失效。</w:t>
            </w:r>
          </w:p>
          <w:p>
            <w:pPr>
              <w:keepNext w:val="0"/>
              <w:keepLines w:val="0"/>
              <w:pageBreakBefore w:val="0"/>
              <w:widowControl w:val="0"/>
              <w:kinsoku/>
              <w:wordWrap/>
              <w:overflowPunct/>
              <w:topLinePunct w:val="0"/>
              <w:autoSpaceDE/>
              <w:autoSpaceDN/>
              <w:bidi w:val="0"/>
              <w:adjustRightInd/>
              <w:snapToGrid/>
              <w:spacing w:line="120" w:lineRule="atLeast"/>
              <w:ind w:firstLine="420" w:firstLineChars="200"/>
              <w:jc w:val="both"/>
              <w:textAlignment w:val="auto"/>
              <w:rPr>
                <w:rFonts w:hint="eastAsia" w:ascii="黑体" w:hAnsi="黑体" w:eastAsia="黑体" w:cs="黑体"/>
                <w:b w:val="0"/>
                <w:bCs w:val="0"/>
                <w:sz w:val="21"/>
                <w:szCs w:val="21"/>
                <w:vertAlign w:val="baseline"/>
              </w:rPr>
            </w:pPr>
            <w:r>
              <w:rPr>
                <w:rFonts w:hint="eastAsia" w:ascii="仿宋_GB2312" w:hAnsi="仿宋_GB2312" w:eastAsia="仿宋_GB2312" w:cs="仿宋_GB2312"/>
                <w:kern w:val="2"/>
                <w:sz w:val="21"/>
                <w:szCs w:val="21"/>
                <w:lang w:val="en-US" w:eastAsia="zh-CN" w:bidi="ar-SA"/>
              </w:rPr>
              <w:t>4.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p>
        </w:tc>
      </w:tr>
    </w:tbl>
    <w:p>
      <w:pPr>
        <w:pStyle w:val="2"/>
        <w:ind w:left="0" w:leftChars="0" w:firstLine="0" w:firstLineChars="0"/>
        <w:rPr>
          <w:rFonts w:hint="eastAsia" w:ascii="微软雅黑" w:hAnsi="微软雅黑" w:eastAsia="微软雅黑" w:cs="微软雅黑"/>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771F3"/>
    <w:rsid w:val="079F3753"/>
    <w:rsid w:val="0D3E2A2A"/>
    <w:rsid w:val="0FAC2EB1"/>
    <w:rsid w:val="1C142509"/>
    <w:rsid w:val="2DDE77B6"/>
    <w:rsid w:val="396C597D"/>
    <w:rsid w:val="3FFF6ACD"/>
    <w:rsid w:val="422771F3"/>
    <w:rsid w:val="5EFB4874"/>
    <w:rsid w:val="5FEE58ED"/>
    <w:rsid w:val="68FE2FAA"/>
    <w:rsid w:val="6BCE4FEF"/>
    <w:rsid w:val="727F3FEB"/>
    <w:rsid w:val="7675D5C5"/>
    <w:rsid w:val="76FA1255"/>
    <w:rsid w:val="7F3CD8AE"/>
    <w:rsid w:val="7F6FD821"/>
    <w:rsid w:val="BF9B3A29"/>
    <w:rsid w:val="D7FCEF29"/>
    <w:rsid w:val="DCF34FA0"/>
    <w:rsid w:val="DFFF3C15"/>
    <w:rsid w:val="F7FD0BDE"/>
    <w:rsid w:val="FDFF62CF"/>
    <w:rsid w:val="FE7750A6"/>
    <w:rsid w:val="FE972C7B"/>
    <w:rsid w:val="FEDA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664"/>
    </w:pPr>
    <w:rPr>
      <w:szCs w:val="20"/>
    </w:rPr>
  </w:style>
  <w:style w:type="paragraph" w:styleId="3">
    <w:name w:val="Body Text"/>
    <w:basedOn w:val="1"/>
    <w:next w:val="4"/>
    <w:unhideWhenUsed/>
    <w:qFormat/>
    <w:uiPriority w:val="99"/>
    <w:pPr>
      <w:widowControl w:val="0"/>
      <w:spacing w:after="120"/>
      <w:jc w:val="both"/>
    </w:pPr>
    <w:rPr>
      <w:kern w:val="2"/>
      <w:sz w:val="21"/>
    </w:rPr>
  </w:style>
  <w:style w:type="paragraph" w:styleId="4">
    <w:name w:val="Title"/>
    <w:basedOn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1186</Words>
  <Characters>1268</Characters>
  <Lines>0</Lines>
  <Paragraphs>0</Paragraphs>
  <TotalTime>5</TotalTime>
  <ScaleCrop>false</ScaleCrop>
  <LinksUpToDate>false</LinksUpToDate>
  <CharactersWithSpaces>1296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2025-05-24T01:57:00Z</dcterms:created>
  <dc:creator>骆驼</dc:creator>
  <cp:lastModifiedBy>cx</cp:lastModifiedBy>
  <cp:lastPrinted>2025-05-23T08:19:00Z</cp:lastPrinted>
  <dcterms:modified xsi:type="dcterms:W3CDTF">2025-07-31T11:20:06Z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866E91349A0BB43243DB8968EBB32EBC</vt:lpwstr>
  </property>
  <property fmtid="{D5CDD505-2E9C-101B-9397-08002B2CF9AE}" pid="4" name="KSOTemplateDocerSaveRecord">
    <vt:lpwstr>eyJoZGlkIjoiNWRhZjFiZjczNGNmNmUxMjQwMDNkYzI0ZjVkNGU0ZjMiLCJ1c2VySWQiOiIxMjc4OTQ1NzgxIn0=</vt:lpwstr>
  </property>
</Properties>
</file>