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overflowPunct/>
        <w:topLinePunct w:val="0"/>
        <w:bidi w:val="0"/>
        <w:spacing w:beforeAutospacing="0" w:afterAutospacing="0" w:line="560" w:lineRule="exact"/>
        <w:ind w:left="0"/>
        <w:jc w:val="both"/>
        <w:rPr>
          <w:rFonts w:hint="eastAsia" w:ascii="宋体" w:eastAsia="宋体" w:cs="宋体"/>
          <w:color w:val="auto"/>
          <w:kern w:val="0"/>
          <w:sz w:val="44"/>
          <w:szCs w:val="44"/>
          <w:highlight w:val="none"/>
          <w:lang w:val="en-US" w:eastAsia="zh-CN"/>
        </w:rPr>
      </w:pPr>
    </w:p>
    <w:p>
      <w:pPr>
        <w:pageBreakBefore w:val="0"/>
        <w:kinsoku/>
        <w:overflowPunct/>
        <w:topLinePunct w:val="0"/>
        <w:bidi w:val="0"/>
        <w:spacing w:beforeAutospacing="0" w:afterAutospacing="0" w:line="560" w:lineRule="exact"/>
        <w:ind w:left="0"/>
        <w:jc w:val="center"/>
        <w:rPr>
          <w:rFonts w:ascii="黑体" w:hAnsi="Arial" w:eastAsia="黑体" w:cs="Arial"/>
          <w:color w:val="auto"/>
          <w:sz w:val="52"/>
          <w:szCs w:val="52"/>
          <w:highlight w:val="none"/>
        </w:rPr>
      </w:pPr>
      <w:r>
        <w:rPr>
          <w:rFonts w:hint="eastAsia" w:ascii="黑体" w:hAnsi="Arial" w:eastAsia="黑体" w:cs="Arial"/>
          <w:color w:val="auto"/>
          <w:sz w:val="52"/>
          <w:szCs w:val="52"/>
          <w:highlight w:val="none"/>
        </w:rPr>
        <w:t>【服务类】</w:t>
      </w:r>
    </w:p>
    <w:p>
      <w:pPr>
        <w:pageBreakBefore w:val="0"/>
        <w:kinsoku/>
        <w:overflowPunct/>
        <w:topLinePunct w:val="0"/>
        <w:bidi w:val="0"/>
        <w:spacing w:beforeAutospacing="0" w:afterAutospacing="0" w:line="560" w:lineRule="exact"/>
        <w:ind w:left="0"/>
        <w:jc w:val="center"/>
        <w:rPr>
          <w:rFonts w:ascii="宋体" w:hAnsi="宋体"/>
          <w:b/>
          <w:color w:val="auto"/>
          <w:sz w:val="44"/>
          <w:szCs w:val="44"/>
          <w:highlight w:val="none"/>
        </w:rPr>
      </w:pPr>
    </w:p>
    <w:p>
      <w:pPr>
        <w:pStyle w:val="9"/>
        <w:pageBreakBefore w:val="0"/>
        <w:kinsoku/>
        <w:overflowPunct/>
        <w:topLinePunct w:val="0"/>
        <w:bidi w:val="0"/>
        <w:spacing w:beforeAutospacing="0" w:afterAutospacing="0" w:line="560" w:lineRule="exact"/>
        <w:ind w:left="0"/>
        <w:rPr>
          <w:rFonts w:ascii="宋体" w:hAnsi="宋体"/>
          <w:b/>
          <w:color w:val="auto"/>
          <w:sz w:val="44"/>
          <w:szCs w:val="44"/>
          <w:highlight w:val="none"/>
        </w:rPr>
      </w:pPr>
    </w:p>
    <w:p>
      <w:pPr>
        <w:pStyle w:val="9"/>
        <w:pageBreakBefore w:val="0"/>
        <w:kinsoku/>
        <w:overflowPunct/>
        <w:topLinePunct w:val="0"/>
        <w:bidi w:val="0"/>
        <w:spacing w:beforeAutospacing="0" w:afterAutospacing="0" w:line="560" w:lineRule="exact"/>
        <w:ind w:left="0"/>
        <w:rPr>
          <w:rFonts w:ascii="宋体" w:hAnsi="宋体"/>
          <w:b/>
          <w:color w:val="auto"/>
          <w:sz w:val="44"/>
          <w:szCs w:val="44"/>
          <w:highlight w:val="none"/>
        </w:rPr>
      </w:pPr>
    </w:p>
    <w:p>
      <w:pPr>
        <w:pageBreakBefore w:val="0"/>
        <w:kinsoku/>
        <w:overflowPunct/>
        <w:topLinePunct w:val="0"/>
        <w:bidi w:val="0"/>
        <w:spacing w:beforeAutospacing="0" w:afterAutospacing="0" w:line="560" w:lineRule="exact"/>
        <w:ind w:left="0"/>
        <w:jc w:val="center"/>
        <w:rPr>
          <w:rFonts w:hint="eastAsia"/>
          <w:b w:val="0"/>
          <w:bCs/>
          <w:color w:val="auto"/>
          <w:sz w:val="44"/>
          <w:szCs w:val="44"/>
          <w:highlight w:val="none"/>
          <w:lang w:eastAsia="zh-CN"/>
        </w:rPr>
      </w:pPr>
      <w:r>
        <w:rPr>
          <w:rFonts w:hint="eastAsia"/>
          <w:b/>
          <w:color w:val="auto"/>
          <w:sz w:val="44"/>
          <w:szCs w:val="44"/>
          <w:highlight w:val="none"/>
        </w:rPr>
        <w:t>项目编号</w:t>
      </w:r>
      <w:r>
        <w:rPr>
          <w:rFonts w:hint="eastAsia"/>
          <w:b/>
          <w:color w:val="auto"/>
          <w:sz w:val="44"/>
          <w:szCs w:val="44"/>
          <w:highlight w:val="none"/>
          <w:lang w:eastAsia="zh-CN"/>
        </w:rPr>
        <w:t>：【</w:t>
      </w:r>
      <w:r>
        <w:rPr>
          <w:rFonts w:hint="eastAsia"/>
          <w:b w:val="0"/>
          <w:bCs/>
          <w:color w:val="auto"/>
          <w:sz w:val="44"/>
          <w:szCs w:val="44"/>
          <w:highlight w:val="none"/>
          <w:lang w:eastAsia="zh-CN"/>
        </w:rPr>
        <w:t>KZSC20240</w:t>
      </w:r>
      <w:r>
        <w:rPr>
          <w:rFonts w:hint="eastAsia"/>
          <w:b w:val="0"/>
          <w:bCs/>
          <w:color w:val="auto"/>
          <w:sz w:val="44"/>
          <w:szCs w:val="44"/>
          <w:highlight w:val="none"/>
          <w:lang w:val="en-US" w:eastAsia="zh-CN"/>
        </w:rPr>
        <w:t>25</w:t>
      </w:r>
      <w:r>
        <w:rPr>
          <w:rFonts w:hint="eastAsia"/>
          <w:b/>
          <w:color w:val="auto"/>
          <w:sz w:val="44"/>
          <w:szCs w:val="44"/>
          <w:highlight w:val="none"/>
          <w:lang w:eastAsia="zh-CN"/>
        </w:rPr>
        <w:t>】</w:t>
      </w:r>
    </w:p>
    <w:p>
      <w:pPr>
        <w:pageBreakBefore w:val="0"/>
        <w:kinsoku/>
        <w:overflowPunct/>
        <w:topLinePunct w:val="0"/>
        <w:bidi w:val="0"/>
        <w:spacing w:beforeAutospacing="0" w:afterAutospacing="0" w:line="560" w:lineRule="exact"/>
        <w:ind w:left="0"/>
        <w:jc w:val="center"/>
        <w:rPr>
          <w:rFonts w:hint="eastAsia" w:eastAsia="宋体"/>
          <w:b/>
          <w:color w:val="auto"/>
          <w:sz w:val="44"/>
          <w:szCs w:val="44"/>
          <w:highlight w:val="none"/>
          <w:lang w:val="en-US" w:eastAsia="zh-CN"/>
        </w:rPr>
      </w:pPr>
    </w:p>
    <w:p>
      <w:pPr>
        <w:pageBreakBefore w:val="0"/>
        <w:kinsoku/>
        <w:overflowPunct/>
        <w:topLinePunct w:val="0"/>
        <w:bidi w:val="0"/>
        <w:spacing w:beforeAutospacing="0" w:afterAutospacing="0" w:line="560" w:lineRule="exact"/>
        <w:ind w:left="0"/>
        <w:rPr>
          <w:rFonts w:hint="eastAsia"/>
          <w:color w:val="auto"/>
          <w:sz w:val="52"/>
          <w:szCs w:val="52"/>
          <w:highlight w:val="none"/>
        </w:rPr>
      </w:pPr>
    </w:p>
    <w:p>
      <w:pPr>
        <w:pageBreakBefore w:val="0"/>
        <w:widowControl/>
        <w:kinsoku/>
        <w:overflowPunct/>
        <w:topLinePunct w:val="0"/>
        <w:bidi w:val="0"/>
        <w:spacing w:beforeAutospacing="0" w:afterAutospacing="0" w:line="560" w:lineRule="exact"/>
        <w:ind w:left="0"/>
        <w:jc w:val="center"/>
        <w:rPr>
          <w:rFonts w:ascii="宋体" w:cs="宋体"/>
          <w:color w:val="auto"/>
          <w:kern w:val="0"/>
          <w:sz w:val="44"/>
          <w:szCs w:val="44"/>
          <w:highlight w:val="none"/>
        </w:rPr>
      </w:pPr>
    </w:p>
    <w:p>
      <w:pPr>
        <w:pageBreakBefore w:val="0"/>
        <w:widowControl/>
        <w:kinsoku/>
        <w:overflowPunct/>
        <w:topLinePunct w:val="0"/>
        <w:bidi w:val="0"/>
        <w:spacing w:beforeAutospacing="0" w:afterAutospacing="0" w:line="560" w:lineRule="exact"/>
        <w:ind w:left="0"/>
        <w:jc w:val="center"/>
        <w:rPr>
          <w:rFonts w:hint="default" w:ascii="宋体" w:eastAsia="宋体" w:cs="宋体"/>
          <w:b/>
          <w:bCs w:val="0"/>
          <w:color w:val="auto"/>
          <w:kern w:val="0"/>
          <w:sz w:val="44"/>
          <w:szCs w:val="44"/>
          <w:highlight w:val="none"/>
          <w:lang w:val="en-US" w:eastAsia="zh-CN"/>
        </w:rPr>
      </w:pPr>
      <w:r>
        <w:rPr>
          <w:rFonts w:hint="eastAsia" w:ascii="宋体" w:hAnsi="宋体" w:cs="宋体"/>
          <w:b/>
          <w:bCs w:val="0"/>
          <w:color w:val="auto"/>
          <w:kern w:val="0"/>
          <w:sz w:val="52"/>
          <w:szCs w:val="52"/>
          <w:highlight w:val="none"/>
        </w:rPr>
        <w:t>坑梓街道</w:t>
      </w:r>
      <w:r>
        <w:rPr>
          <w:rFonts w:hint="eastAsia" w:ascii="宋体" w:hAnsi="宋体" w:cs="宋体"/>
          <w:b/>
          <w:bCs w:val="0"/>
          <w:color w:val="auto"/>
          <w:kern w:val="0"/>
          <w:sz w:val="52"/>
          <w:szCs w:val="52"/>
          <w:highlight w:val="none"/>
          <w:lang w:eastAsia="zh-CN"/>
        </w:rPr>
        <w:t>聚龙山工作点安保护卫服务</w:t>
      </w:r>
      <w:r>
        <w:rPr>
          <w:rFonts w:hint="eastAsia" w:ascii="宋体" w:hAnsi="宋体" w:cs="宋体"/>
          <w:b/>
          <w:bCs w:val="0"/>
          <w:color w:val="auto"/>
          <w:kern w:val="0"/>
          <w:sz w:val="52"/>
          <w:szCs w:val="52"/>
          <w:highlight w:val="none"/>
        </w:rPr>
        <w:t>项目</w:t>
      </w:r>
      <w:r>
        <w:rPr>
          <w:rFonts w:hint="eastAsia" w:ascii="宋体" w:hAnsi="宋体" w:cs="宋体"/>
          <w:b/>
          <w:bCs w:val="0"/>
          <w:color w:val="auto"/>
          <w:kern w:val="0"/>
          <w:sz w:val="52"/>
          <w:szCs w:val="52"/>
          <w:highlight w:val="none"/>
          <w:lang w:eastAsia="zh-CN"/>
        </w:rPr>
        <w:t>采购需求</w:t>
      </w:r>
      <w:r>
        <w:rPr>
          <w:rFonts w:hint="eastAsia" w:ascii="宋体" w:hAnsi="宋体" w:cs="宋体"/>
          <w:b/>
          <w:bCs w:val="0"/>
          <w:color w:val="auto"/>
          <w:kern w:val="0"/>
          <w:sz w:val="52"/>
          <w:szCs w:val="52"/>
          <w:highlight w:val="none"/>
          <w:lang w:val="en-US" w:eastAsia="zh-CN"/>
        </w:rPr>
        <w:t>(自行采购)</w:t>
      </w:r>
    </w:p>
    <w:p>
      <w:pPr>
        <w:pageBreakBefore w:val="0"/>
        <w:widowControl/>
        <w:kinsoku/>
        <w:overflowPunct/>
        <w:topLinePunct w:val="0"/>
        <w:bidi w:val="0"/>
        <w:spacing w:beforeAutospacing="0" w:afterAutospacing="0" w:line="560" w:lineRule="exact"/>
        <w:ind w:left="0" w:firstLine="640" w:firstLineChars="200"/>
        <w:jc w:val="left"/>
        <w:rPr>
          <w:rFonts w:ascii="仿宋" w:hAnsi="仿宋" w:eastAsia="仿宋" w:cs="宋体"/>
          <w:color w:val="auto"/>
          <w:kern w:val="0"/>
          <w:sz w:val="32"/>
          <w:szCs w:val="32"/>
          <w:highlight w:val="none"/>
        </w:rPr>
      </w:pPr>
    </w:p>
    <w:p>
      <w:pPr>
        <w:pageBreakBefore w:val="0"/>
        <w:widowControl/>
        <w:kinsoku/>
        <w:overflowPunct/>
        <w:topLinePunct w:val="0"/>
        <w:bidi w:val="0"/>
        <w:spacing w:beforeAutospacing="0" w:afterAutospacing="0" w:line="560" w:lineRule="exact"/>
        <w:ind w:left="0" w:firstLine="640" w:firstLineChars="200"/>
        <w:jc w:val="left"/>
        <w:rPr>
          <w:rFonts w:ascii="仿宋" w:hAnsi="仿宋" w:eastAsia="仿宋" w:cs="宋体"/>
          <w:color w:val="auto"/>
          <w:kern w:val="0"/>
          <w:sz w:val="32"/>
          <w:szCs w:val="32"/>
          <w:highlight w:val="none"/>
        </w:rPr>
      </w:pPr>
    </w:p>
    <w:p>
      <w:pPr>
        <w:pageBreakBefore w:val="0"/>
        <w:widowControl/>
        <w:kinsoku/>
        <w:overflowPunct/>
        <w:topLinePunct w:val="0"/>
        <w:bidi w:val="0"/>
        <w:spacing w:beforeAutospacing="0" w:afterAutospacing="0" w:line="560" w:lineRule="exact"/>
        <w:ind w:left="0"/>
        <w:jc w:val="both"/>
        <w:rPr>
          <w:rFonts w:ascii="楷体" w:hAnsi="楷体" w:eastAsia="楷体" w:cs="楷体"/>
          <w:color w:val="auto"/>
          <w:spacing w:val="-20"/>
          <w:kern w:val="0"/>
          <w:sz w:val="32"/>
          <w:szCs w:val="32"/>
          <w:highlight w:val="none"/>
        </w:rPr>
      </w:pPr>
    </w:p>
    <w:p>
      <w:pPr>
        <w:pStyle w:val="5"/>
        <w:rPr>
          <w:rFonts w:ascii="楷体" w:hAnsi="楷体" w:eastAsia="楷体" w:cs="楷体"/>
          <w:color w:val="auto"/>
          <w:spacing w:val="-20"/>
          <w:kern w:val="0"/>
          <w:sz w:val="32"/>
          <w:szCs w:val="32"/>
          <w:highlight w:val="none"/>
        </w:rPr>
      </w:pPr>
    </w:p>
    <w:p>
      <w:pPr>
        <w:rPr>
          <w:rFonts w:ascii="楷体" w:hAnsi="楷体" w:eastAsia="楷体" w:cs="楷体"/>
          <w:color w:val="auto"/>
          <w:spacing w:val="-20"/>
          <w:kern w:val="0"/>
          <w:sz w:val="32"/>
          <w:szCs w:val="32"/>
          <w:highlight w:val="none"/>
        </w:rPr>
      </w:pPr>
    </w:p>
    <w:p>
      <w:pPr>
        <w:pStyle w:val="5"/>
        <w:rPr>
          <w:rFonts w:ascii="楷体" w:hAnsi="楷体" w:eastAsia="楷体" w:cs="楷体"/>
          <w:color w:val="auto"/>
          <w:spacing w:val="-20"/>
          <w:kern w:val="0"/>
          <w:sz w:val="32"/>
          <w:szCs w:val="32"/>
          <w:highlight w:val="none"/>
        </w:rPr>
      </w:pPr>
    </w:p>
    <w:p>
      <w:pPr>
        <w:rPr>
          <w:rFonts w:ascii="楷体" w:hAnsi="楷体" w:eastAsia="楷体" w:cs="楷体"/>
          <w:color w:val="auto"/>
          <w:spacing w:val="-20"/>
          <w:kern w:val="0"/>
          <w:sz w:val="32"/>
          <w:szCs w:val="32"/>
          <w:highlight w:val="none"/>
        </w:rPr>
      </w:pPr>
    </w:p>
    <w:p>
      <w:pPr>
        <w:pStyle w:val="5"/>
        <w:rPr>
          <w:rFonts w:ascii="楷体" w:hAnsi="楷体" w:eastAsia="楷体" w:cs="楷体"/>
          <w:color w:val="auto"/>
          <w:spacing w:val="-20"/>
          <w:kern w:val="0"/>
          <w:sz w:val="32"/>
          <w:szCs w:val="32"/>
          <w:highlight w:val="none"/>
        </w:rPr>
      </w:pPr>
    </w:p>
    <w:p>
      <w:pPr>
        <w:rPr>
          <w:color w:val="auto"/>
          <w:highlight w:val="none"/>
        </w:rPr>
      </w:pPr>
    </w:p>
    <w:p>
      <w:pPr>
        <w:pageBreakBefore w:val="0"/>
        <w:kinsoku/>
        <w:overflowPunct/>
        <w:topLinePunct w:val="0"/>
        <w:bidi w:val="0"/>
        <w:spacing w:beforeAutospacing="0" w:afterAutospacing="0" w:line="560" w:lineRule="exact"/>
        <w:ind w:left="0"/>
        <w:rPr>
          <w:rFonts w:hint="eastAsia"/>
          <w:color w:val="auto"/>
          <w:sz w:val="52"/>
          <w:szCs w:val="52"/>
          <w:highlight w:val="none"/>
        </w:rPr>
      </w:pPr>
    </w:p>
    <w:p>
      <w:pPr>
        <w:pageBreakBefore w:val="0"/>
        <w:kinsoku/>
        <w:overflowPunct/>
        <w:topLinePunct w:val="0"/>
        <w:bidi w:val="0"/>
        <w:spacing w:beforeAutospacing="0" w:afterAutospacing="0" w:line="560" w:lineRule="exact"/>
        <w:ind w:left="0"/>
        <w:jc w:val="center"/>
        <w:rPr>
          <w:rFonts w:hint="eastAsia"/>
          <w:color w:val="auto"/>
          <w:sz w:val="44"/>
          <w:szCs w:val="44"/>
          <w:highlight w:val="none"/>
        </w:rPr>
      </w:pPr>
      <w:r>
        <w:rPr>
          <w:rFonts w:hint="eastAsia"/>
          <w:color w:val="auto"/>
          <w:sz w:val="44"/>
          <w:szCs w:val="44"/>
          <w:highlight w:val="none"/>
        </w:rPr>
        <w:t>深圳市坪山区坑梓街道办事处</w:t>
      </w:r>
    </w:p>
    <w:p>
      <w:pPr>
        <w:pageBreakBefore w:val="0"/>
        <w:kinsoku/>
        <w:overflowPunct/>
        <w:topLinePunct w:val="0"/>
        <w:bidi w:val="0"/>
        <w:spacing w:beforeAutospacing="0" w:afterAutospacing="0" w:line="560" w:lineRule="exact"/>
        <w:ind w:left="0"/>
        <w:jc w:val="center"/>
        <w:rPr>
          <w:rFonts w:hint="eastAsia"/>
          <w:color w:val="auto"/>
          <w:sz w:val="44"/>
          <w:szCs w:val="44"/>
          <w:highlight w:val="none"/>
        </w:rPr>
      </w:pPr>
      <w:r>
        <w:rPr>
          <w:rFonts w:hint="eastAsia"/>
          <w:color w:val="auto"/>
          <w:sz w:val="44"/>
          <w:szCs w:val="44"/>
          <w:highlight w:val="none"/>
        </w:rPr>
        <w:t>二〇</w:t>
      </w:r>
      <w:r>
        <w:rPr>
          <w:rFonts w:hint="eastAsia"/>
          <w:color w:val="auto"/>
          <w:sz w:val="44"/>
          <w:szCs w:val="44"/>
          <w:highlight w:val="none"/>
          <w:lang w:eastAsia="zh-CN"/>
        </w:rPr>
        <w:t>二四</w:t>
      </w:r>
      <w:r>
        <w:rPr>
          <w:rFonts w:hint="eastAsia"/>
          <w:color w:val="auto"/>
          <w:sz w:val="44"/>
          <w:szCs w:val="44"/>
          <w:highlight w:val="none"/>
        </w:rPr>
        <w:t>年</w:t>
      </w:r>
      <w:r>
        <w:rPr>
          <w:rFonts w:hint="eastAsia"/>
          <w:color w:val="auto"/>
          <w:sz w:val="44"/>
          <w:szCs w:val="44"/>
          <w:highlight w:val="none"/>
          <w:lang w:eastAsia="zh-CN"/>
        </w:rPr>
        <w:t>十一</w:t>
      </w:r>
      <w:r>
        <w:rPr>
          <w:rFonts w:hint="eastAsia"/>
          <w:color w:val="auto"/>
          <w:sz w:val="44"/>
          <w:szCs w:val="44"/>
          <w:highlight w:val="none"/>
        </w:rPr>
        <w:t>月</w:t>
      </w:r>
    </w:p>
    <w:p>
      <w:pPr>
        <w:pStyle w:val="5"/>
        <w:rPr>
          <w:rFonts w:hint="eastAsia"/>
          <w:color w:val="auto"/>
          <w:sz w:val="44"/>
          <w:szCs w:val="44"/>
          <w:highlight w:val="none"/>
        </w:rPr>
      </w:pPr>
    </w:p>
    <w:p>
      <w:pPr>
        <w:pStyle w:val="5"/>
        <w:jc w:val="both"/>
        <w:rPr>
          <w:rFonts w:hint="eastAsia"/>
          <w:color w:val="auto"/>
          <w:sz w:val="44"/>
          <w:szCs w:val="44"/>
          <w:highlight w:val="none"/>
        </w:rPr>
      </w:pPr>
    </w:p>
    <w:p>
      <w:pPr>
        <w:rPr>
          <w:color w:val="auto"/>
          <w:highlight w:val="none"/>
        </w:rPr>
      </w:pPr>
    </w:p>
    <w:p>
      <w:pPr>
        <w:pStyle w:val="3"/>
        <w:pageBreakBefore w:val="0"/>
        <w:kinsoku/>
        <w:overflowPunct/>
        <w:topLinePunct w:val="0"/>
        <w:bidi w:val="0"/>
        <w:spacing w:before="0" w:beforeAutospacing="0" w:after="0" w:afterAutospacing="0" w:line="560" w:lineRule="exact"/>
        <w:ind w:left="0"/>
        <w:rPr>
          <w:color w:val="auto"/>
          <w:highlight w:val="none"/>
        </w:rPr>
      </w:pPr>
      <w:bookmarkStart w:id="0" w:name="_Toc39851075"/>
      <w:r>
        <w:rPr>
          <w:rFonts w:hint="eastAsia"/>
          <w:color w:val="auto"/>
          <w:highlight w:val="none"/>
        </w:rPr>
        <w:t>关键信息</w:t>
      </w:r>
      <w:bookmarkEnd w:id="0"/>
    </w:p>
    <w:p>
      <w:pPr>
        <w:pageBreakBefore w:val="0"/>
        <w:kinsoku/>
        <w:overflowPunct/>
        <w:topLinePunct w:val="0"/>
        <w:bidi w:val="0"/>
        <w:spacing w:beforeAutospacing="0" w:afterAutospacing="0" w:line="560" w:lineRule="exact"/>
        <w:ind w:left="0"/>
        <w:rPr>
          <w:color w:val="auto"/>
          <w:highlight w:val="none"/>
        </w:rPr>
      </w:pPr>
    </w:p>
    <w:p>
      <w:pPr>
        <w:pageBreakBefore w:val="0"/>
        <w:kinsoku/>
        <w:overflowPunct/>
        <w:topLinePunct w:val="0"/>
        <w:bidi w:val="0"/>
        <w:spacing w:beforeAutospacing="0" w:afterAutospacing="0" w:line="560" w:lineRule="exact"/>
        <w:ind w:left="0"/>
        <w:jc w:val="center"/>
        <w:rPr>
          <w:rFonts w:hint="eastAsia"/>
          <w:b/>
          <w:color w:val="auto"/>
          <w:sz w:val="28"/>
          <w:szCs w:val="28"/>
          <w:highlight w:val="none"/>
        </w:rPr>
      </w:pPr>
      <w:r>
        <w:rPr>
          <w:rFonts w:hint="eastAsia"/>
          <w:b/>
          <w:color w:val="auto"/>
          <w:sz w:val="28"/>
          <w:szCs w:val="28"/>
          <w:highlight w:val="none"/>
        </w:rPr>
        <w:t>项目信息</w:t>
      </w:r>
    </w:p>
    <w:tbl>
      <w:tblPr>
        <w:tblStyle w:val="17"/>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pageBreakBefore w:val="0"/>
              <w:kinsoku/>
              <w:overflowPunct/>
              <w:topLinePunct w:val="0"/>
              <w:bidi w:val="0"/>
              <w:spacing w:beforeAutospacing="0" w:afterAutospacing="0" w:line="560" w:lineRule="exact"/>
              <w:ind w:left="0"/>
              <w:rPr>
                <w:color w:val="auto"/>
                <w:szCs w:val="21"/>
                <w:highlight w:val="none"/>
              </w:rPr>
            </w:pPr>
            <w:r>
              <w:rPr>
                <w:rFonts w:hint="eastAsia"/>
                <w:color w:val="auto"/>
                <w:szCs w:val="21"/>
                <w:highlight w:val="none"/>
              </w:rPr>
              <w:t>招标</w:t>
            </w:r>
            <w:r>
              <w:rPr>
                <w:color w:val="auto"/>
                <w:szCs w:val="21"/>
                <w:highlight w:val="none"/>
              </w:rPr>
              <w:t>编号</w:t>
            </w:r>
          </w:p>
        </w:tc>
        <w:tc>
          <w:tcPr>
            <w:tcW w:w="6620" w:type="dxa"/>
            <w:noWrap w:val="0"/>
            <w:vAlign w:val="center"/>
          </w:tcPr>
          <w:p>
            <w:pPr>
              <w:pageBreakBefore w:val="0"/>
              <w:kinsoku/>
              <w:overflowPunct/>
              <w:topLinePunct w:val="0"/>
              <w:bidi w:val="0"/>
              <w:spacing w:beforeAutospacing="0" w:afterAutospacing="0" w:line="560" w:lineRule="exact"/>
              <w:ind w:left="0"/>
              <w:rPr>
                <w:rFonts w:hint="default" w:eastAsia="宋体"/>
                <w:color w:val="auto"/>
                <w:szCs w:val="21"/>
                <w:highlight w:val="none"/>
                <w:lang w:val="en-US" w:eastAsia="zh-CN"/>
              </w:rPr>
            </w:pPr>
            <w:r>
              <w:rPr>
                <w:rFonts w:hint="default" w:eastAsia="宋体"/>
                <w:color w:val="auto"/>
                <w:szCs w:val="21"/>
                <w:highlight w:val="none"/>
                <w:lang w:val="en-US" w:eastAsia="zh-CN"/>
              </w:rPr>
              <w:t>KZSC2024025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pageBreakBefore w:val="0"/>
              <w:kinsoku/>
              <w:overflowPunct/>
              <w:topLinePunct w:val="0"/>
              <w:bidi w:val="0"/>
              <w:spacing w:beforeAutospacing="0" w:afterAutospacing="0" w:line="560" w:lineRule="exact"/>
              <w:ind w:left="0"/>
              <w:rPr>
                <w:color w:val="auto"/>
                <w:szCs w:val="21"/>
                <w:highlight w:val="none"/>
              </w:rPr>
            </w:pPr>
            <w:r>
              <w:rPr>
                <w:color w:val="auto"/>
                <w:szCs w:val="21"/>
                <w:highlight w:val="none"/>
              </w:rPr>
              <w:t>项目名称</w:t>
            </w:r>
          </w:p>
        </w:tc>
        <w:tc>
          <w:tcPr>
            <w:tcW w:w="6620" w:type="dxa"/>
            <w:noWrap w:val="0"/>
            <w:vAlign w:val="center"/>
          </w:tcPr>
          <w:p>
            <w:pPr>
              <w:pageBreakBefore w:val="0"/>
              <w:kinsoku/>
              <w:overflowPunct/>
              <w:topLinePunct w:val="0"/>
              <w:bidi w:val="0"/>
              <w:spacing w:beforeAutospacing="0" w:afterAutospacing="0" w:line="560" w:lineRule="exact"/>
              <w:ind w:left="0"/>
              <w:rPr>
                <w:rFonts w:hint="eastAsia"/>
                <w:color w:val="auto"/>
                <w:highlight w:val="none"/>
              </w:rPr>
            </w:pPr>
            <w:r>
              <w:rPr>
                <w:rFonts w:hint="eastAsia"/>
                <w:color w:val="auto"/>
                <w:highlight w:val="none"/>
              </w:rPr>
              <w:t>坑梓街道</w:t>
            </w:r>
            <w:r>
              <w:rPr>
                <w:rFonts w:hint="eastAsia"/>
                <w:color w:val="auto"/>
                <w:highlight w:val="none"/>
                <w:lang w:eastAsia="zh-CN"/>
              </w:rPr>
              <w:t>聚龙山工作点安保护卫服务</w:t>
            </w:r>
            <w:r>
              <w:rPr>
                <w:rFonts w:hint="eastAsia"/>
                <w:color w:val="auto"/>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pageBreakBefore w:val="0"/>
              <w:kinsoku/>
              <w:overflowPunct/>
              <w:topLinePunct w:val="0"/>
              <w:bidi w:val="0"/>
              <w:spacing w:beforeAutospacing="0" w:afterAutospacing="0" w:line="560" w:lineRule="exact"/>
              <w:ind w:left="0"/>
              <w:rPr>
                <w:color w:val="auto"/>
                <w:szCs w:val="21"/>
                <w:highlight w:val="none"/>
              </w:rPr>
            </w:pPr>
            <w:r>
              <w:rPr>
                <w:color w:val="auto"/>
                <w:szCs w:val="21"/>
                <w:highlight w:val="none"/>
              </w:rPr>
              <w:t>项目类型</w:t>
            </w:r>
          </w:p>
        </w:tc>
        <w:tc>
          <w:tcPr>
            <w:tcW w:w="6620" w:type="dxa"/>
            <w:noWrap w:val="0"/>
            <w:vAlign w:val="center"/>
          </w:tcPr>
          <w:p>
            <w:pPr>
              <w:pageBreakBefore w:val="0"/>
              <w:kinsoku/>
              <w:overflowPunct/>
              <w:topLinePunct w:val="0"/>
              <w:bidi w:val="0"/>
              <w:spacing w:beforeAutospacing="0" w:afterAutospacing="0" w:line="560" w:lineRule="exact"/>
              <w:ind w:left="0"/>
              <w:rPr>
                <w:color w:val="auto"/>
                <w:szCs w:val="21"/>
                <w:highlight w:val="none"/>
              </w:rPr>
            </w:pPr>
            <w:r>
              <w:rPr>
                <w:color w:val="auto"/>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10" w:type="dxa"/>
            <w:noWrap w:val="0"/>
            <w:vAlign w:val="center"/>
          </w:tcPr>
          <w:p>
            <w:pPr>
              <w:pageBreakBefore w:val="0"/>
              <w:kinsoku/>
              <w:overflowPunct/>
              <w:topLinePunct w:val="0"/>
              <w:bidi w:val="0"/>
              <w:spacing w:beforeAutospacing="0" w:afterAutospacing="0" w:line="560" w:lineRule="exact"/>
              <w:ind w:left="0"/>
              <w:rPr>
                <w:color w:val="auto"/>
                <w:szCs w:val="21"/>
                <w:highlight w:val="none"/>
              </w:rPr>
            </w:pPr>
            <w:r>
              <w:rPr>
                <w:color w:val="auto"/>
                <w:szCs w:val="21"/>
                <w:highlight w:val="none"/>
              </w:rPr>
              <w:t>采购方式</w:t>
            </w:r>
          </w:p>
        </w:tc>
        <w:tc>
          <w:tcPr>
            <w:tcW w:w="6620" w:type="dxa"/>
            <w:noWrap w:val="0"/>
            <w:vAlign w:val="center"/>
          </w:tcPr>
          <w:p>
            <w:pPr>
              <w:pageBreakBefore w:val="0"/>
              <w:kinsoku/>
              <w:overflowPunct/>
              <w:topLinePunct w:val="0"/>
              <w:bidi w:val="0"/>
              <w:spacing w:beforeAutospacing="0" w:afterAutospacing="0" w:line="560" w:lineRule="exact"/>
              <w:ind w:left="0"/>
              <w:rPr>
                <w:rFonts w:hint="default" w:eastAsia="宋体"/>
                <w:color w:val="auto"/>
                <w:szCs w:val="21"/>
                <w:highlight w:val="none"/>
                <w:lang w:val="en-US" w:eastAsia="zh-CN"/>
              </w:rPr>
            </w:pPr>
            <w:r>
              <w:rPr>
                <w:color w:val="auto"/>
                <w:szCs w:val="21"/>
                <w:highlight w:val="none"/>
              </w:rPr>
              <w:t>公开招标</w:t>
            </w:r>
            <w:r>
              <w:rPr>
                <w:rFonts w:hint="eastAsia"/>
                <w:color w:val="auto"/>
                <w:szCs w:val="21"/>
                <w:highlight w:val="none"/>
                <w:lang w:val="en-US" w:eastAsia="zh-CN"/>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10" w:type="dxa"/>
            <w:noWrap w:val="0"/>
            <w:vAlign w:val="center"/>
          </w:tcPr>
          <w:p>
            <w:pPr>
              <w:pageBreakBefore w:val="0"/>
              <w:kinsoku/>
              <w:overflowPunct/>
              <w:topLinePunct w:val="0"/>
              <w:bidi w:val="0"/>
              <w:spacing w:beforeAutospacing="0" w:afterAutospacing="0" w:line="560" w:lineRule="exact"/>
              <w:ind w:left="0"/>
              <w:rPr>
                <w:rFonts w:hint="eastAsia"/>
                <w:color w:val="auto"/>
                <w:szCs w:val="21"/>
                <w:highlight w:val="none"/>
              </w:rPr>
            </w:pPr>
            <w:r>
              <w:rPr>
                <w:rFonts w:hint="eastAsia"/>
                <w:color w:val="auto"/>
                <w:szCs w:val="21"/>
                <w:highlight w:val="none"/>
              </w:rPr>
              <w:t>评标方式</w:t>
            </w:r>
          </w:p>
        </w:tc>
        <w:tc>
          <w:tcPr>
            <w:tcW w:w="6620" w:type="dxa"/>
            <w:noWrap w:val="0"/>
            <w:vAlign w:val="center"/>
          </w:tcPr>
          <w:p>
            <w:pPr>
              <w:pageBreakBefore w:val="0"/>
              <w:kinsoku/>
              <w:overflowPunct/>
              <w:topLinePunct w:val="0"/>
              <w:bidi w:val="0"/>
              <w:spacing w:beforeAutospacing="0" w:afterAutospacing="0" w:line="560" w:lineRule="exact"/>
              <w:ind w:left="0"/>
              <w:rPr>
                <w:rFonts w:hint="eastAsia"/>
                <w:color w:val="auto"/>
                <w:szCs w:val="21"/>
                <w:highlight w:val="none"/>
              </w:rPr>
            </w:pPr>
            <w:r>
              <w:rPr>
                <w:rFonts w:hint="eastAsia"/>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pageBreakBefore w:val="0"/>
              <w:kinsoku/>
              <w:overflowPunct/>
              <w:topLinePunct w:val="0"/>
              <w:bidi w:val="0"/>
              <w:spacing w:beforeAutospacing="0" w:afterAutospacing="0" w:line="560" w:lineRule="exact"/>
              <w:ind w:left="0"/>
              <w:rPr>
                <w:color w:val="auto"/>
                <w:szCs w:val="21"/>
                <w:highlight w:val="none"/>
              </w:rPr>
            </w:pPr>
            <w:r>
              <w:rPr>
                <w:color w:val="auto"/>
                <w:szCs w:val="21"/>
                <w:highlight w:val="none"/>
              </w:rPr>
              <w:t>货币类型</w:t>
            </w:r>
          </w:p>
        </w:tc>
        <w:tc>
          <w:tcPr>
            <w:tcW w:w="6620" w:type="dxa"/>
            <w:noWrap w:val="0"/>
            <w:vAlign w:val="center"/>
          </w:tcPr>
          <w:p>
            <w:pPr>
              <w:pageBreakBefore w:val="0"/>
              <w:kinsoku/>
              <w:overflowPunct/>
              <w:topLinePunct w:val="0"/>
              <w:bidi w:val="0"/>
              <w:spacing w:beforeAutospacing="0" w:afterAutospacing="0" w:line="560" w:lineRule="exact"/>
              <w:ind w:left="0"/>
              <w:rPr>
                <w:color w:val="auto"/>
                <w:szCs w:val="21"/>
                <w:highlight w:val="none"/>
              </w:rPr>
            </w:pPr>
            <w:r>
              <w:rPr>
                <w:color w:val="auto"/>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pageBreakBefore w:val="0"/>
              <w:kinsoku/>
              <w:overflowPunct/>
              <w:topLinePunct w:val="0"/>
              <w:bidi w:val="0"/>
              <w:spacing w:beforeAutospacing="0" w:afterAutospacing="0" w:line="560" w:lineRule="exact"/>
              <w:ind w:left="0"/>
              <w:rPr>
                <w:rFonts w:hint="eastAsia"/>
                <w:color w:val="auto"/>
                <w:szCs w:val="21"/>
                <w:highlight w:val="none"/>
              </w:rPr>
            </w:pPr>
            <w:r>
              <w:rPr>
                <w:rFonts w:hint="eastAsia"/>
                <w:color w:val="auto"/>
                <w:szCs w:val="21"/>
                <w:highlight w:val="none"/>
              </w:rPr>
              <w:t>投标保证金</w:t>
            </w:r>
          </w:p>
        </w:tc>
        <w:tc>
          <w:tcPr>
            <w:tcW w:w="6620" w:type="dxa"/>
            <w:noWrap w:val="0"/>
            <w:vAlign w:val="center"/>
          </w:tcPr>
          <w:p>
            <w:pPr>
              <w:pageBreakBefore w:val="0"/>
              <w:kinsoku/>
              <w:overflowPunct/>
              <w:topLinePunct w:val="0"/>
              <w:bidi w:val="0"/>
              <w:spacing w:beforeAutospacing="0" w:afterAutospacing="0" w:line="560" w:lineRule="exact"/>
              <w:ind w:left="0"/>
              <w:rPr>
                <w:rFonts w:hint="eastAsia"/>
                <w:color w:val="auto"/>
                <w:szCs w:val="21"/>
                <w:highlight w:val="none"/>
              </w:rPr>
            </w:pPr>
            <w:r>
              <w:rPr>
                <w:rFonts w:hint="eastAsia"/>
                <w:color w:val="auto"/>
                <w:szCs w:val="21"/>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pageBreakBefore w:val="0"/>
              <w:kinsoku/>
              <w:overflowPunct/>
              <w:topLinePunct w:val="0"/>
              <w:bidi w:val="0"/>
              <w:spacing w:beforeAutospacing="0" w:afterAutospacing="0" w:line="560" w:lineRule="exact"/>
              <w:ind w:left="0"/>
              <w:rPr>
                <w:rFonts w:hint="eastAsia"/>
                <w:color w:val="auto"/>
                <w:szCs w:val="21"/>
                <w:highlight w:val="none"/>
              </w:rPr>
            </w:pPr>
            <w:r>
              <w:rPr>
                <w:rFonts w:hint="eastAsia"/>
                <w:color w:val="auto"/>
                <w:szCs w:val="21"/>
                <w:highlight w:val="none"/>
              </w:rPr>
              <w:t>履约保证金</w:t>
            </w:r>
          </w:p>
        </w:tc>
        <w:tc>
          <w:tcPr>
            <w:tcW w:w="6620" w:type="dxa"/>
            <w:noWrap w:val="0"/>
            <w:vAlign w:val="center"/>
          </w:tcPr>
          <w:p>
            <w:pPr>
              <w:pageBreakBefore w:val="0"/>
              <w:kinsoku/>
              <w:overflowPunct/>
              <w:topLinePunct w:val="0"/>
              <w:bidi w:val="0"/>
              <w:spacing w:beforeAutospacing="0" w:afterAutospacing="0" w:line="560" w:lineRule="exact"/>
              <w:ind w:left="0"/>
              <w:rPr>
                <w:rFonts w:hint="eastAsia"/>
                <w:color w:val="auto"/>
                <w:szCs w:val="21"/>
                <w:highlight w:val="none"/>
              </w:rPr>
            </w:pPr>
            <w:r>
              <w:rPr>
                <w:rFonts w:hint="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pageBreakBefore w:val="0"/>
              <w:kinsoku/>
              <w:overflowPunct/>
              <w:topLinePunct w:val="0"/>
              <w:bidi w:val="0"/>
              <w:spacing w:beforeAutospacing="0" w:afterAutospacing="0" w:line="560" w:lineRule="exact"/>
              <w:ind w:left="0"/>
              <w:rPr>
                <w:color w:val="auto"/>
                <w:szCs w:val="21"/>
                <w:highlight w:val="none"/>
              </w:rPr>
            </w:pPr>
            <w:r>
              <w:rPr>
                <w:color w:val="auto"/>
                <w:szCs w:val="21"/>
                <w:highlight w:val="none"/>
              </w:rPr>
              <w:t>投标文件份数</w:t>
            </w:r>
          </w:p>
        </w:tc>
        <w:tc>
          <w:tcPr>
            <w:tcW w:w="6620" w:type="dxa"/>
            <w:noWrap w:val="0"/>
            <w:vAlign w:val="center"/>
          </w:tcPr>
          <w:p>
            <w:pPr>
              <w:pageBreakBefore w:val="0"/>
              <w:kinsoku/>
              <w:overflowPunct/>
              <w:topLinePunct w:val="0"/>
              <w:bidi w:val="0"/>
              <w:spacing w:beforeAutospacing="0" w:afterAutospacing="0" w:line="560" w:lineRule="exact"/>
              <w:ind w:left="0"/>
              <w:rPr>
                <w:color w:val="auto"/>
                <w:szCs w:val="21"/>
                <w:highlight w:val="none"/>
              </w:rPr>
            </w:pPr>
            <w:r>
              <w:rPr>
                <w:rFonts w:hint="eastAsia" w:ascii="宋体" w:hAnsi="宋体"/>
                <w:color w:val="auto"/>
                <w:szCs w:val="21"/>
                <w:highlight w:val="none"/>
              </w:rPr>
              <w:t>正本1份，副本</w:t>
            </w:r>
            <w:r>
              <w:rPr>
                <w:rFonts w:hint="eastAsia" w:ascii="宋体" w:hAnsi="宋体"/>
                <w:color w:val="auto"/>
                <w:szCs w:val="21"/>
                <w:highlight w:val="none"/>
                <w:lang w:val="en-US" w:eastAsia="zh-CN"/>
              </w:rPr>
              <w:t>9</w:t>
            </w:r>
            <w:r>
              <w:rPr>
                <w:rFonts w:hint="eastAsia" w:ascii="宋体" w:hAnsi="宋体"/>
                <w:color w:val="auto"/>
                <w:szCs w:val="21"/>
                <w:highlight w:val="none"/>
              </w:rPr>
              <w:t>份，开标文件1份</w:t>
            </w:r>
            <w:r>
              <w:rPr>
                <w:rFonts w:hint="eastAsia" w:ascii="宋体" w:hAnsi="宋体"/>
                <w:color w:val="auto"/>
                <w:highlight w:val="none"/>
              </w:rPr>
              <w:t>及</w:t>
            </w:r>
            <w:r>
              <w:rPr>
                <w:rFonts w:hint="eastAsia" w:ascii="宋体" w:hAnsi="宋体"/>
                <w:color w:val="auto"/>
                <w:szCs w:val="21"/>
                <w:highlight w:val="none"/>
              </w:rPr>
              <w:t>投标文件备份</w:t>
            </w:r>
            <w:r>
              <w:rPr>
                <w:rFonts w:hint="eastAsia" w:ascii="宋体" w:hAnsi="宋体"/>
                <w:color w:val="auto"/>
                <w:highlight w:val="none"/>
              </w:rPr>
              <w:t>文档一份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pageBreakBefore w:val="0"/>
              <w:kinsoku/>
              <w:overflowPunct/>
              <w:topLinePunct w:val="0"/>
              <w:bidi w:val="0"/>
              <w:spacing w:beforeAutospacing="0" w:afterAutospacing="0" w:line="560" w:lineRule="exact"/>
              <w:ind w:left="0"/>
              <w:rPr>
                <w:rFonts w:hint="eastAsia" w:eastAsia="宋体"/>
                <w:color w:val="auto"/>
                <w:szCs w:val="21"/>
                <w:highlight w:val="none"/>
                <w:lang w:eastAsia="zh-CN"/>
              </w:rPr>
            </w:pPr>
            <w:r>
              <w:rPr>
                <w:rFonts w:hint="eastAsia"/>
                <w:color w:val="auto"/>
                <w:szCs w:val="21"/>
                <w:highlight w:val="none"/>
                <w:lang w:eastAsia="zh-CN"/>
              </w:rPr>
              <w:t>项目实施单位</w:t>
            </w:r>
          </w:p>
        </w:tc>
        <w:tc>
          <w:tcPr>
            <w:tcW w:w="6620" w:type="dxa"/>
            <w:noWrap w:val="0"/>
            <w:vAlign w:val="center"/>
          </w:tcPr>
          <w:p>
            <w:pPr>
              <w:pageBreakBefore w:val="0"/>
              <w:kinsoku/>
              <w:overflowPunct/>
              <w:topLinePunct w:val="0"/>
              <w:bidi w:val="0"/>
              <w:spacing w:beforeAutospacing="0" w:afterAutospacing="0" w:line="560" w:lineRule="exact"/>
              <w:ind w:left="0"/>
              <w:rPr>
                <w:rFonts w:hint="default" w:eastAsia="宋体"/>
                <w:color w:val="auto"/>
                <w:szCs w:val="21"/>
                <w:highlight w:val="none"/>
                <w:lang w:val="en-US" w:eastAsia="zh-CN"/>
              </w:rPr>
            </w:pPr>
            <w:r>
              <w:rPr>
                <w:rFonts w:hint="eastAsia"/>
                <w:color w:val="auto"/>
                <w:szCs w:val="21"/>
                <w:highlight w:val="none"/>
                <w:lang w:eastAsia="zh-CN"/>
              </w:rPr>
              <w:t>中共深圳市坪山区坑梓街道纪律检查工作委员会</w:t>
            </w:r>
          </w:p>
        </w:tc>
      </w:tr>
    </w:tbl>
    <w:p>
      <w:pPr>
        <w:pageBreakBefore w:val="0"/>
        <w:kinsoku/>
        <w:overflowPunct/>
        <w:topLinePunct w:val="0"/>
        <w:bidi w:val="0"/>
        <w:spacing w:beforeAutospacing="0" w:afterAutospacing="0" w:line="560" w:lineRule="exact"/>
        <w:ind w:left="0"/>
        <w:jc w:val="center"/>
        <w:rPr>
          <w:color w:val="auto"/>
          <w:sz w:val="24"/>
          <w:highlight w:val="none"/>
          <w:shd w:val="clear" w:color="FFFFFF" w:fill="D9D9D9"/>
        </w:rPr>
      </w:pPr>
    </w:p>
    <w:p>
      <w:pPr>
        <w:pageBreakBefore w:val="0"/>
        <w:kinsoku/>
        <w:overflowPunct/>
        <w:topLinePunct w:val="0"/>
        <w:bidi w:val="0"/>
        <w:spacing w:beforeAutospacing="0" w:afterAutospacing="0" w:line="560" w:lineRule="exact"/>
        <w:ind w:left="0"/>
        <w:jc w:val="center"/>
        <w:rPr>
          <w:b/>
          <w:color w:val="auto"/>
          <w:sz w:val="28"/>
          <w:szCs w:val="28"/>
          <w:highlight w:val="none"/>
        </w:rPr>
      </w:pPr>
      <w:r>
        <w:rPr>
          <w:color w:val="auto"/>
          <w:sz w:val="24"/>
          <w:highlight w:val="none"/>
          <w:shd w:val="clear" w:color="FFFFFF" w:fill="D9D9D9"/>
        </w:rPr>
        <w:br w:type="page"/>
      </w:r>
      <w:r>
        <w:rPr>
          <w:rFonts w:hint="eastAsia" w:ascii="宋体" w:hAnsi="宋体" w:eastAsia="黑体"/>
          <w:b/>
          <w:bCs/>
          <w:color w:val="auto"/>
          <w:kern w:val="44"/>
          <w:sz w:val="28"/>
          <w:szCs w:val="44"/>
          <w:highlight w:val="none"/>
        </w:rPr>
        <w:t>投标文件初审表</w:t>
      </w:r>
    </w:p>
    <w:p>
      <w:pPr>
        <w:pageBreakBefore w:val="0"/>
        <w:kinsoku/>
        <w:overflowPunct/>
        <w:topLinePunct w:val="0"/>
        <w:bidi w:val="0"/>
        <w:spacing w:beforeAutospacing="0" w:afterAutospacing="0" w:line="560" w:lineRule="exact"/>
        <w:ind w:left="0"/>
        <w:rPr>
          <w:rFonts w:hint="eastAsia"/>
          <w:b/>
          <w:color w:val="auto"/>
          <w:highlight w:val="none"/>
        </w:rPr>
      </w:pPr>
    </w:p>
    <w:p>
      <w:pPr>
        <w:pageBreakBefore w:val="0"/>
        <w:kinsoku/>
        <w:overflowPunct/>
        <w:topLinePunct w:val="0"/>
        <w:bidi w:val="0"/>
        <w:spacing w:beforeAutospacing="0" w:afterAutospacing="0" w:line="560" w:lineRule="exact"/>
        <w:ind w:left="0"/>
        <w:rPr>
          <w:rFonts w:hint="eastAsia"/>
          <w:b/>
          <w:bCs/>
          <w:color w:val="auto"/>
          <w:sz w:val="22"/>
          <w:highlight w:val="none"/>
        </w:rPr>
      </w:pPr>
      <w:r>
        <w:rPr>
          <w:rFonts w:hint="eastAsia"/>
          <w:b/>
          <w:bCs/>
          <w:color w:val="auto"/>
          <w:sz w:val="22"/>
          <w:highlight w:val="none"/>
        </w:rPr>
        <w:t>凡有下列情形之一的，其投标文件作无效处理：</w:t>
      </w:r>
    </w:p>
    <w:tbl>
      <w:tblPr>
        <w:tblStyle w:val="17"/>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13" w:type="dxa"/>
            <w:gridSpan w:val="2"/>
            <w:noWrap w:val="0"/>
            <w:vAlign w:val="center"/>
          </w:tcPr>
          <w:p>
            <w:pPr>
              <w:pageBreakBefore w:val="0"/>
              <w:kinsoku/>
              <w:overflowPunct/>
              <w:topLinePunct w:val="0"/>
              <w:bidi w:val="0"/>
              <w:spacing w:beforeAutospacing="0" w:afterAutospacing="0" w:line="560" w:lineRule="exact"/>
              <w:ind w:left="0"/>
              <w:jc w:val="center"/>
              <w:rPr>
                <w:b/>
                <w:color w:val="auto"/>
                <w:highlight w:val="none"/>
              </w:rPr>
            </w:pPr>
            <w:r>
              <w:rPr>
                <w:b/>
                <w:color w:val="auto"/>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8" w:type="dxa"/>
            <w:noWrap w:val="0"/>
            <w:vAlign w:val="center"/>
          </w:tcPr>
          <w:p>
            <w:pPr>
              <w:pageBreakBefore w:val="0"/>
              <w:numPr>
                <w:ilvl w:val="0"/>
                <w:numId w:val="1"/>
              </w:numPr>
              <w:kinsoku/>
              <w:overflowPunct/>
              <w:topLinePunct w:val="0"/>
              <w:bidi w:val="0"/>
              <w:spacing w:beforeAutospacing="0" w:afterAutospacing="0" w:line="560" w:lineRule="exact"/>
              <w:ind w:left="0"/>
              <w:jc w:val="right"/>
              <w:rPr>
                <w:color w:val="auto"/>
                <w:highlight w:val="none"/>
              </w:rPr>
            </w:pPr>
          </w:p>
        </w:tc>
        <w:tc>
          <w:tcPr>
            <w:tcW w:w="7645" w:type="dxa"/>
            <w:noWrap w:val="0"/>
            <w:vAlign w:val="center"/>
          </w:tcPr>
          <w:p>
            <w:pPr>
              <w:pageBreakBefore w:val="0"/>
              <w:kinsoku/>
              <w:overflowPunct/>
              <w:topLinePunct w:val="0"/>
              <w:bidi w:val="0"/>
              <w:spacing w:beforeAutospacing="0" w:afterAutospacing="0" w:line="560" w:lineRule="exact"/>
              <w:ind w:left="0"/>
              <w:rPr>
                <w:color w:val="auto"/>
                <w:highlight w:val="none"/>
              </w:rPr>
            </w:pPr>
            <w:r>
              <w:rPr>
                <w:rFonts w:hint="eastAsia"/>
                <w:color w:val="auto"/>
                <w:highlight w:val="none"/>
              </w:rPr>
              <w:t>不具备采购文件所列的资格要求，或未提交相应的资格证明资料（详见采购公告）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8" w:type="dxa"/>
            <w:noWrap w:val="0"/>
            <w:vAlign w:val="center"/>
          </w:tcPr>
          <w:p>
            <w:pPr>
              <w:pageBreakBefore w:val="0"/>
              <w:numPr>
                <w:ilvl w:val="0"/>
                <w:numId w:val="1"/>
              </w:numPr>
              <w:kinsoku/>
              <w:overflowPunct/>
              <w:topLinePunct w:val="0"/>
              <w:bidi w:val="0"/>
              <w:spacing w:beforeAutospacing="0" w:afterAutospacing="0" w:line="560" w:lineRule="exact"/>
              <w:ind w:left="0"/>
              <w:jc w:val="right"/>
              <w:rPr>
                <w:color w:val="auto"/>
                <w:highlight w:val="none"/>
              </w:rPr>
            </w:pPr>
          </w:p>
        </w:tc>
        <w:tc>
          <w:tcPr>
            <w:tcW w:w="7645" w:type="dxa"/>
            <w:noWrap w:val="0"/>
            <w:vAlign w:val="center"/>
          </w:tcPr>
          <w:p>
            <w:pPr>
              <w:pageBreakBefore w:val="0"/>
              <w:kinsoku/>
              <w:overflowPunct/>
              <w:topLinePunct w:val="0"/>
              <w:bidi w:val="0"/>
              <w:spacing w:beforeAutospacing="0" w:afterAutospacing="0" w:line="560" w:lineRule="exact"/>
              <w:ind w:left="0"/>
              <w:rPr>
                <w:rFonts w:hint="eastAsia"/>
                <w:color w:val="auto"/>
                <w:highlight w:val="none"/>
              </w:rPr>
            </w:pPr>
            <w:r>
              <w:rPr>
                <w:rFonts w:hint="eastAsia"/>
                <w:color w:val="auto"/>
                <w:highlight w:val="none"/>
              </w:rPr>
              <w:t>不具备国家有关法律规定的有关资质的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313" w:type="dxa"/>
            <w:gridSpan w:val="2"/>
            <w:noWrap w:val="0"/>
            <w:vAlign w:val="center"/>
          </w:tcPr>
          <w:p>
            <w:pPr>
              <w:pageBreakBefore w:val="0"/>
              <w:kinsoku/>
              <w:overflowPunct/>
              <w:topLinePunct w:val="0"/>
              <w:bidi w:val="0"/>
              <w:spacing w:beforeAutospacing="0" w:afterAutospacing="0" w:line="560" w:lineRule="exact"/>
              <w:ind w:left="0"/>
              <w:jc w:val="center"/>
              <w:rPr>
                <w:b/>
                <w:color w:val="auto"/>
                <w:highlight w:val="none"/>
              </w:rPr>
            </w:pPr>
            <w:r>
              <w:rPr>
                <w:b/>
                <w:color w:val="auto"/>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8" w:type="dxa"/>
            <w:noWrap w:val="0"/>
            <w:vAlign w:val="center"/>
          </w:tcPr>
          <w:p>
            <w:pPr>
              <w:pageBreakBefore w:val="0"/>
              <w:numPr>
                <w:ilvl w:val="0"/>
                <w:numId w:val="2"/>
              </w:numPr>
              <w:kinsoku/>
              <w:overflowPunct/>
              <w:topLinePunct w:val="0"/>
              <w:bidi w:val="0"/>
              <w:spacing w:beforeAutospacing="0" w:afterAutospacing="0" w:line="560" w:lineRule="exact"/>
              <w:ind w:left="0"/>
              <w:jc w:val="right"/>
              <w:rPr>
                <w:color w:val="auto"/>
                <w:highlight w:val="none"/>
              </w:rPr>
            </w:pPr>
          </w:p>
        </w:tc>
        <w:tc>
          <w:tcPr>
            <w:tcW w:w="7645" w:type="dxa"/>
            <w:noWrap w:val="0"/>
            <w:vAlign w:val="center"/>
          </w:tcPr>
          <w:p>
            <w:pPr>
              <w:pageBreakBefore w:val="0"/>
              <w:kinsoku/>
              <w:overflowPunct/>
              <w:topLinePunct w:val="0"/>
              <w:bidi w:val="0"/>
              <w:spacing w:beforeAutospacing="0" w:afterAutospacing="0" w:line="560" w:lineRule="exact"/>
              <w:ind w:left="0"/>
              <w:rPr>
                <w:color w:val="auto"/>
                <w:highlight w:val="none"/>
              </w:rPr>
            </w:pPr>
            <w:r>
              <w:rPr>
                <w:color w:val="auto"/>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8" w:type="dxa"/>
            <w:noWrap w:val="0"/>
            <w:vAlign w:val="center"/>
          </w:tcPr>
          <w:p>
            <w:pPr>
              <w:pageBreakBefore w:val="0"/>
              <w:numPr>
                <w:ilvl w:val="0"/>
                <w:numId w:val="2"/>
              </w:numPr>
              <w:kinsoku/>
              <w:overflowPunct/>
              <w:topLinePunct w:val="0"/>
              <w:bidi w:val="0"/>
              <w:spacing w:beforeAutospacing="0" w:afterAutospacing="0" w:line="560" w:lineRule="exact"/>
              <w:ind w:left="0"/>
              <w:jc w:val="right"/>
              <w:rPr>
                <w:color w:val="auto"/>
                <w:highlight w:val="none"/>
              </w:rPr>
            </w:pPr>
          </w:p>
        </w:tc>
        <w:tc>
          <w:tcPr>
            <w:tcW w:w="7645" w:type="dxa"/>
            <w:noWrap w:val="0"/>
            <w:vAlign w:val="center"/>
          </w:tcPr>
          <w:p>
            <w:pPr>
              <w:pageBreakBefore w:val="0"/>
              <w:kinsoku/>
              <w:overflowPunct/>
              <w:topLinePunct w:val="0"/>
              <w:bidi w:val="0"/>
              <w:spacing w:beforeAutospacing="0" w:afterAutospacing="0" w:line="560" w:lineRule="exact"/>
              <w:ind w:left="0"/>
              <w:rPr>
                <w:color w:val="auto"/>
                <w:highlight w:val="none"/>
              </w:rPr>
            </w:pPr>
            <w:r>
              <w:rPr>
                <w:color w:val="auto"/>
                <w:highlight w:val="none"/>
              </w:rPr>
              <w:t>采购文件未规定允许有替代方案时，同时提供两套或两套以上的投标方案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8" w:type="dxa"/>
            <w:noWrap w:val="0"/>
            <w:vAlign w:val="center"/>
          </w:tcPr>
          <w:p>
            <w:pPr>
              <w:pageBreakBefore w:val="0"/>
              <w:numPr>
                <w:ilvl w:val="0"/>
                <w:numId w:val="2"/>
              </w:numPr>
              <w:kinsoku/>
              <w:overflowPunct/>
              <w:topLinePunct w:val="0"/>
              <w:bidi w:val="0"/>
              <w:spacing w:beforeAutospacing="0" w:afterAutospacing="0" w:line="560" w:lineRule="exact"/>
              <w:ind w:left="0"/>
              <w:jc w:val="right"/>
              <w:rPr>
                <w:color w:val="auto"/>
                <w:highlight w:val="none"/>
              </w:rPr>
            </w:pPr>
          </w:p>
        </w:tc>
        <w:tc>
          <w:tcPr>
            <w:tcW w:w="7645" w:type="dxa"/>
            <w:noWrap w:val="0"/>
            <w:vAlign w:val="center"/>
          </w:tcPr>
          <w:p>
            <w:pPr>
              <w:pageBreakBefore w:val="0"/>
              <w:kinsoku/>
              <w:overflowPunct/>
              <w:topLinePunct w:val="0"/>
              <w:bidi w:val="0"/>
              <w:spacing w:beforeAutospacing="0" w:afterAutospacing="0" w:line="560" w:lineRule="exact"/>
              <w:ind w:left="0"/>
              <w:rPr>
                <w:color w:val="auto"/>
                <w:highlight w:val="none"/>
              </w:rPr>
            </w:pPr>
            <w:r>
              <w:rPr>
                <w:color w:val="auto"/>
                <w:highlight w:val="none"/>
              </w:rPr>
              <w:t>投标总价或分项报价高于财政预算限额的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8" w:type="dxa"/>
            <w:noWrap w:val="0"/>
            <w:vAlign w:val="center"/>
          </w:tcPr>
          <w:p>
            <w:pPr>
              <w:pageBreakBefore w:val="0"/>
              <w:numPr>
                <w:ilvl w:val="0"/>
                <w:numId w:val="2"/>
              </w:numPr>
              <w:kinsoku/>
              <w:overflowPunct/>
              <w:topLinePunct w:val="0"/>
              <w:bidi w:val="0"/>
              <w:spacing w:beforeAutospacing="0" w:afterAutospacing="0" w:line="560" w:lineRule="exact"/>
              <w:ind w:left="0"/>
              <w:jc w:val="right"/>
              <w:rPr>
                <w:color w:val="auto"/>
                <w:highlight w:val="none"/>
              </w:rPr>
            </w:pPr>
          </w:p>
        </w:tc>
        <w:tc>
          <w:tcPr>
            <w:tcW w:w="7645" w:type="dxa"/>
            <w:noWrap w:val="0"/>
            <w:vAlign w:val="center"/>
          </w:tcPr>
          <w:p>
            <w:pPr>
              <w:pageBreakBefore w:val="0"/>
              <w:kinsoku/>
              <w:overflowPunct/>
              <w:topLinePunct w:val="0"/>
              <w:bidi w:val="0"/>
              <w:spacing w:beforeAutospacing="0" w:afterAutospacing="0" w:line="560" w:lineRule="exact"/>
              <w:ind w:left="0"/>
              <w:rPr>
                <w:color w:val="auto"/>
                <w:highlight w:val="none"/>
              </w:rPr>
            </w:pPr>
            <w:r>
              <w:rPr>
                <w:color w:val="auto"/>
                <w:highlight w:val="none"/>
              </w:rPr>
              <w:t>同一项目出现两个或以上报价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68" w:type="dxa"/>
            <w:noWrap w:val="0"/>
            <w:vAlign w:val="center"/>
          </w:tcPr>
          <w:p>
            <w:pPr>
              <w:pageBreakBefore w:val="0"/>
              <w:numPr>
                <w:ilvl w:val="0"/>
                <w:numId w:val="2"/>
              </w:numPr>
              <w:kinsoku/>
              <w:overflowPunct/>
              <w:topLinePunct w:val="0"/>
              <w:bidi w:val="0"/>
              <w:spacing w:beforeAutospacing="0" w:afterAutospacing="0" w:line="560" w:lineRule="exact"/>
              <w:ind w:left="0"/>
              <w:jc w:val="right"/>
              <w:rPr>
                <w:color w:val="auto"/>
                <w:highlight w:val="none"/>
              </w:rPr>
            </w:pPr>
          </w:p>
        </w:tc>
        <w:tc>
          <w:tcPr>
            <w:tcW w:w="7645" w:type="dxa"/>
            <w:noWrap w:val="0"/>
            <w:vAlign w:val="center"/>
          </w:tcPr>
          <w:p>
            <w:pPr>
              <w:pageBreakBefore w:val="0"/>
              <w:kinsoku/>
              <w:overflowPunct/>
              <w:topLinePunct w:val="0"/>
              <w:bidi w:val="0"/>
              <w:spacing w:beforeAutospacing="0" w:afterAutospacing="0" w:line="560" w:lineRule="exact"/>
              <w:ind w:left="0"/>
              <w:rPr>
                <w:color w:val="auto"/>
                <w:highlight w:val="none"/>
              </w:rPr>
            </w:pPr>
            <w:r>
              <w:rPr>
                <w:rFonts w:hint="eastAsia"/>
                <w:color w:val="auto"/>
                <w:highlight w:val="none"/>
              </w:rPr>
              <w:t>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68" w:type="dxa"/>
            <w:noWrap w:val="0"/>
            <w:vAlign w:val="center"/>
          </w:tcPr>
          <w:p>
            <w:pPr>
              <w:pageBreakBefore w:val="0"/>
              <w:numPr>
                <w:ilvl w:val="0"/>
                <w:numId w:val="2"/>
              </w:numPr>
              <w:kinsoku/>
              <w:overflowPunct/>
              <w:topLinePunct w:val="0"/>
              <w:bidi w:val="0"/>
              <w:spacing w:beforeAutospacing="0" w:afterAutospacing="0" w:line="560" w:lineRule="exact"/>
              <w:ind w:left="0"/>
              <w:jc w:val="right"/>
              <w:rPr>
                <w:color w:val="auto"/>
                <w:highlight w:val="none"/>
              </w:rPr>
            </w:pPr>
          </w:p>
        </w:tc>
        <w:tc>
          <w:tcPr>
            <w:tcW w:w="7645" w:type="dxa"/>
            <w:noWrap w:val="0"/>
            <w:vAlign w:val="center"/>
          </w:tcPr>
          <w:p>
            <w:pPr>
              <w:pageBreakBefore w:val="0"/>
              <w:kinsoku/>
              <w:overflowPunct/>
              <w:topLinePunct w:val="0"/>
              <w:bidi w:val="0"/>
              <w:spacing w:beforeAutospacing="0" w:afterAutospacing="0" w:line="560" w:lineRule="exact"/>
              <w:ind w:left="0"/>
              <w:rPr>
                <w:color w:val="auto"/>
                <w:highlight w:val="none"/>
              </w:rPr>
            </w:pPr>
            <w:r>
              <w:rPr>
                <w:color w:val="auto"/>
                <w:highlight w:val="none"/>
              </w:rPr>
              <w:t>投标报价有缺漏项目或对采购文件规定的服务清单项目及数量进行修改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8" w:type="dxa"/>
            <w:noWrap w:val="0"/>
            <w:vAlign w:val="center"/>
          </w:tcPr>
          <w:p>
            <w:pPr>
              <w:pageBreakBefore w:val="0"/>
              <w:numPr>
                <w:ilvl w:val="0"/>
                <w:numId w:val="2"/>
              </w:numPr>
              <w:kinsoku/>
              <w:overflowPunct/>
              <w:topLinePunct w:val="0"/>
              <w:bidi w:val="0"/>
              <w:spacing w:beforeAutospacing="0" w:afterAutospacing="0" w:line="560" w:lineRule="exact"/>
              <w:ind w:left="0"/>
              <w:jc w:val="right"/>
              <w:rPr>
                <w:color w:val="auto"/>
                <w:highlight w:val="none"/>
              </w:rPr>
            </w:pPr>
          </w:p>
        </w:tc>
        <w:tc>
          <w:tcPr>
            <w:tcW w:w="7645" w:type="dxa"/>
            <w:noWrap w:val="0"/>
            <w:vAlign w:val="center"/>
          </w:tcPr>
          <w:p>
            <w:pPr>
              <w:pageBreakBefore w:val="0"/>
              <w:kinsoku/>
              <w:overflowPunct/>
              <w:topLinePunct w:val="0"/>
              <w:bidi w:val="0"/>
              <w:spacing w:beforeAutospacing="0" w:afterAutospacing="0" w:line="560" w:lineRule="exact"/>
              <w:ind w:left="0"/>
              <w:rPr>
                <w:color w:val="auto"/>
                <w:highlight w:val="none"/>
              </w:rPr>
            </w:pPr>
            <w:r>
              <w:rPr>
                <w:color w:val="auto"/>
                <w:highlight w:val="none"/>
              </w:rPr>
              <w:t>投标文件载明的服务期（完工期）超过采购文件规定的期限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noWrap w:val="0"/>
            <w:vAlign w:val="center"/>
          </w:tcPr>
          <w:p>
            <w:pPr>
              <w:pageBreakBefore w:val="0"/>
              <w:numPr>
                <w:ilvl w:val="0"/>
                <w:numId w:val="2"/>
              </w:numPr>
              <w:kinsoku/>
              <w:overflowPunct/>
              <w:topLinePunct w:val="0"/>
              <w:bidi w:val="0"/>
              <w:spacing w:beforeAutospacing="0" w:afterAutospacing="0" w:line="560" w:lineRule="exact"/>
              <w:ind w:left="0"/>
              <w:jc w:val="right"/>
              <w:rPr>
                <w:color w:val="auto"/>
                <w:highlight w:val="none"/>
              </w:rPr>
            </w:pPr>
          </w:p>
        </w:tc>
        <w:tc>
          <w:tcPr>
            <w:tcW w:w="7645" w:type="dxa"/>
            <w:noWrap w:val="0"/>
            <w:vAlign w:val="center"/>
          </w:tcPr>
          <w:p>
            <w:pPr>
              <w:pageBreakBefore w:val="0"/>
              <w:kinsoku/>
              <w:overflowPunct/>
              <w:topLinePunct w:val="0"/>
              <w:bidi w:val="0"/>
              <w:spacing w:beforeAutospacing="0" w:afterAutospacing="0" w:line="560" w:lineRule="exact"/>
              <w:ind w:left="0"/>
              <w:rPr>
                <w:color w:val="auto"/>
                <w:highlight w:val="none"/>
              </w:rPr>
            </w:pPr>
            <w:r>
              <w:rPr>
                <w:color w:val="auto"/>
                <w:highlight w:val="none"/>
              </w:rPr>
              <w:t>投标文件载明的免费保修期低于采购文件规定的期限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8" w:type="dxa"/>
            <w:noWrap w:val="0"/>
            <w:vAlign w:val="center"/>
          </w:tcPr>
          <w:p>
            <w:pPr>
              <w:pageBreakBefore w:val="0"/>
              <w:numPr>
                <w:ilvl w:val="0"/>
                <w:numId w:val="2"/>
              </w:numPr>
              <w:kinsoku/>
              <w:overflowPunct/>
              <w:topLinePunct w:val="0"/>
              <w:bidi w:val="0"/>
              <w:spacing w:beforeAutospacing="0" w:afterAutospacing="0" w:line="560" w:lineRule="exact"/>
              <w:ind w:left="0"/>
              <w:jc w:val="right"/>
              <w:rPr>
                <w:color w:val="auto"/>
                <w:highlight w:val="none"/>
              </w:rPr>
            </w:pPr>
          </w:p>
        </w:tc>
        <w:tc>
          <w:tcPr>
            <w:tcW w:w="7645" w:type="dxa"/>
            <w:noWrap w:val="0"/>
            <w:vAlign w:val="center"/>
          </w:tcPr>
          <w:p>
            <w:pPr>
              <w:pageBreakBefore w:val="0"/>
              <w:kinsoku/>
              <w:overflowPunct/>
              <w:topLinePunct w:val="0"/>
              <w:bidi w:val="0"/>
              <w:spacing w:beforeAutospacing="0" w:afterAutospacing="0" w:line="560" w:lineRule="exact"/>
              <w:ind w:left="0"/>
              <w:rPr>
                <w:color w:val="auto"/>
                <w:highlight w:val="none"/>
              </w:rPr>
            </w:pPr>
            <w:r>
              <w:rPr>
                <w:color w:val="auto"/>
                <w:highlight w:val="none"/>
              </w:rPr>
              <w:t xml:space="preserve">所投产品、工程、服务在质量、技术、方案等方面没有实质性满足采购文件要求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noWrap w:val="0"/>
            <w:vAlign w:val="center"/>
          </w:tcPr>
          <w:p>
            <w:pPr>
              <w:pageBreakBefore w:val="0"/>
              <w:numPr>
                <w:ilvl w:val="0"/>
                <w:numId w:val="2"/>
              </w:numPr>
              <w:kinsoku/>
              <w:overflowPunct/>
              <w:topLinePunct w:val="0"/>
              <w:bidi w:val="0"/>
              <w:spacing w:beforeAutospacing="0" w:afterAutospacing="0" w:line="560" w:lineRule="exact"/>
              <w:ind w:left="0"/>
              <w:jc w:val="right"/>
              <w:rPr>
                <w:color w:val="auto"/>
                <w:highlight w:val="none"/>
              </w:rPr>
            </w:pPr>
          </w:p>
        </w:tc>
        <w:tc>
          <w:tcPr>
            <w:tcW w:w="7645" w:type="dxa"/>
            <w:noWrap w:val="0"/>
            <w:vAlign w:val="center"/>
          </w:tcPr>
          <w:p>
            <w:pPr>
              <w:pageBreakBefore w:val="0"/>
              <w:kinsoku/>
              <w:overflowPunct/>
              <w:topLinePunct w:val="0"/>
              <w:bidi w:val="0"/>
              <w:spacing w:beforeAutospacing="0" w:afterAutospacing="0" w:line="560" w:lineRule="exact"/>
              <w:ind w:left="0"/>
              <w:rPr>
                <w:color w:val="auto"/>
                <w:highlight w:val="none"/>
              </w:rPr>
            </w:pPr>
            <w:r>
              <w:rPr>
                <w:rFonts w:hint="eastAsia"/>
                <w:color w:val="auto"/>
                <w:highlight w:val="none"/>
              </w:rPr>
              <w:t>未按采购文件要求的格式和内容提供</w:t>
            </w:r>
            <w:r>
              <w:rPr>
                <w:color w:val="auto"/>
                <w:highlight w:val="none"/>
              </w:rPr>
              <w:t>《</w:t>
            </w:r>
            <w:r>
              <w:rPr>
                <w:rFonts w:hint="eastAsia"/>
                <w:color w:val="auto"/>
                <w:highlight w:val="none"/>
              </w:rPr>
              <w:t>投标函》、《政府采购投标承诺函》；未按采购文件对投标文件组成的要求提供投标文件的（投标文件组成不完整）；投标文件的数量、制作、密封、标记、盖章不符合采购文件要求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68" w:type="dxa"/>
            <w:noWrap w:val="0"/>
            <w:vAlign w:val="center"/>
          </w:tcPr>
          <w:p>
            <w:pPr>
              <w:pageBreakBefore w:val="0"/>
              <w:numPr>
                <w:ilvl w:val="0"/>
                <w:numId w:val="2"/>
              </w:numPr>
              <w:kinsoku/>
              <w:overflowPunct/>
              <w:topLinePunct w:val="0"/>
              <w:bidi w:val="0"/>
              <w:spacing w:beforeAutospacing="0" w:afterAutospacing="0" w:line="560" w:lineRule="exact"/>
              <w:ind w:left="0"/>
              <w:jc w:val="right"/>
              <w:rPr>
                <w:color w:val="auto"/>
                <w:highlight w:val="none"/>
              </w:rPr>
            </w:pPr>
          </w:p>
        </w:tc>
        <w:tc>
          <w:tcPr>
            <w:tcW w:w="7645" w:type="dxa"/>
            <w:noWrap w:val="0"/>
            <w:vAlign w:val="center"/>
          </w:tcPr>
          <w:p>
            <w:pPr>
              <w:pageBreakBefore w:val="0"/>
              <w:kinsoku/>
              <w:overflowPunct/>
              <w:topLinePunct w:val="0"/>
              <w:bidi w:val="0"/>
              <w:spacing w:beforeAutospacing="0" w:afterAutospacing="0" w:line="560" w:lineRule="exact"/>
              <w:ind w:left="0"/>
              <w:rPr>
                <w:color w:val="auto"/>
                <w:highlight w:val="none"/>
              </w:rPr>
            </w:pPr>
            <w:r>
              <w:rPr>
                <w:color w:val="auto"/>
                <w:highlight w:val="none"/>
              </w:rPr>
              <w:t>法律、法规规定的其他情形</w:t>
            </w:r>
          </w:p>
        </w:tc>
      </w:tr>
    </w:tbl>
    <w:p>
      <w:pPr>
        <w:pageBreakBefore w:val="0"/>
        <w:kinsoku/>
        <w:overflowPunct/>
        <w:topLinePunct w:val="0"/>
        <w:bidi w:val="0"/>
        <w:spacing w:beforeAutospacing="0" w:afterAutospacing="0" w:line="560" w:lineRule="exact"/>
        <w:ind w:left="0"/>
        <w:jc w:val="both"/>
        <w:rPr>
          <w:rFonts w:hint="eastAsia" w:ascii="华文中宋" w:hAnsi="华文中宋" w:eastAsia="华文中宋"/>
          <w:b/>
          <w:color w:val="auto"/>
          <w:sz w:val="120"/>
          <w:szCs w:val="120"/>
          <w:highlight w:val="none"/>
          <w:shd w:val="clear" w:color="FFFFFF" w:fill="D9D9D9"/>
        </w:rPr>
      </w:pPr>
    </w:p>
    <w:p>
      <w:pPr>
        <w:pageBreakBefore w:val="0"/>
        <w:widowControl/>
        <w:kinsoku/>
        <w:overflowPunct/>
        <w:topLinePunct w:val="0"/>
        <w:bidi w:val="0"/>
        <w:spacing w:beforeAutospacing="0" w:afterAutospacing="0" w:line="560" w:lineRule="exact"/>
        <w:ind w:left="0"/>
        <w:jc w:val="left"/>
        <w:rPr>
          <w:rFonts w:ascii="仿宋" w:hAnsi="仿宋" w:eastAsia="仿宋" w:cs="宋体"/>
          <w:color w:val="auto"/>
          <w:kern w:val="0"/>
          <w:sz w:val="32"/>
          <w:szCs w:val="32"/>
          <w:highlight w:val="none"/>
        </w:rPr>
      </w:pPr>
    </w:p>
    <w:p>
      <w:pPr>
        <w:pageBreakBefore w:val="0"/>
        <w:kinsoku/>
        <w:overflowPunct/>
        <w:topLinePunct w:val="0"/>
        <w:bidi w:val="0"/>
        <w:spacing w:beforeAutospacing="0" w:afterAutospacing="0" w:line="560" w:lineRule="exact"/>
        <w:ind w:left="0"/>
        <w:rPr>
          <w:rFonts w:ascii="黑体" w:hAnsi="宋体" w:eastAsia="黑体" w:cs="宋体"/>
          <w:color w:val="auto"/>
          <w:sz w:val="36"/>
          <w:szCs w:val="36"/>
          <w:highlight w:val="none"/>
        </w:rPr>
        <w:sectPr>
          <w:footerReference r:id="rId3" w:type="default"/>
          <w:pgSz w:w="11906" w:h="16838"/>
          <w:pgMar w:top="1418" w:right="1474" w:bottom="1091" w:left="1588" w:header="851" w:footer="992" w:gutter="0"/>
          <w:pgNumType w:fmt="decimal" w:start="1"/>
          <w:cols w:space="720" w:num="1"/>
          <w:docGrid w:type="lines" w:linePitch="312" w:charSpace="0"/>
        </w:sectPr>
      </w:pPr>
    </w:p>
    <w:p>
      <w:pPr>
        <w:pageBreakBefore w:val="0"/>
        <w:widowControl/>
        <w:numPr>
          <w:ilvl w:val="0"/>
          <w:numId w:val="3"/>
        </w:numPr>
        <w:tabs>
          <w:tab w:val="left" w:pos="0"/>
        </w:tabs>
        <w:kinsoku/>
        <w:overflowPunct/>
        <w:topLinePunct w:val="0"/>
        <w:bidi w:val="0"/>
        <w:spacing w:beforeAutospacing="0" w:afterAutospacing="0" w:line="560" w:lineRule="exact"/>
        <w:ind w:left="0"/>
        <w:jc w:val="left"/>
        <w:rPr>
          <w:rFonts w:hint="eastAsia" w:ascii="黑体" w:hAnsi="宋体" w:eastAsia="黑体" w:cs="宋体"/>
          <w:b/>
          <w:color w:val="auto"/>
          <w:kern w:val="0"/>
          <w:sz w:val="32"/>
          <w:szCs w:val="32"/>
          <w:highlight w:val="none"/>
          <w:lang w:val="en-US" w:eastAsia="zh-CN"/>
        </w:rPr>
      </w:pPr>
      <w:r>
        <w:rPr>
          <w:rFonts w:hint="eastAsia" w:ascii="黑体" w:hAnsi="宋体" w:eastAsia="黑体" w:cs="宋体"/>
          <w:b/>
          <w:color w:val="auto"/>
          <w:kern w:val="0"/>
          <w:sz w:val="32"/>
          <w:szCs w:val="32"/>
          <w:highlight w:val="none"/>
          <w:lang w:val="en-US" w:eastAsia="zh-CN"/>
        </w:rPr>
        <w:t>采购项目概况</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default" w:ascii="仿宋" w:hAnsi="仿宋" w:eastAsia="仿宋" w:cs="仿宋"/>
          <w:color w:val="auto"/>
          <w:sz w:val="30"/>
          <w:szCs w:val="30"/>
          <w:highlight w:val="none"/>
          <w:u w:val="single"/>
          <w:lang w:val="en-US" w:eastAsia="zh-CN"/>
        </w:rPr>
      </w:pPr>
      <w:r>
        <w:rPr>
          <w:rFonts w:hint="eastAsia" w:ascii="仿宋" w:hAnsi="仿宋" w:eastAsia="仿宋" w:cs="仿宋"/>
          <w:color w:val="auto"/>
          <w:sz w:val="30"/>
          <w:szCs w:val="30"/>
          <w:highlight w:val="none"/>
          <w:u w:val="single"/>
          <w:lang w:val="en-US" w:eastAsia="zh-CN"/>
        </w:rPr>
        <w:t>加强聚龙山工作点的管理、监督和保障，坑梓街道拟采购安保服务，与第三方公司签订合同，由第三方公司选派安保人员协助做好聚龙山工作点的安保护卫服务，主要负责工作点的安保护卫工作。</w:t>
      </w:r>
    </w:p>
    <w:p>
      <w:pPr>
        <w:pStyle w:val="9"/>
        <w:pageBreakBefore w:val="0"/>
        <w:numPr>
          <w:ilvl w:val="0"/>
          <w:numId w:val="0"/>
        </w:numPr>
        <w:kinsoku/>
        <w:overflowPunct/>
        <w:topLinePunct w:val="0"/>
        <w:bidi w:val="0"/>
        <w:spacing w:beforeAutospacing="0" w:afterAutospacing="0" w:line="560" w:lineRule="exact"/>
        <w:ind w:left="0"/>
        <w:rPr>
          <w:rFonts w:hint="eastAsia" w:ascii="仿宋" w:hAnsi="仿宋" w:eastAsia="仿宋" w:cs="仿宋"/>
          <w:b/>
          <w:bCs/>
          <w:color w:val="auto"/>
          <w:kern w:val="2"/>
          <w:sz w:val="30"/>
          <w:szCs w:val="30"/>
          <w:highlight w:val="none"/>
          <w:lang w:val="en-US" w:eastAsia="zh-CN" w:bidi="ar-SA"/>
        </w:rPr>
      </w:pPr>
      <w:r>
        <w:rPr>
          <w:rFonts w:hint="eastAsia" w:ascii="黑体" w:hAnsi="宋体" w:eastAsia="黑体" w:cs="宋体"/>
          <w:b/>
          <w:color w:val="auto"/>
          <w:kern w:val="0"/>
          <w:sz w:val="32"/>
          <w:szCs w:val="32"/>
          <w:highlight w:val="none"/>
          <w:lang w:val="en-US" w:eastAsia="zh-CN" w:bidi="ar-SA"/>
        </w:rPr>
        <w:t>二、项目管理和服务要求</w:t>
      </w:r>
    </w:p>
    <w:p>
      <w:pPr>
        <w:pStyle w:val="9"/>
        <w:pageBreakBefore w:val="0"/>
        <w:numPr>
          <w:ilvl w:val="0"/>
          <w:numId w:val="0"/>
        </w:numPr>
        <w:kinsoku/>
        <w:overflowPunct/>
        <w:topLinePunct w:val="0"/>
        <w:bidi w:val="0"/>
        <w:spacing w:beforeAutospacing="0" w:afterAutospacing="0" w:line="560" w:lineRule="exact"/>
        <w:ind w:left="0" w:leftChars="0"/>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（一）服务方式：</w:t>
      </w:r>
    </w:p>
    <w:p>
      <w:pPr>
        <w:pStyle w:val="24"/>
        <w:pageBreakBefore w:val="0"/>
        <w:tabs>
          <w:tab w:val="left" w:pos="0"/>
        </w:tabs>
        <w:kinsoku/>
        <w:overflowPunct/>
        <w:topLinePunct w:val="0"/>
        <w:bidi w:val="0"/>
        <w:adjustRightInd w:val="0"/>
        <w:snapToGrid w:val="0"/>
        <w:spacing w:beforeAutospacing="0" w:afterAutospacing="0" w:line="560" w:lineRule="exact"/>
        <w:ind w:left="0" w:firstLine="600" w:firstLineChars="200"/>
        <w:outlineLvl w:val="1"/>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安保服务单位</w:t>
      </w:r>
      <w:r>
        <w:rPr>
          <w:rFonts w:hint="default" w:ascii="仿宋" w:hAnsi="仿宋" w:eastAsia="仿宋" w:cs="仿宋"/>
          <w:color w:val="auto"/>
          <w:kern w:val="2"/>
          <w:sz w:val="30"/>
          <w:szCs w:val="30"/>
          <w:highlight w:val="none"/>
          <w:lang w:val="en-US" w:eastAsia="zh-CN" w:bidi="ar-SA"/>
        </w:rPr>
        <w:t>按乙方需求</w:t>
      </w:r>
      <w:r>
        <w:rPr>
          <w:rFonts w:hint="eastAsia" w:ascii="仿宋" w:hAnsi="仿宋" w:eastAsia="仿宋" w:cs="仿宋"/>
          <w:color w:val="auto"/>
          <w:kern w:val="2"/>
          <w:sz w:val="30"/>
          <w:szCs w:val="30"/>
          <w:highlight w:val="none"/>
          <w:lang w:val="en-US" w:eastAsia="zh-CN" w:bidi="ar-SA"/>
        </w:rPr>
        <w:t>提供安保护卫服务：</w:t>
      </w:r>
    </w:p>
    <w:tbl>
      <w:tblPr>
        <w:tblStyle w:val="18"/>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863"/>
        <w:gridCol w:w="6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99" w:type="dxa"/>
            <w:vAlign w:val="center"/>
          </w:tcPr>
          <w:p>
            <w:pPr>
              <w:pStyle w:val="15"/>
              <w:pageBreakBefore w:val="0"/>
              <w:widowControl/>
              <w:kinsoku/>
              <w:overflowPunct/>
              <w:topLinePunct w:val="0"/>
              <w:bidi w:val="0"/>
              <w:spacing w:before="0" w:beforeAutospacing="0" w:after="0" w:afterAutospacing="0" w:line="560" w:lineRule="exact"/>
              <w:ind w:left="0"/>
              <w:jc w:val="cente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服务方式</w:t>
            </w:r>
          </w:p>
        </w:tc>
        <w:tc>
          <w:tcPr>
            <w:tcW w:w="863" w:type="dxa"/>
            <w:vAlign w:val="center"/>
          </w:tcPr>
          <w:p>
            <w:pPr>
              <w:pStyle w:val="15"/>
              <w:pageBreakBefore w:val="0"/>
              <w:widowControl/>
              <w:kinsoku/>
              <w:overflowPunct/>
              <w:topLinePunct w:val="0"/>
              <w:bidi w:val="0"/>
              <w:spacing w:before="0" w:beforeAutospacing="0" w:after="0" w:afterAutospacing="0" w:line="560" w:lineRule="exact"/>
              <w:ind w:left="0"/>
              <w:jc w:val="cente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数量</w:t>
            </w:r>
          </w:p>
        </w:tc>
        <w:tc>
          <w:tcPr>
            <w:tcW w:w="6683" w:type="dxa"/>
            <w:vAlign w:val="center"/>
          </w:tcPr>
          <w:p>
            <w:pPr>
              <w:pStyle w:val="15"/>
              <w:pageBreakBefore w:val="0"/>
              <w:widowControl/>
              <w:kinsoku/>
              <w:overflowPunct/>
              <w:topLinePunct w:val="0"/>
              <w:bidi w:val="0"/>
              <w:spacing w:before="0" w:beforeAutospacing="0" w:after="0" w:afterAutospacing="0" w:line="560" w:lineRule="exact"/>
              <w:ind w:left="0"/>
              <w:jc w:val="cente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499" w:type="dxa"/>
            <w:vAlign w:val="center"/>
          </w:tcPr>
          <w:p>
            <w:pPr>
              <w:pStyle w:val="15"/>
              <w:pageBreakBefore w:val="0"/>
              <w:widowControl/>
              <w:kinsoku/>
              <w:overflowPunct/>
              <w:topLinePunct w:val="0"/>
              <w:bidi w:val="0"/>
              <w:spacing w:before="0" w:beforeAutospacing="0" w:after="0" w:afterAutospacing="0" w:line="560" w:lineRule="exact"/>
              <w:ind w:left="0"/>
              <w:jc w:val="cente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协助护卫</w:t>
            </w:r>
          </w:p>
        </w:tc>
        <w:tc>
          <w:tcPr>
            <w:tcW w:w="863" w:type="dxa"/>
            <w:vAlign w:val="center"/>
          </w:tcPr>
          <w:p>
            <w:pPr>
              <w:pStyle w:val="15"/>
              <w:pageBreakBefore w:val="0"/>
              <w:widowControl/>
              <w:kinsoku/>
              <w:overflowPunct/>
              <w:topLinePunct w:val="0"/>
              <w:bidi w:val="0"/>
              <w:spacing w:before="0" w:beforeAutospacing="0" w:after="0" w:afterAutospacing="0" w:line="560" w:lineRule="exact"/>
              <w:ind w:left="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4人</w:t>
            </w:r>
          </w:p>
        </w:tc>
        <w:tc>
          <w:tcPr>
            <w:tcW w:w="6683" w:type="dxa"/>
            <w:vAlign w:val="center"/>
          </w:tcPr>
          <w:p>
            <w:pPr>
              <w:pStyle w:val="15"/>
              <w:pageBreakBefore w:val="0"/>
              <w:widowControl/>
              <w:kinsoku/>
              <w:overflowPunct/>
              <w:topLinePunct w:val="0"/>
              <w:bidi w:val="0"/>
              <w:spacing w:before="0" w:beforeAutospacing="0" w:after="0" w:afterAutospacing="0" w:line="560" w:lineRule="exact"/>
              <w:ind w:left="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由安保服务单位派遣4名</w:t>
            </w:r>
            <w:r>
              <w:rPr>
                <w:rFonts w:hint="default" w:ascii="仿宋" w:hAnsi="仿宋" w:eastAsia="仿宋" w:cs="仿宋"/>
                <w:color w:val="auto"/>
                <w:kern w:val="2"/>
                <w:sz w:val="30"/>
                <w:szCs w:val="30"/>
                <w:highlight w:val="none"/>
                <w:lang w:val="en" w:eastAsia="zh-CN" w:bidi="ar-SA"/>
              </w:rPr>
              <w:t>安保</w:t>
            </w:r>
            <w:r>
              <w:rPr>
                <w:rFonts w:hint="eastAsia" w:ascii="仿宋" w:hAnsi="仿宋" w:eastAsia="仿宋" w:cs="仿宋"/>
                <w:color w:val="auto"/>
                <w:kern w:val="2"/>
                <w:sz w:val="30"/>
                <w:szCs w:val="30"/>
                <w:highlight w:val="none"/>
                <w:lang w:val="en-US" w:eastAsia="zh-CN" w:bidi="ar-SA"/>
              </w:rPr>
              <w:t>员协助</w:t>
            </w:r>
            <w:r>
              <w:rPr>
                <w:rFonts w:hint="default" w:ascii="仿宋" w:hAnsi="仿宋" w:eastAsia="仿宋" w:cs="仿宋"/>
                <w:color w:val="auto"/>
                <w:kern w:val="2"/>
                <w:sz w:val="30"/>
                <w:szCs w:val="30"/>
                <w:highlight w:val="none"/>
                <w:lang w:val="en" w:eastAsia="zh-CN" w:bidi="ar-SA"/>
              </w:rPr>
              <w:t>坑梓街道</w:t>
            </w:r>
            <w:r>
              <w:rPr>
                <w:rFonts w:hint="eastAsia" w:ascii="仿宋" w:hAnsi="仿宋" w:eastAsia="仿宋" w:cs="仿宋"/>
                <w:color w:val="auto"/>
                <w:kern w:val="2"/>
                <w:sz w:val="30"/>
                <w:szCs w:val="30"/>
                <w:highlight w:val="none"/>
                <w:lang w:val="en-US" w:eastAsia="zh-CN" w:bidi="ar-SA"/>
              </w:rPr>
              <w:t>，安保人员</w:t>
            </w:r>
            <w:r>
              <w:rPr>
                <w:rFonts w:hint="default" w:ascii="仿宋" w:hAnsi="仿宋" w:eastAsia="仿宋" w:cs="仿宋"/>
                <w:color w:val="auto"/>
                <w:kern w:val="2"/>
                <w:sz w:val="30"/>
                <w:szCs w:val="30"/>
                <w:highlight w:val="none"/>
                <w:lang w:val="en" w:eastAsia="zh-CN" w:bidi="ar-SA"/>
              </w:rPr>
              <w:t>及</w:t>
            </w:r>
            <w:r>
              <w:rPr>
                <w:rFonts w:hint="eastAsia" w:ascii="仿宋" w:hAnsi="仿宋" w:eastAsia="仿宋" w:cs="仿宋"/>
                <w:color w:val="auto"/>
                <w:kern w:val="2"/>
                <w:sz w:val="30"/>
                <w:szCs w:val="30"/>
                <w:highlight w:val="none"/>
                <w:lang w:val="en" w:eastAsia="zh-CN" w:bidi="ar-SA"/>
              </w:rPr>
              <w:t>工作地点</w:t>
            </w:r>
            <w:r>
              <w:rPr>
                <w:rFonts w:hint="eastAsia" w:ascii="仿宋" w:hAnsi="仿宋" w:eastAsia="仿宋" w:cs="仿宋"/>
                <w:color w:val="auto"/>
                <w:kern w:val="2"/>
                <w:sz w:val="30"/>
                <w:szCs w:val="30"/>
                <w:highlight w:val="none"/>
                <w:lang w:val="en-US" w:eastAsia="zh-CN" w:bidi="ar-SA"/>
              </w:rPr>
              <w:t>由</w:t>
            </w:r>
            <w:r>
              <w:rPr>
                <w:rFonts w:hint="default" w:ascii="仿宋" w:hAnsi="仿宋" w:eastAsia="仿宋" w:cs="仿宋"/>
                <w:color w:val="auto"/>
                <w:kern w:val="2"/>
                <w:sz w:val="30"/>
                <w:szCs w:val="30"/>
                <w:highlight w:val="none"/>
                <w:lang w:val="en" w:eastAsia="zh-CN" w:bidi="ar-SA"/>
              </w:rPr>
              <w:t>坑梓</w:t>
            </w:r>
            <w:r>
              <w:rPr>
                <w:rFonts w:hint="eastAsia" w:ascii="仿宋" w:hAnsi="仿宋" w:eastAsia="仿宋" w:cs="仿宋"/>
                <w:color w:val="auto"/>
                <w:kern w:val="2"/>
                <w:sz w:val="30"/>
                <w:szCs w:val="30"/>
                <w:highlight w:val="none"/>
                <w:lang w:val="en-US" w:eastAsia="zh-CN" w:bidi="ar-SA"/>
              </w:rPr>
              <w:t>街道</w:t>
            </w:r>
            <w:r>
              <w:rPr>
                <w:rFonts w:hint="default" w:ascii="仿宋" w:hAnsi="仿宋" w:eastAsia="仿宋" w:cs="仿宋"/>
                <w:color w:val="auto"/>
                <w:kern w:val="2"/>
                <w:sz w:val="30"/>
                <w:szCs w:val="30"/>
                <w:highlight w:val="none"/>
                <w:lang w:val="en" w:eastAsia="zh-CN" w:bidi="ar-SA"/>
              </w:rPr>
              <w:t>纪工委</w:t>
            </w:r>
            <w:r>
              <w:rPr>
                <w:rFonts w:hint="eastAsia" w:ascii="仿宋" w:hAnsi="仿宋" w:eastAsia="仿宋" w:cs="仿宋"/>
                <w:color w:val="auto"/>
                <w:kern w:val="2"/>
                <w:sz w:val="30"/>
                <w:szCs w:val="30"/>
                <w:highlight w:val="none"/>
                <w:lang w:val="en-US" w:eastAsia="zh-CN" w:bidi="ar-SA"/>
              </w:rPr>
              <w:t>根据实际需求进行分配。</w:t>
            </w:r>
          </w:p>
        </w:tc>
      </w:tr>
    </w:tbl>
    <w:p>
      <w:pPr>
        <w:pageBreakBefore w:val="0"/>
        <w:kinsoku/>
        <w:overflowPunct/>
        <w:topLinePunct w:val="0"/>
        <w:bidi w:val="0"/>
        <w:spacing w:beforeAutospacing="0" w:afterAutospacing="0" w:line="560" w:lineRule="exact"/>
        <w:ind w:left="0" w:firstLine="600" w:firstLineChars="200"/>
        <w:rPr>
          <w:rFonts w:hint="eastAsia" w:ascii="仿宋" w:hAnsi="仿宋" w:eastAsia="仿宋" w:cs="仿宋"/>
          <w:b/>
          <w:bCs/>
          <w:color w:val="auto"/>
          <w:sz w:val="30"/>
          <w:szCs w:val="30"/>
          <w:highlight w:val="none"/>
        </w:rPr>
      </w:pPr>
      <w:r>
        <w:rPr>
          <w:rFonts w:hint="eastAsia" w:ascii="仿宋" w:hAnsi="仿宋" w:eastAsia="仿宋" w:cs="仿宋"/>
          <w:color w:val="auto"/>
          <w:kern w:val="2"/>
          <w:sz w:val="30"/>
          <w:szCs w:val="30"/>
          <w:highlight w:val="none"/>
          <w:lang w:val="en-US" w:eastAsia="zh-CN" w:bidi="ar-SA"/>
        </w:rPr>
        <w:t>坑梓街道</w:t>
      </w:r>
      <w:r>
        <w:rPr>
          <w:rFonts w:hint="default" w:ascii="仿宋" w:hAnsi="仿宋" w:eastAsia="仿宋" w:cs="仿宋"/>
          <w:color w:val="auto"/>
          <w:kern w:val="2"/>
          <w:sz w:val="30"/>
          <w:szCs w:val="30"/>
          <w:highlight w:val="none"/>
          <w:lang w:val="en" w:eastAsia="zh-CN" w:bidi="ar-SA"/>
        </w:rPr>
        <w:t>纪工委</w:t>
      </w:r>
      <w:r>
        <w:rPr>
          <w:rFonts w:hint="eastAsia" w:ascii="仿宋" w:hAnsi="仿宋" w:eastAsia="仿宋" w:cs="仿宋"/>
          <w:color w:val="auto"/>
          <w:kern w:val="2"/>
          <w:sz w:val="30"/>
          <w:szCs w:val="30"/>
          <w:highlight w:val="none"/>
          <w:lang w:val="en-US" w:eastAsia="zh-CN" w:bidi="ar-SA"/>
        </w:rPr>
        <w:t>负责对安保服务的工作情况进行日常管理和考核。</w:t>
      </w:r>
    </w:p>
    <w:p>
      <w:pPr>
        <w:pageBreakBefore w:val="0"/>
        <w:kinsoku/>
        <w:overflowPunct/>
        <w:topLinePunct w:val="0"/>
        <w:bidi w:val="0"/>
        <w:spacing w:beforeAutospacing="0" w:afterAutospacing="0" w:line="560" w:lineRule="exact"/>
        <w:ind w:left="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val="en-US" w:eastAsia="zh-CN"/>
        </w:rPr>
        <w:t>二</w:t>
      </w:r>
      <w:r>
        <w:rPr>
          <w:rFonts w:hint="eastAsia" w:ascii="仿宋" w:hAnsi="仿宋" w:eastAsia="仿宋" w:cs="仿宋"/>
          <w:b/>
          <w:bCs/>
          <w:color w:val="auto"/>
          <w:sz w:val="30"/>
          <w:szCs w:val="30"/>
          <w:highlight w:val="none"/>
        </w:rPr>
        <w:t>）服务内容</w:t>
      </w:r>
    </w:p>
    <w:p>
      <w:pPr>
        <w:pageBreakBefore w:val="0"/>
        <w:kinsoku/>
        <w:overflowPunct/>
        <w:topLinePunct w:val="0"/>
        <w:bidi w:val="0"/>
        <w:spacing w:beforeAutospacing="0" w:afterAutospacing="0" w:line="560" w:lineRule="exact"/>
        <w:ind w:left="0" w:firstLine="600" w:firstLineChars="20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1、对发生在工作点内的刑事案件、治安案件等，安保人员应及时报告采购单位和当地公安机关及甲、乙双方相关领导，采取措施保护案发现场，依法妥善处理责任范围内的其它突发事件。</w:t>
      </w:r>
    </w:p>
    <w:p>
      <w:pPr>
        <w:pageBreakBefore w:val="0"/>
        <w:kinsoku/>
        <w:overflowPunct/>
        <w:topLinePunct w:val="0"/>
        <w:bidi w:val="0"/>
        <w:spacing w:beforeAutospacing="0" w:afterAutospacing="0" w:line="560" w:lineRule="exact"/>
        <w:ind w:left="0" w:firstLine="600" w:firstLineChars="20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2、制定和落实工作点防火、防盗、防破坏等安全防范措施，发现工作点内安全隐患，及时报告采购单位并提出整改建议和措施。</w:t>
      </w:r>
    </w:p>
    <w:p>
      <w:pPr>
        <w:pageBreakBefore w:val="0"/>
        <w:kinsoku/>
        <w:overflowPunct/>
        <w:topLinePunct w:val="0"/>
        <w:bidi w:val="0"/>
        <w:spacing w:beforeAutospacing="0" w:afterAutospacing="0" w:line="560" w:lineRule="exact"/>
        <w:ind w:left="0" w:firstLine="600" w:firstLineChars="20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3、负责进入工作点的所有人员、车辆出入核验、登记工作。</w:t>
      </w:r>
    </w:p>
    <w:p>
      <w:pPr>
        <w:pageBreakBefore w:val="0"/>
        <w:kinsoku/>
        <w:overflowPunct/>
        <w:topLinePunct w:val="0"/>
        <w:bidi w:val="0"/>
        <w:spacing w:beforeAutospacing="0" w:afterAutospacing="0" w:line="560" w:lineRule="exact"/>
        <w:ind w:left="0" w:firstLine="600" w:firstLineChars="200"/>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4、负责工作点物业设备设施、生活设施等的看管及日常保洁工作。</w:t>
      </w:r>
    </w:p>
    <w:p>
      <w:pPr>
        <w:pageBreakBefore w:val="0"/>
        <w:kinsoku/>
        <w:overflowPunct/>
        <w:topLinePunct w:val="0"/>
        <w:bidi w:val="0"/>
        <w:spacing w:beforeAutospacing="0" w:afterAutospacing="0" w:line="560" w:lineRule="exact"/>
        <w:ind w:left="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lang w:val="en-US" w:eastAsia="zh-CN"/>
        </w:rPr>
        <w:t>三）</w:t>
      </w:r>
      <w:r>
        <w:rPr>
          <w:rFonts w:hint="eastAsia" w:ascii="仿宋" w:hAnsi="仿宋" w:eastAsia="仿宋" w:cs="仿宋"/>
          <w:b/>
          <w:bCs/>
          <w:color w:val="auto"/>
          <w:sz w:val="30"/>
          <w:szCs w:val="30"/>
          <w:highlight w:val="none"/>
        </w:rPr>
        <w:t>服务要求</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1、结合实际，提供优质的安保护卫服务。安保服务单位需组织安保员每年体检1次，确保身体健康后上岗，安保服务单位须对所提供的安保服务工作负责，对安保人员行为承担法律责任。</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2、提供的安保护卫服务应当严格依照法律、法规且符合国家、省、市、区的相关法律法规规定及政策。</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3、应当严格遵守《保安服务管理条例》、保安员服务规范及职业道德要求。</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4、应及时完成委托单位交办的工作内容，避免拖延。</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5、为本项目提供服务的安保员应遵守委托单位工作纪律，服从工作安排，且不得泄漏工作中接触的委托单位及第三方的秘密。</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6、安保护卫服务：指派四名安保员在聚龙山工作点提供24小时安全护卫服务。街道办事处需提供工作人员必要的办公设备，工作人员的食宿由安保服务单位自行解决。</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7、安保服务单位指派的安保员需无条件服从采购单位的工作管理及安排，遵守采购单位制定的考勤制度。</w:t>
      </w:r>
    </w:p>
    <w:p>
      <w:pPr>
        <w:pStyle w:val="9"/>
        <w:pageBreakBefore w:val="0"/>
        <w:numPr>
          <w:ilvl w:val="0"/>
          <w:numId w:val="0"/>
        </w:numPr>
        <w:kinsoku/>
        <w:overflowPunct/>
        <w:topLinePunct w:val="0"/>
        <w:bidi w:val="0"/>
        <w:spacing w:beforeAutospacing="0" w:afterAutospacing="0" w:line="560" w:lineRule="exact"/>
        <w:ind w:left="0" w:leftChars="0"/>
        <w:rPr>
          <w:rFonts w:hint="default" w:ascii="黑体" w:hAnsi="宋体" w:eastAsia="黑体" w:cs="宋体"/>
          <w:b/>
          <w:color w:val="auto"/>
          <w:kern w:val="0"/>
          <w:sz w:val="32"/>
          <w:szCs w:val="32"/>
          <w:highlight w:val="none"/>
          <w:lang w:val="en-US" w:eastAsia="zh-CN" w:bidi="ar-SA"/>
        </w:rPr>
      </w:pPr>
      <w:r>
        <w:rPr>
          <w:rFonts w:hint="eastAsia" w:ascii="黑体" w:hAnsi="宋体" w:eastAsia="黑体" w:cs="宋体"/>
          <w:b/>
          <w:color w:val="auto"/>
          <w:kern w:val="0"/>
          <w:sz w:val="32"/>
          <w:szCs w:val="32"/>
          <w:highlight w:val="none"/>
          <w:lang w:val="en-US" w:eastAsia="zh-CN" w:bidi="ar-SA"/>
        </w:rPr>
        <w:t>三、供应商资格要求</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1、投标单位必须是在中华人民共和国境内、取得公安部门保安服务许可的保安公司（提供保安服务许可证明）；</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2、近三年内无行贿犯罪记录（提供书面承诺函，格式自拟）</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3、参加政府采购活动前三年内，在经营活动中没有重大违法记录（提供书面声明函，格式自拟）；</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4、投标单位安保人员应取得保安员上岗证，全员持证上岗；</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5、本项目不接受联合体投标。</w:t>
      </w:r>
    </w:p>
    <w:p>
      <w:pPr>
        <w:pStyle w:val="9"/>
        <w:pageBreakBefore w:val="0"/>
        <w:numPr>
          <w:ilvl w:val="0"/>
          <w:numId w:val="0"/>
        </w:numPr>
        <w:kinsoku/>
        <w:overflowPunct/>
        <w:topLinePunct w:val="0"/>
        <w:bidi w:val="0"/>
        <w:spacing w:beforeAutospacing="0" w:afterAutospacing="0" w:line="560" w:lineRule="exact"/>
        <w:ind w:left="0" w:leftChars="0"/>
        <w:rPr>
          <w:rFonts w:hint="default" w:ascii="黑体" w:hAnsi="宋体" w:eastAsia="黑体" w:cs="宋体"/>
          <w:b/>
          <w:color w:val="auto"/>
          <w:kern w:val="0"/>
          <w:sz w:val="32"/>
          <w:szCs w:val="32"/>
          <w:highlight w:val="none"/>
          <w:lang w:val="en-US" w:eastAsia="zh-CN" w:bidi="ar-SA"/>
        </w:rPr>
      </w:pPr>
      <w:r>
        <w:rPr>
          <w:rFonts w:hint="eastAsia" w:ascii="黑体" w:hAnsi="宋体" w:eastAsia="黑体" w:cs="宋体"/>
          <w:b/>
          <w:color w:val="auto"/>
          <w:kern w:val="0"/>
          <w:sz w:val="32"/>
          <w:szCs w:val="32"/>
          <w:highlight w:val="none"/>
          <w:lang w:val="en-US" w:eastAsia="zh-CN" w:bidi="ar-SA"/>
        </w:rPr>
        <w:t>四、评标定标方法</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eastAsia" w:ascii="宋体" w:hAnsi="宋体"/>
          <w:b/>
          <w:bCs/>
          <w:color w:val="auto"/>
          <w:sz w:val="28"/>
          <w:highlight w:val="none"/>
        </w:rPr>
      </w:pPr>
      <w:r>
        <w:rPr>
          <w:rFonts w:hint="eastAsia" w:ascii="仿宋" w:hAnsi="仿宋" w:eastAsia="仿宋" w:cs="仿宋"/>
          <w:color w:val="auto"/>
          <w:sz w:val="30"/>
          <w:szCs w:val="30"/>
          <w:highlight w:val="none"/>
          <w:lang w:val="en-US" w:eastAsia="zh-CN"/>
        </w:rPr>
        <w:t>本项目采用综合评分法，评审后得分由高到低顺序排列，得分相同的，按投标报价由低到高顺序排列。得分且投标报价相同的，按商务指标优劣顺序排列。</w:t>
      </w:r>
    </w:p>
    <w:p>
      <w:pPr>
        <w:pageBreakBefore w:val="0"/>
        <w:tabs>
          <w:tab w:val="left" w:pos="360"/>
        </w:tabs>
        <w:kinsoku/>
        <w:overflowPunct/>
        <w:topLinePunct w:val="0"/>
        <w:bidi w:val="0"/>
        <w:spacing w:beforeAutospacing="0" w:afterAutospacing="0" w:line="560" w:lineRule="exact"/>
        <w:ind w:left="0"/>
        <w:jc w:val="center"/>
        <w:outlineLvl w:val="0"/>
        <w:rPr>
          <w:rFonts w:hint="eastAsia" w:ascii="宋体" w:hAnsi="宋体"/>
          <w:b/>
          <w:bCs/>
          <w:color w:val="auto"/>
          <w:sz w:val="28"/>
          <w:highlight w:val="none"/>
        </w:rPr>
      </w:pPr>
    </w:p>
    <w:p>
      <w:pPr>
        <w:pageBreakBefore w:val="0"/>
        <w:tabs>
          <w:tab w:val="left" w:pos="360"/>
        </w:tabs>
        <w:kinsoku/>
        <w:overflowPunct/>
        <w:topLinePunct w:val="0"/>
        <w:bidi w:val="0"/>
        <w:spacing w:beforeAutospacing="0" w:afterAutospacing="0" w:line="560" w:lineRule="exact"/>
        <w:ind w:left="0"/>
        <w:jc w:val="center"/>
        <w:outlineLvl w:val="0"/>
        <w:rPr>
          <w:rFonts w:ascii="宋体" w:hAnsi="宋体"/>
          <w:b/>
          <w:bCs/>
          <w:color w:val="auto"/>
          <w:sz w:val="28"/>
          <w:highlight w:val="none"/>
        </w:rPr>
      </w:pPr>
      <w:r>
        <w:rPr>
          <w:rFonts w:hint="eastAsia" w:ascii="宋体" w:hAnsi="宋体"/>
          <w:b/>
          <w:bCs/>
          <w:color w:val="auto"/>
          <w:sz w:val="28"/>
          <w:highlight w:val="none"/>
        </w:rPr>
        <w:t>评分标准和细则</w:t>
      </w:r>
    </w:p>
    <w:tbl>
      <w:tblPr>
        <w:tblStyle w:val="17"/>
        <w:tblW w:w="9239" w:type="dxa"/>
        <w:jc w:val="center"/>
        <w:tblLayout w:type="fixed"/>
        <w:tblCellMar>
          <w:top w:w="45" w:type="dxa"/>
          <w:left w:w="45" w:type="dxa"/>
          <w:bottom w:w="45" w:type="dxa"/>
          <w:right w:w="45" w:type="dxa"/>
        </w:tblCellMar>
      </w:tblPr>
      <w:tblGrid>
        <w:gridCol w:w="63"/>
        <w:gridCol w:w="680"/>
        <w:gridCol w:w="588"/>
        <w:gridCol w:w="1564"/>
        <w:gridCol w:w="840"/>
        <w:gridCol w:w="5004"/>
        <w:gridCol w:w="260"/>
        <w:gridCol w:w="240"/>
      </w:tblGrid>
      <w:tr>
        <w:tblPrEx>
          <w:tblCellMar>
            <w:top w:w="45" w:type="dxa"/>
            <w:left w:w="45" w:type="dxa"/>
            <w:bottom w:w="45" w:type="dxa"/>
            <w:right w:w="45" w:type="dxa"/>
          </w:tblCellMar>
        </w:tblPrEx>
        <w:trPr>
          <w:gridBefore w:val="1"/>
          <w:wBefore w:w="63" w:type="dxa"/>
          <w:jc w:val="center"/>
        </w:trPr>
        <w:tc>
          <w:tcPr>
            <w:tcW w:w="8936" w:type="dxa"/>
            <w:gridSpan w:val="6"/>
            <w:tcBorders>
              <w:top w:val="nil"/>
              <w:left w:val="nil"/>
              <w:bottom w:val="nil"/>
              <w:right w:val="nil"/>
            </w:tcBorders>
            <w:vAlign w:val="center"/>
          </w:tcPr>
          <w:p>
            <w:pPr>
              <w:pageBreakBefore w:val="0"/>
              <w:kinsoku/>
              <w:overflowPunct/>
              <w:topLinePunct w:val="0"/>
              <w:bidi w:val="0"/>
              <w:spacing w:beforeAutospacing="0" w:afterAutospacing="0" w:line="560" w:lineRule="exact"/>
              <w:ind w:left="0" w:firstLine="420" w:firstLineChars="200"/>
              <w:rPr>
                <w:b/>
                <w:bCs/>
                <w:color w:val="auto"/>
                <w:kern w:val="2"/>
                <w:highlight w:val="none"/>
              </w:rPr>
            </w:pPr>
            <w:bookmarkStart w:id="1" w:name="InsertEnd"/>
            <w:bookmarkEnd w:id="1"/>
            <w:r>
              <w:rPr>
                <w:rFonts w:ascii="宋体" w:hAnsi="宋体" w:cs="宋体"/>
                <w:color w:val="auto"/>
                <w:kern w:val="2"/>
                <w:sz w:val="21"/>
                <w:szCs w:val="21"/>
                <w:highlight w:val="none"/>
              </w:rPr>
              <w:t>评标方法：综合评分法</w:t>
            </w:r>
          </w:p>
        </w:tc>
        <w:tc>
          <w:tcPr>
            <w:tcW w:w="240" w:type="dxa"/>
            <w:tcBorders>
              <w:top w:val="nil"/>
              <w:left w:val="nil"/>
              <w:bottom w:val="nil"/>
              <w:right w:val="nil"/>
            </w:tcBorders>
            <w:vAlign w:val="center"/>
          </w:tcPr>
          <w:p>
            <w:pPr>
              <w:pageBreakBefore w:val="0"/>
              <w:widowControl w:val="0"/>
              <w:kinsoku/>
              <w:overflowPunct/>
              <w:topLinePunct w:val="0"/>
              <w:bidi w:val="0"/>
              <w:spacing w:beforeAutospacing="0" w:afterAutospacing="0" w:line="560" w:lineRule="exact"/>
              <w:ind w:left="0"/>
              <w:jc w:val="right"/>
              <w:rPr>
                <w:rFonts w:ascii="宋体"/>
                <w:b/>
                <w:bCs/>
                <w:color w:val="auto"/>
                <w:kern w:val="2"/>
                <w:highlight w:val="none"/>
              </w:rPr>
            </w:pPr>
          </w:p>
        </w:tc>
      </w:tr>
      <w:tr>
        <w:tblPrEx>
          <w:tblCellMar>
            <w:top w:w="45" w:type="dxa"/>
            <w:left w:w="45" w:type="dxa"/>
            <w:bottom w:w="45" w:type="dxa"/>
            <w:right w:w="45" w:type="dxa"/>
          </w:tblCellMar>
        </w:tblPrEx>
        <w:trPr>
          <w:gridBefore w:val="1"/>
          <w:wBefore w:w="63" w:type="dxa"/>
          <w:jc w:val="center"/>
        </w:trPr>
        <w:tc>
          <w:tcPr>
            <w:tcW w:w="9176" w:type="dxa"/>
            <w:gridSpan w:val="7"/>
            <w:tcBorders>
              <w:top w:val="nil"/>
              <w:left w:val="nil"/>
              <w:bottom w:val="nil"/>
              <w:right w:val="nil"/>
            </w:tcBorders>
            <w:vAlign w:val="center"/>
          </w:tcPr>
          <w:p>
            <w:pPr>
              <w:pageBreakBefore w:val="0"/>
              <w:kinsoku/>
              <w:overflowPunct/>
              <w:topLinePunct w:val="0"/>
              <w:bidi w:val="0"/>
              <w:spacing w:beforeAutospacing="0" w:afterAutospacing="0" w:line="560" w:lineRule="exact"/>
              <w:ind w:left="0" w:firstLine="420"/>
              <w:rPr>
                <w:rFonts w:ascii="宋体" w:hAnsi="宋体" w:cs="宋体"/>
                <w:color w:val="auto"/>
                <w:kern w:val="2"/>
                <w:sz w:val="21"/>
                <w:szCs w:val="21"/>
                <w:highlight w:val="none"/>
              </w:rPr>
            </w:pPr>
            <w:r>
              <w:rPr>
                <w:rFonts w:ascii="宋体" w:hAnsi="宋体" w:cs="宋体"/>
                <w:color w:val="auto"/>
                <w:kern w:val="2"/>
                <w:sz w:val="21"/>
                <w:szCs w:val="21"/>
                <w:highlight w:val="none"/>
              </w:rPr>
              <w:t>综合评分法，是指</w:t>
            </w:r>
            <w:r>
              <w:rPr>
                <w:rFonts w:hint="eastAsia" w:ascii="宋体" w:hAnsi="宋体" w:cs="宋体"/>
                <w:color w:val="auto"/>
                <w:kern w:val="2"/>
                <w:sz w:val="21"/>
                <w:szCs w:val="21"/>
                <w:highlight w:val="none"/>
              </w:rPr>
              <w:t>投标文件满足招标文件全部实质性要求</w:t>
            </w:r>
            <w:r>
              <w:rPr>
                <w:rFonts w:ascii="宋体" w:hAnsi="宋体" w:cs="宋体"/>
                <w:color w:val="auto"/>
                <w:kern w:val="2"/>
                <w:sz w:val="21"/>
                <w:szCs w:val="21"/>
                <w:highlight w:val="none"/>
              </w:rPr>
              <w:t>，且按照</w:t>
            </w:r>
            <w:r>
              <w:rPr>
                <w:rFonts w:hint="eastAsia" w:ascii="宋体" w:hAnsi="宋体" w:cs="宋体"/>
                <w:color w:val="auto"/>
                <w:kern w:val="2"/>
                <w:sz w:val="21"/>
                <w:szCs w:val="21"/>
                <w:highlight w:val="none"/>
              </w:rPr>
              <w:t>招标文件规定的各项因素进行综合评审，评标总得分排名前列</w:t>
            </w:r>
            <w:r>
              <w:rPr>
                <w:rFonts w:ascii="宋体" w:hAnsi="宋体" w:cs="宋体"/>
                <w:color w:val="auto"/>
                <w:kern w:val="2"/>
                <w:sz w:val="21"/>
                <w:szCs w:val="21"/>
                <w:highlight w:val="none"/>
              </w:rPr>
              <w:t>的投标人为中标候选人的评标方法。</w:t>
            </w:r>
          </w:p>
          <w:p>
            <w:pPr>
              <w:pageBreakBefore w:val="0"/>
              <w:kinsoku/>
              <w:overflowPunct/>
              <w:topLinePunct w:val="0"/>
              <w:bidi w:val="0"/>
              <w:spacing w:beforeAutospacing="0" w:afterAutospacing="0" w:line="560" w:lineRule="exact"/>
              <w:ind w:left="0" w:firstLine="420"/>
              <w:rPr>
                <w:rFonts w:ascii="宋体" w:hAnsi="宋体" w:cs="宋体"/>
                <w:color w:val="auto"/>
                <w:kern w:val="2"/>
                <w:sz w:val="21"/>
                <w:szCs w:val="21"/>
                <w:highlight w:val="none"/>
              </w:rPr>
            </w:pPr>
            <w:r>
              <w:rPr>
                <w:rFonts w:ascii="宋体" w:hAnsi="宋体" w:cs="宋体"/>
                <w:color w:val="auto"/>
                <w:kern w:val="2"/>
                <w:sz w:val="21"/>
                <w:szCs w:val="21"/>
                <w:highlight w:val="none"/>
              </w:rPr>
              <w:t>价格分计算方法：</w:t>
            </w:r>
          </w:p>
          <w:p>
            <w:pPr>
              <w:pageBreakBefore w:val="0"/>
              <w:kinsoku/>
              <w:overflowPunct/>
              <w:topLinePunct w:val="0"/>
              <w:bidi w:val="0"/>
              <w:spacing w:beforeAutospacing="0" w:afterAutospacing="0" w:line="560" w:lineRule="exact"/>
              <w:ind w:left="0"/>
              <w:rPr>
                <w:rFonts w:ascii="宋体" w:hAnsi="宋体" w:cs="宋体"/>
                <w:color w:val="auto"/>
                <w:kern w:val="2"/>
                <w:sz w:val="21"/>
                <w:szCs w:val="21"/>
                <w:highlight w:val="none"/>
              </w:rPr>
            </w:pPr>
            <w:r>
              <w:rPr>
                <w:rFonts w:ascii="宋体" w:hAnsi="宋体" w:cs="宋体"/>
                <w:color w:val="auto"/>
                <w:kern w:val="2"/>
                <w:sz w:val="21"/>
                <w:szCs w:val="21"/>
                <w:highlight w:val="none"/>
              </w:rPr>
              <w:t xml:space="preserve">采用低价优先法计算，即满足招标文件要求且投标价格最低的投标报价为评标基准价，其价格分为满分。其他投标人的价格分统一按照下列公式计算： </w:t>
            </w:r>
          </w:p>
          <w:p>
            <w:pPr>
              <w:pageBreakBefore w:val="0"/>
              <w:kinsoku/>
              <w:overflowPunct/>
              <w:topLinePunct w:val="0"/>
              <w:bidi w:val="0"/>
              <w:spacing w:beforeAutospacing="0" w:afterAutospacing="0" w:line="560" w:lineRule="exact"/>
              <w:ind w:left="0"/>
              <w:rPr>
                <w:rFonts w:ascii="宋体" w:hAnsi="宋体" w:cs="宋体"/>
                <w:color w:val="auto"/>
                <w:kern w:val="2"/>
                <w:sz w:val="21"/>
                <w:szCs w:val="21"/>
                <w:highlight w:val="none"/>
              </w:rPr>
            </w:pPr>
            <w:r>
              <w:rPr>
                <w:rFonts w:ascii="宋体" w:hAnsi="宋体" w:cs="宋体"/>
                <w:color w:val="auto"/>
                <w:kern w:val="2"/>
                <w:sz w:val="21"/>
                <w:szCs w:val="21"/>
                <w:highlight w:val="none"/>
              </w:rPr>
              <w:t xml:space="preserve">投标报价得分=(评标基准价／投标报价)×100 </w:t>
            </w:r>
          </w:p>
          <w:p>
            <w:pPr>
              <w:pageBreakBefore w:val="0"/>
              <w:kinsoku/>
              <w:overflowPunct/>
              <w:topLinePunct w:val="0"/>
              <w:bidi w:val="0"/>
              <w:spacing w:beforeAutospacing="0" w:afterAutospacing="0" w:line="560" w:lineRule="exact"/>
              <w:ind w:left="0"/>
              <w:rPr>
                <w:rFonts w:ascii="宋体" w:hAnsi="宋体" w:cs="宋体"/>
                <w:color w:val="auto"/>
                <w:kern w:val="2"/>
                <w:sz w:val="21"/>
                <w:szCs w:val="21"/>
                <w:highlight w:val="none"/>
              </w:rPr>
            </w:pPr>
            <w:r>
              <w:rPr>
                <w:rFonts w:ascii="宋体" w:hAnsi="宋体" w:cs="宋体"/>
                <w:color w:val="auto"/>
                <w:kern w:val="2"/>
                <w:sz w:val="21"/>
                <w:szCs w:val="21"/>
                <w:highlight w:val="none"/>
              </w:rPr>
              <w:t xml:space="preserve">评标总得分＝F1×A1＋F2×A2＋……＋Fn×An </w:t>
            </w:r>
          </w:p>
          <w:p>
            <w:pPr>
              <w:pageBreakBefore w:val="0"/>
              <w:kinsoku/>
              <w:overflowPunct/>
              <w:topLinePunct w:val="0"/>
              <w:bidi w:val="0"/>
              <w:spacing w:beforeAutospacing="0" w:afterAutospacing="0" w:line="560" w:lineRule="exact"/>
              <w:ind w:left="0"/>
              <w:rPr>
                <w:rFonts w:ascii="宋体" w:hAnsi="宋体" w:cs="宋体"/>
                <w:color w:val="auto"/>
                <w:kern w:val="2"/>
                <w:sz w:val="21"/>
                <w:szCs w:val="21"/>
                <w:highlight w:val="none"/>
              </w:rPr>
            </w:pPr>
            <w:r>
              <w:rPr>
                <w:rFonts w:ascii="宋体" w:hAnsi="宋体" w:cs="宋体"/>
                <w:color w:val="auto"/>
                <w:kern w:val="2"/>
                <w:sz w:val="21"/>
                <w:szCs w:val="21"/>
                <w:highlight w:val="none"/>
              </w:rPr>
              <w:t xml:space="preserve">F1、F2……Fn分别为各项评审因素的得分； </w:t>
            </w:r>
          </w:p>
          <w:p>
            <w:pPr>
              <w:pageBreakBefore w:val="0"/>
              <w:kinsoku/>
              <w:overflowPunct/>
              <w:topLinePunct w:val="0"/>
              <w:bidi w:val="0"/>
              <w:spacing w:beforeAutospacing="0" w:afterAutospacing="0" w:line="560" w:lineRule="exact"/>
              <w:ind w:left="0"/>
              <w:rPr>
                <w:rFonts w:ascii="宋体" w:hAnsi="宋体" w:cs="宋体"/>
                <w:color w:val="auto"/>
                <w:kern w:val="2"/>
                <w:sz w:val="21"/>
                <w:szCs w:val="21"/>
                <w:highlight w:val="none"/>
              </w:rPr>
            </w:pPr>
            <w:r>
              <w:rPr>
                <w:rFonts w:ascii="宋体" w:hAnsi="宋体" w:cs="宋体"/>
                <w:color w:val="auto"/>
                <w:kern w:val="2"/>
                <w:sz w:val="21"/>
                <w:szCs w:val="21"/>
                <w:highlight w:val="none"/>
              </w:rPr>
              <w:t xml:space="preserve">A1、A2、……An 分别为各项评审因素所占的权重(A1＋A2＋……＋An＝1)。 </w:t>
            </w:r>
          </w:p>
          <w:p>
            <w:pPr>
              <w:pageBreakBefore w:val="0"/>
              <w:kinsoku/>
              <w:overflowPunct/>
              <w:topLinePunct w:val="0"/>
              <w:bidi w:val="0"/>
              <w:spacing w:beforeAutospacing="0" w:afterAutospacing="0" w:line="560" w:lineRule="exact"/>
              <w:ind w:left="0"/>
              <w:rPr>
                <w:rFonts w:ascii="宋体" w:hAnsi="宋体" w:cs="宋体"/>
                <w:color w:val="auto"/>
                <w:kern w:val="2"/>
                <w:sz w:val="21"/>
                <w:szCs w:val="21"/>
                <w:highlight w:val="none"/>
              </w:rPr>
            </w:pPr>
            <w:r>
              <w:rPr>
                <w:rFonts w:ascii="宋体" w:hAnsi="宋体" w:cs="宋体"/>
                <w:color w:val="auto"/>
                <w:kern w:val="2"/>
                <w:sz w:val="21"/>
                <w:szCs w:val="21"/>
                <w:highlight w:val="none"/>
              </w:rPr>
              <w:t>评标过程中，不得去掉报价中的最高报价和最低报价。</w:t>
            </w:r>
          </w:p>
          <w:p>
            <w:pPr>
              <w:pageBreakBefore w:val="0"/>
              <w:kinsoku/>
              <w:overflowPunct/>
              <w:topLinePunct w:val="0"/>
              <w:bidi w:val="0"/>
              <w:spacing w:beforeAutospacing="0" w:afterAutospacing="0" w:line="560" w:lineRule="exact"/>
              <w:ind w:left="0"/>
              <w:rPr>
                <w:rFonts w:ascii="宋体" w:hAnsi="宋体" w:cs="宋体"/>
                <w:color w:val="auto"/>
                <w:kern w:val="2"/>
                <w:sz w:val="21"/>
                <w:szCs w:val="21"/>
                <w:highlight w:val="none"/>
              </w:rPr>
            </w:pPr>
            <w:r>
              <w:rPr>
                <w:rFonts w:hint="eastAsia" w:ascii="宋体" w:hAnsi="宋体" w:cs="宋体"/>
                <w:color w:val="auto"/>
                <w:kern w:val="2"/>
                <w:sz w:val="21"/>
                <w:szCs w:val="21"/>
                <w:highlight w:val="none"/>
              </w:rPr>
              <w:t>因落实政府采购政策进行价格调整的，以调整后的价格计算评标基准价和投标报价。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2"/>
          <w:wAfter w:w="500" w:type="dxa"/>
          <w:jc w:val="center"/>
        </w:trPr>
        <w:tc>
          <w:tcPr>
            <w:tcW w:w="743" w:type="dxa"/>
            <w:gridSpan w:val="2"/>
            <w:tcBorders>
              <w:top w:val="single" w:color="000000" w:sz="8" w:space="0"/>
              <w:left w:val="single" w:color="000000" w:sz="8" w:space="0"/>
              <w:bottom w:val="single" w:color="000000" w:sz="8" w:space="0"/>
              <w:right w:val="single" w:color="000000" w:sz="8" w:space="0"/>
            </w:tcBorders>
            <w:shd w:val="clear" w:color="auto" w:fill="E6EFFA"/>
            <w:vAlign w:val="center"/>
          </w:tcPr>
          <w:p>
            <w:pPr>
              <w:pageBreakBefore w:val="0"/>
              <w:widowControl w:val="0"/>
              <w:kinsoku/>
              <w:wordWrap w:val="0"/>
              <w:overflowPunct/>
              <w:topLinePunct w:val="0"/>
              <w:bidi w:val="0"/>
              <w:spacing w:beforeAutospacing="0" w:afterAutospacing="0" w:line="560" w:lineRule="exact"/>
              <w:ind w:left="0"/>
              <w:jc w:val="center"/>
              <w:rPr>
                <w:rFonts w:ascii="宋体" w:hAnsi="宋体"/>
                <w:b/>
                <w:bCs/>
                <w:color w:val="auto"/>
                <w:kern w:val="2"/>
                <w:sz w:val="21"/>
                <w:szCs w:val="21"/>
                <w:highlight w:val="none"/>
              </w:rPr>
            </w:pPr>
            <w:r>
              <w:rPr>
                <w:rFonts w:hint="eastAsia" w:ascii="宋体" w:hAnsi="宋体"/>
                <w:b/>
                <w:bCs/>
                <w:color w:val="auto"/>
                <w:highlight w:val="none"/>
              </w:rPr>
              <w:t>序号</w:t>
            </w:r>
          </w:p>
        </w:tc>
        <w:tc>
          <w:tcPr>
            <w:tcW w:w="2992" w:type="dxa"/>
            <w:gridSpan w:val="3"/>
            <w:tcBorders>
              <w:top w:val="single" w:color="000000" w:sz="8" w:space="0"/>
              <w:left w:val="nil"/>
              <w:bottom w:val="single" w:color="000000" w:sz="8" w:space="0"/>
              <w:right w:val="single" w:color="000000" w:sz="8" w:space="0"/>
            </w:tcBorders>
            <w:shd w:val="clear" w:color="auto" w:fill="E6EFFA"/>
            <w:vAlign w:val="center"/>
          </w:tcPr>
          <w:p>
            <w:pPr>
              <w:pageBreakBefore w:val="0"/>
              <w:widowControl w:val="0"/>
              <w:kinsoku/>
              <w:wordWrap w:val="0"/>
              <w:overflowPunct/>
              <w:topLinePunct w:val="0"/>
              <w:bidi w:val="0"/>
              <w:spacing w:beforeAutospacing="0" w:afterAutospacing="0" w:line="560" w:lineRule="exact"/>
              <w:ind w:left="0"/>
              <w:jc w:val="center"/>
              <w:rPr>
                <w:rFonts w:ascii="宋体" w:hAnsi="宋体"/>
                <w:b/>
                <w:bCs/>
                <w:color w:val="auto"/>
                <w:kern w:val="2"/>
                <w:sz w:val="21"/>
                <w:szCs w:val="21"/>
                <w:highlight w:val="none"/>
              </w:rPr>
            </w:pPr>
            <w:r>
              <w:rPr>
                <w:rFonts w:hint="eastAsia" w:ascii="宋体" w:hAnsi="宋体"/>
                <w:b/>
                <w:bCs/>
                <w:color w:val="auto"/>
                <w:highlight w:val="none"/>
              </w:rPr>
              <w:t>评分项</w:t>
            </w:r>
          </w:p>
        </w:tc>
        <w:tc>
          <w:tcPr>
            <w:tcW w:w="5004" w:type="dxa"/>
            <w:tcBorders>
              <w:top w:val="single" w:color="000000" w:sz="8" w:space="0"/>
              <w:left w:val="nil"/>
              <w:bottom w:val="single" w:color="000000" w:sz="8" w:space="0"/>
              <w:right w:val="single" w:color="000000" w:sz="8" w:space="0"/>
            </w:tcBorders>
            <w:shd w:val="clear" w:color="auto" w:fill="E6EFFA"/>
            <w:vAlign w:val="center"/>
          </w:tcPr>
          <w:p>
            <w:pPr>
              <w:pageBreakBefore w:val="0"/>
              <w:widowControl w:val="0"/>
              <w:kinsoku/>
              <w:wordWrap w:val="0"/>
              <w:overflowPunct/>
              <w:topLinePunct w:val="0"/>
              <w:bidi w:val="0"/>
              <w:spacing w:beforeAutospacing="0" w:afterAutospacing="0" w:line="560" w:lineRule="exact"/>
              <w:ind w:left="0"/>
              <w:jc w:val="center"/>
              <w:rPr>
                <w:rFonts w:ascii="宋体" w:hAnsi="宋体"/>
                <w:b/>
                <w:bCs/>
                <w:color w:val="auto"/>
                <w:kern w:val="2"/>
                <w:sz w:val="21"/>
                <w:szCs w:val="21"/>
                <w:highlight w:val="none"/>
              </w:rPr>
            </w:pPr>
            <w:r>
              <w:rPr>
                <w:rFonts w:hint="eastAsia" w:ascii="宋体" w:hAnsi="宋体"/>
                <w:b/>
                <w:bCs/>
                <w:color w:val="auto"/>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2"/>
          <w:wAfter w:w="500" w:type="dxa"/>
          <w:jc w:val="center"/>
        </w:trPr>
        <w:tc>
          <w:tcPr>
            <w:tcW w:w="743" w:type="dxa"/>
            <w:gridSpan w:val="2"/>
            <w:tcBorders>
              <w:top w:val="single" w:color="000000" w:sz="8" w:space="0"/>
              <w:left w:val="single" w:color="000000" w:sz="8" w:space="0"/>
              <w:bottom w:val="single" w:color="000000" w:sz="8" w:space="0"/>
              <w:right w:val="single" w:color="000000" w:sz="8" w:space="0"/>
            </w:tcBorders>
          </w:tcPr>
          <w:p>
            <w:pPr>
              <w:pageBreakBefore w:val="0"/>
              <w:widowControl w:val="0"/>
              <w:kinsoku/>
              <w:wordWrap w:val="0"/>
              <w:overflowPunct/>
              <w:topLinePunct w:val="0"/>
              <w:bidi w:val="0"/>
              <w:spacing w:beforeAutospacing="0" w:afterAutospacing="0" w:line="560" w:lineRule="exact"/>
              <w:ind w:left="0"/>
              <w:jc w:val="center"/>
              <w:rPr>
                <w:rFonts w:ascii="宋体" w:hAnsi="宋体"/>
                <w:b/>
                <w:bCs/>
                <w:color w:val="auto"/>
                <w:kern w:val="2"/>
                <w:sz w:val="21"/>
                <w:szCs w:val="21"/>
                <w:highlight w:val="none"/>
              </w:rPr>
            </w:pPr>
            <w:r>
              <w:rPr>
                <w:rFonts w:hint="eastAsia" w:ascii="宋体" w:hAnsi="宋体"/>
                <w:b/>
                <w:bCs/>
                <w:color w:val="auto"/>
                <w:highlight w:val="none"/>
              </w:rPr>
              <w:t>1</w:t>
            </w:r>
          </w:p>
        </w:tc>
        <w:tc>
          <w:tcPr>
            <w:tcW w:w="2992" w:type="dxa"/>
            <w:gridSpan w:val="3"/>
            <w:tcBorders>
              <w:top w:val="single" w:color="000000" w:sz="8" w:space="0"/>
              <w:left w:val="nil"/>
              <w:bottom w:val="single" w:color="000000" w:sz="8" w:space="0"/>
              <w:right w:val="single" w:color="000000" w:sz="8" w:space="0"/>
            </w:tcBorders>
          </w:tcPr>
          <w:p>
            <w:pPr>
              <w:pageBreakBefore w:val="0"/>
              <w:widowControl w:val="0"/>
              <w:kinsoku/>
              <w:wordWrap w:val="0"/>
              <w:overflowPunct/>
              <w:topLinePunct w:val="0"/>
              <w:bidi w:val="0"/>
              <w:spacing w:beforeAutospacing="0" w:afterAutospacing="0" w:line="560" w:lineRule="exact"/>
              <w:ind w:left="0"/>
              <w:jc w:val="center"/>
              <w:rPr>
                <w:rFonts w:ascii="宋体" w:hAnsi="宋体"/>
                <w:b/>
                <w:bCs/>
                <w:color w:val="auto"/>
                <w:kern w:val="2"/>
                <w:sz w:val="21"/>
                <w:szCs w:val="21"/>
                <w:highlight w:val="none"/>
              </w:rPr>
            </w:pPr>
            <w:r>
              <w:rPr>
                <w:rFonts w:hint="eastAsia" w:ascii="宋体" w:hAnsi="宋体"/>
                <w:b/>
                <w:bCs/>
                <w:color w:val="auto"/>
                <w:highlight w:val="none"/>
              </w:rPr>
              <w:t>价格</w:t>
            </w:r>
          </w:p>
        </w:tc>
        <w:tc>
          <w:tcPr>
            <w:tcW w:w="5004" w:type="dxa"/>
            <w:tcBorders>
              <w:top w:val="single" w:color="000000" w:sz="8" w:space="0"/>
              <w:left w:val="nil"/>
              <w:bottom w:val="single" w:color="000000" w:sz="8" w:space="0"/>
              <w:right w:val="single" w:color="000000" w:sz="8" w:space="0"/>
            </w:tcBorders>
          </w:tcPr>
          <w:p>
            <w:pPr>
              <w:pageBreakBefore w:val="0"/>
              <w:widowControl w:val="0"/>
              <w:kinsoku/>
              <w:wordWrap w:val="0"/>
              <w:overflowPunct/>
              <w:topLinePunct w:val="0"/>
              <w:bidi w:val="0"/>
              <w:spacing w:beforeAutospacing="0" w:afterAutospacing="0" w:line="560" w:lineRule="exact"/>
              <w:ind w:left="0"/>
              <w:jc w:val="center"/>
              <w:rPr>
                <w:rFonts w:ascii="宋体" w:hAnsi="宋体"/>
                <w:b/>
                <w:bCs/>
                <w:color w:val="auto"/>
                <w:kern w:val="2"/>
                <w:sz w:val="21"/>
                <w:szCs w:val="21"/>
                <w:highlight w:val="none"/>
              </w:rPr>
            </w:pPr>
            <w:r>
              <w:rPr>
                <w:rFonts w:hint="eastAsia" w:ascii="宋体" w:hAnsi="宋体"/>
                <w:b/>
                <w:bCs/>
                <w:color w:val="auto"/>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2"/>
          <w:wAfter w:w="500" w:type="dxa"/>
          <w:jc w:val="center"/>
        </w:trPr>
        <w:tc>
          <w:tcPr>
            <w:tcW w:w="743" w:type="dxa"/>
            <w:gridSpan w:val="2"/>
            <w:vMerge w:val="restart"/>
            <w:tcBorders>
              <w:top w:val="nil"/>
              <w:left w:val="single" w:color="000000" w:sz="8" w:space="0"/>
              <w:bottom w:val="single" w:color="000000" w:sz="8" w:space="0"/>
              <w:right w:val="single" w:color="000000" w:sz="8" w:space="0"/>
            </w:tcBorders>
            <w:vAlign w:val="center"/>
          </w:tcPr>
          <w:p>
            <w:pPr>
              <w:pageBreakBefore w:val="0"/>
              <w:widowControl w:val="0"/>
              <w:kinsoku/>
              <w:wordWrap w:val="0"/>
              <w:overflowPunct/>
              <w:topLinePunct w:val="0"/>
              <w:bidi w:val="0"/>
              <w:spacing w:beforeAutospacing="0" w:afterAutospacing="0" w:line="560" w:lineRule="exact"/>
              <w:ind w:left="0"/>
              <w:jc w:val="center"/>
              <w:rPr>
                <w:rFonts w:ascii="宋体" w:hAnsi="宋体"/>
                <w:b/>
                <w:bCs/>
                <w:color w:val="auto"/>
                <w:kern w:val="2"/>
                <w:sz w:val="21"/>
                <w:szCs w:val="21"/>
                <w:highlight w:val="none"/>
              </w:rPr>
            </w:pPr>
            <w:r>
              <w:rPr>
                <w:rFonts w:hint="eastAsia" w:ascii="宋体" w:hAnsi="宋体"/>
                <w:b/>
                <w:bCs/>
                <w:color w:val="auto"/>
                <w:highlight w:val="none"/>
              </w:rPr>
              <w:t>2</w:t>
            </w:r>
          </w:p>
        </w:tc>
        <w:tc>
          <w:tcPr>
            <w:tcW w:w="2992" w:type="dxa"/>
            <w:gridSpan w:val="3"/>
            <w:tcBorders>
              <w:top w:val="single" w:color="000000" w:sz="8" w:space="0"/>
              <w:left w:val="nil"/>
              <w:bottom w:val="single" w:color="000000" w:sz="8" w:space="0"/>
              <w:right w:val="single" w:color="000000" w:sz="8" w:space="0"/>
            </w:tcBorders>
          </w:tcPr>
          <w:p>
            <w:pPr>
              <w:pageBreakBefore w:val="0"/>
              <w:widowControl w:val="0"/>
              <w:kinsoku/>
              <w:wordWrap w:val="0"/>
              <w:overflowPunct/>
              <w:topLinePunct w:val="0"/>
              <w:bidi w:val="0"/>
              <w:spacing w:beforeAutospacing="0" w:afterAutospacing="0" w:line="560" w:lineRule="exact"/>
              <w:ind w:left="0"/>
              <w:jc w:val="center"/>
              <w:rPr>
                <w:rFonts w:ascii="宋体" w:hAnsi="宋体"/>
                <w:b/>
                <w:bCs/>
                <w:color w:val="auto"/>
                <w:kern w:val="2"/>
                <w:sz w:val="21"/>
                <w:szCs w:val="21"/>
                <w:highlight w:val="none"/>
              </w:rPr>
            </w:pPr>
            <w:r>
              <w:rPr>
                <w:rFonts w:hint="eastAsia" w:ascii="宋体" w:hAnsi="宋体"/>
                <w:b/>
                <w:bCs/>
                <w:color w:val="auto"/>
                <w:highlight w:val="none"/>
              </w:rPr>
              <w:t>技术部分</w:t>
            </w:r>
          </w:p>
        </w:tc>
        <w:tc>
          <w:tcPr>
            <w:tcW w:w="5004" w:type="dxa"/>
            <w:tcBorders>
              <w:top w:val="single" w:color="000000" w:sz="8" w:space="0"/>
              <w:left w:val="nil"/>
              <w:bottom w:val="single" w:color="000000" w:sz="8" w:space="0"/>
              <w:right w:val="single" w:color="000000" w:sz="8" w:space="0"/>
            </w:tcBorders>
          </w:tcPr>
          <w:p>
            <w:pPr>
              <w:pageBreakBefore w:val="0"/>
              <w:widowControl w:val="0"/>
              <w:kinsoku/>
              <w:wordWrap w:val="0"/>
              <w:overflowPunct/>
              <w:topLinePunct w:val="0"/>
              <w:bidi w:val="0"/>
              <w:spacing w:beforeAutospacing="0" w:afterAutospacing="0" w:line="560" w:lineRule="exact"/>
              <w:ind w:left="0"/>
              <w:jc w:val="center"/>
              <w:rPr>
                <w:rFonts w:ascii="宋体" w:hAnsi="宋体"/>
                <w:b/>
                <w:bCs/>
                <w:color w:val="auto"/>
                <w:kern w:val="2"/>
                <w:sz w:val="21"/>
                <w:szCs w:val="21"/>
                <w:highlight w:val="none"/>
              </w:rPr>
            </w:pPr>
            <w:r>
              <w:rPr>
                <w:rFonts w:hint="eastAsia" w:ascii="宋体" w:hAnsi="宋体"/>
                <w:b/>
                <w:bCs/>
                <w:color w:val="auto"/>
                <w:highlight w:val="none"/>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2"/>
          <w:wAfter w:w="500" w:type="dxa"/>
          <w:jc w:val="center"/>
        </w:trPr>
        <w:tc>
          <w:tcPr>
            <w:tcW w:w="743" w:type="dxa"/>
            <w:gridSpan w:val="2"/>
            <w:vMerge w:val="continue"/>
            <w:tcBorders>
              <w:top w:val="nil"/>
              <w:left w:val="single" w:color="000000" w:sz="8" w:space="0"/>
              <w:bottom w:val="single" w:color="000000" w:sz="8" w:space="0"/>
              <w:right w:val="single" w:color="000000" w:sz="8" w:space="0"/>
            </w:tcBorders>
            <w:vAlign w:val="center"/>
          </w:tcPr>
          <w:p>
            <w:pPr>
              <w:pageBreakBefore w:val="0"/>
              <w:kinsoku/>
              <w:overflowPunct/>
              <w:topLinePunct w:val="0"/>
              <w:bidi w:val="0"/>
              <w:spacing w:beforeAutospacing="0" w:afterAutospacing="0" w:line="560" w:lineRule="exact"/>
              <w:ind w:left="0"/>
              <w:rPr>
                <w:rFonts w:ascii="宋体" w:hAnsi="宋体"/>
                <w:b/>
                <w:bCs/>
                <w:color w:val="auto"/>
                <w:kern w:val="2"/>
                <w:sz w:val="21"/>
                <w:szCs w:val="21"/>
                <w:highlight w:val="none"/>
              </w:rPr>
            </w:pPr>
          </w:p>
        </w:tc>
        <w:tc>
          <w:tcPr>
            <w:tcW w:w="588" w:type="dxa"/>
            <w:tcBorders>
              <w:top w:val="outset" w:color="000000" w:sz="6" w:space="0"/>
              <w:left w:val="outset" w:color="000000" w:sz="6" w:space="0"/>
              <w:bottom w:val="outset" w:color="000000" w:sz="6" w:space="0"/>
              <w:right w:val="outset" w:color="000000" w:sz="6" w:space="0"/>
            </w:tcBorders>
            <w:shd w:val="clear" w:color="auto" w:fill="E6EFFA"/>
            <w:vAlign w:val="center"/>
          </w:tcPr>
          <w:p>
            <w:pPr>
              <w:pageBreakBefore w:val="0"/>
              <w:widowControl w:val="0"/>
              <w:kinsoku/>
              <w:wordWrap w:val="0"/>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序号</w:t>
            </w:r>
          </w:p>
        </w:tc>
        <w:tc>
          <w:tcPr>
            <w:tcW w:w="1564" w:type="dxa"/>
            <w:tcBorders>
              <w:top w:val="outset" w:color="000000" w:sz="6" w:space="0"/>
              <w:left w:val="single" w:color="auto" w:sz="2" w:space="0"/>
              <w:bottom w:val="outset" w:color="000000" w:sz="6" w:space="0"/>
              <w:right w:val="outset" w:color="000000" w:sz="6" w:space="0"/>
            </w:tcBorders>
            <w:shd w:val="clear" w:color="auto" w:fill="E6EFFA"/>
            <w:vAlign w:val="center"/>
          </w:tcPr>
          <w:p>
            <w:pPr>
              <w:pageBreakBefore w:val="0"/>
              <w:widowControl w:val="0"/>
              <w:kinsoku/>
              <w:wordWrap w:val="0"/>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评分因素</w:t>
            </w:r>
          </w:p>
        </w:tc>
        <w:tc>
          <w:tcPr>
            <w:tcW w:w="840" w:type="dxa"/>
            <w:tcBorders>
              <w:top w:val="outset" w:color="000000" w:sz="6" w:space="0"/>
              <w:left w:val="single" w:color="auto" w:sz="2" w:space="0"/>
              <w:bottom w:val="outset" w:color="000000" w:sz="6" w:space="0"/>
              <w:right w:val="outset" w:color="000000" w:sz="6" w:space="0"/>
            </w:tcBorders>
            <w:shd w:val="clear" w:color="auto" w:fill="E6EFFA"/>
            <w:vAlign w:val="center"/>
          </w:tcPr>
          <w:p>
            <w:pPr>
              <w:pageBreakBefore w:val="0"/>
              <w:widowControl w:val="0"/>
              <w:kinsoku/>
              <w:wordWrap w:val="0"/>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权重(%)</w:t>
            </w:r>
          </w:p>
        </w:tc>
        <w:tc>
          <w:tcPr>
            <w:tcW w:w="5004" w:type="dxa"/>
            <w:tcBorders>
              <w:top w:val="outset" w:color="000000" w:sz="6" w:space="0"/>
              <w:left w:val="single" w:color="auto" w:sz="2" w:space="0"/>
              <w:bottom w:val="outset" w:color="000000" w:sz="6" w:space="0"/>
              <w:right w:val="outset" w:color="000000" w:sz="6" w:space="0"/>
            </w:tcBorders>
            <w:shd w:val="clear" w:color="auto" w:fill="E6EFFA"/>
            <w:vAlign w:val="center"/>
          </w:tcPr>
          <w:p>
            <w:pPr>
              <w:pageBreakBefore w:val="0"/>
              <w:widowControl w:val="0"/>
              <w:kinsoku/>
              <w:wordWrap w:val="0"/>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2"/>
          <w:wAfter w:w="500" w:type="dxa"/>
          <w:jc w:val="center"/>
        </w:trPr>
        <w:tc>
          <w:tcPr>
            <w:tcW w:w="743" w:type="dxa"/>
            <w:gridSpan w:val="2"/>
            <w:vMerge w:val="continue"/>
            <w:tcBorders>
              <w:top w:val="nil"/>
              <w:left w:val="single" w:color="000000" w:sz="8" w:space="0"/>
              <w:bottom w:val="single" w:color="000000" w:sz="8" w:space="0"/>
              <w:right w:val="single" w:color="000000" w:sz="8" w:space="0"/>
            </w:tcBorders>
            <w:vAlign w:val="center"/>
          </w:tcPr>
          <w:p>
            <w:pPr>
              <w:pageBreakBefore w:val="0"/>
              <w:kinsoku/>
              <w:overflowPunct/>
              <w:topLinePunct w:val="0"/>
              <w:bidi w:val="0"/>
              <w:spacing w:beforeAutospacing="0" w:afterAutospacing="0" w:line="560" w:lineRule="exact"/>
              <w:ind w:left="0"/>
              <w:rPr>
                <w:rFonts w:ascii="宋体" w:hAnsi="宋体"/>
                <w:b/>
                <w:bCs/>
                <w:color w:val="auto"/>
                <w:kern w:val="2"/>
                <w:sz w:val="21"/>
                <w:szCs w:val="21"/>
                <w:highlight w:val="none"/>
              </w:rPr>
            </w:pPr>
          </w:p>
        </w:tc>
        <w:tc>
          <w:tcPr>
            <w:tcW w:w="588" w:type="dxa"/>
            <w:tcBorders>
              <w:top w:val="single" w:color="000000" w:sz="8" w:space="0"/>
              <w:left w:val="nil"/>
              <w:bottom w:val="single" w:color="000000" w:sz="8" w:space="0"/>
              <w:right w:val="single" w:color="000000" w:sz="8" w:space="0"/>
            </w:tcBorders>
            <w:vAlign w:val="center"/>
          </w:tcPr>
          <w:p>
            <w:pPr>
              <w:pageBreakBefore w:val="0"/>
              <w:widowControl w:val="0"/>
              <w:kinsoku/>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1</w:t>
            </w:r>
          </w:p>
        </w:tc>
        <w:tc>
          <w:tcPr>
            <w:tcW w:w="1564" w:type="dxa"/>
            <w:tcBorders>
              <w:top w:val="single" w:color="000000" w:sz="8" w:space="0"/>
              <w:left w:val="nil"/>
              <w:bottom w:val="single" w:color="000000" w:sz="8" w:space="0"/>
              <w:right w:val="single" w:color="000000" w:sz="8" w:space="0"/>
            </w:tcBorders>
            <w:vAlign w:val="center"/>
          </w:tcPr>
          <w:p>
            <w:pPr>
              <w:pStyle w:val="25"/>
              <w:pageBreakBefore w:val="0"/>
              <w:kinsoku/>
              <w:overflowPunct/>
              <w:topLinePunct w:val="0"/>
              <w:bidi w:val="0"/>
              <w:spacing w:before="0" w:beforeAutospacing="0" w:after="0" w:afterAutospacing="0" w:line="560" w:lineRule="exact"/>
              <w:ind w:left="0"/>
              <w:rPr>
                <w:rFonts w:ascii="宋体" w:hAnsi="宋体"/>
                <w:color w:val="auto"/>
                <w:spacing w:val="0"/>
                <w:kern w:val="2"/>
                <w:sz w:val="21"/>
                <w:szCs w:val="21"/>
                <w:highlight w:val="none"/>
              </w:rPr>
            </w:pPr>
            <w:r>
              <w:rPr>
                <w:rFonts w:hint="eastAsia" w:ascii="宋体" w:hAnsi="宋体"/>
                <w:color w:val="auto"/>
                <w:spacing w:val="0"/>
                <w:kern w:val="2"/>
                <w:sz w:val="21"/>
                <w:szCs w:val="21"/>
                <w:highlight w:val="none"/>
              </w:rPr>
              <w:t>项目实施方案</w:t>
            </w:r>
          </w:p>
        </w:tc>
        <w:tc>
          <w:tcPr>
            <w:tcW w:w="840" w:type="dxa"/>
            <w:tcBorders>
              <w:top w:val="single" w:color="000000" w:sz="8" w:space="0"/>
              <w:left w:val="nil"/>
              <w:bottom w:val="single" w:color="000000" w:sz="8" w:space="0"/>
              <w:right w:val="single" w:color="000000" w:sz="8" w:space="0"/>
            </w:tcBorders>
            <w:vAlign w:val="center"/>
          </w:tcPr>
          <w:p>
            <w:pPr>
              <w:pageBreakBefore w:val="0"/>
              <w:widowControl w:val="0"/>
              <w:kinsoku/>
              <w:overflowPunct/>
              <w:topLinePunct w:val="0"/>
              <w:bidi w:val="0"/>
              <w:spacing w:beforeAutospacing="0" w:afterAutospacing="0" w:line="560" w:lineRule="exact"/>
              <w:ind w:left="0"/>
              <w:jc w:val="center"/>
              <w:rPr>
                <w:rFonts w:hint="default" w:ascii="宋体" w:hAnsi="宋体" w:eastAsia="宋体"/>
                <w:color w:val="auto"/>
                <w:kern w:val="2"/>
                <w:sz w:val="21"/>
                <w:szCs w:val="21"/>
                <w:highlight w:val="none"/>
                <w:lang w:val="en-US" w:eastAsia="zh-CN"/>
              </w:rPr>
            </w:pPr>
            <w:r>
              <w:rPr>
                <w:rFonts w:hint="eastAsia" w:ascii="宋体" w:hAnsi="宋体"/>
                <w:color w:val="auto"/>
                <w:highlight w:val="none"/>
                <w:lang w:val="en-US" w:eastAsia="zh-CN"/>
              </w:rPr>
              <w:t>14</w:t>
            </w:r>
          </w:p>
        </w:tc>
        <w:tc>
          <w:tcPr>
            <w:tcW w:w="5004" w:type="dxa"/>
            <w:tcBorders>
              <w:top w:val="single" w:color="000000" w:sz="8" w:space="0"/>
              <w:left w:val="nil"/>
              <w:bottom w:val="single" w:color="000000" w:sz="8" w:space="0"/>
              <w:right w:val="single" w:color="000000" w:sz="8" w:space="0"/>
            </w:tcBorders>
            <w:vAlign w:val="center"/>
          </w:tcPr>
          <w:p>
            <w:pPr>
              <w:pStyle w:val="26"/>
              <w:pageBreakBefore w:val="0"/>
              <w:kinsoku/>
              <w:overflowPunct/>
              <w:topLinePunct w:val="0"/>
              <w:bidi w:val="0"/>
              <w:spacing w:beforeAutospacing="0" w:afterAutospacing="0" w:line="360" w:lineRule="exact"/>
              <w:ind w:left="0"/>
              <w:jc w:val="left"/>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（一）考察内容</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对本项目的需求制定全面、内容详尽、具有针对性的项目实施方案。 </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1、制定的实施方案中包含对本项目实施的整体设想及规划； </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2、工作措施（针对本项目需求提供人员配置方案）； </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3、工作方法（针对本项目需求提供岗位作业指导）； </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4、工作流程（针对日常勤务工作及可能出现的突发事件情况提供了应急处置措施流程）。</w:t>
            </w:r>
          </w:p>
          <w:p>
            <w:pPr>
              <w:pStyle w:val="26"/>
              <w:pageBreakBefore w:val="0"/>
              <w:kinsoku/>
              <w:overflowPunct/>
              <w:topLinePunct w:val="0"/>
              <w:bidi w:val="0"/>
              <w:spacing w:beforeAutospacing="0" w:afterAutospacing="0" w:line="360" w:lineRule="exact"/>
              <w:ind w:left="0"/>
              <w:jc w:val="left"/>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（二）评审标准：</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方案</w:t>
            </w:r>
            <w:r>
              <w:rPr>
                <w:rFonts w:hint="eastAsia" w:ascii="宋体" w:hAnsi="宋体" w:eastAsia="宋体"/>
                <w:color w:val="auto"/>
                <w:sz w:val="21"/>
                <w:szCs w:val="21"/>
                <w:highlight w:val="none"/>
                <w:lang w:eastAsia="zh-CN"/>
              </w:rPr>
              <w:t>中</w:t>
            </w:r>
            <w:r>
              <w:rPr>
                <w:rFonts w:hint="eastAsia" w:ascii="宋体" w:hAnsi="宋体" w:eastAsia="宋体"/>
                <w:color w:val="auto"/>
                <w:sz w:val="21"/>
                <w:szCs w:val="21"/>
                <w:highlight w:val="none"/>
              </w:rPr>
              <w:t>每</w:t>
            </w:r>
            <w:r>
              <w:rPr>
                <w:rFonts w:hint="eastAsia" w:ascii="宋体" w:hAnsi="宋体" w:eastAsia="宋体"/>
                <w:color w:val="auto"/>
                <w:sz w:val="21"/>
                <w:szCs w:val="21"/>
                <w:highlight w:val="none"/>
                <w:lang w:eastAsia="zh-CN"/>
              </w:rPr>
              <w:t>包含上述</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项</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得</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分，本小项最高得</w:t>
            </w: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分；</w:t>
            </w:r>
          </w:p>
          <w:p>
            <w:pPr>
              <w:pStyle w:val="26"/>
              <w:pageBreakBefore w:val="0"/>
              <w:kinsoku/>
              <w:overflowPunct/>
              <w:topLinePunct w:val="0"/>
              <w:bidi w:val="0"/>
              <w:spacing w:beforeAutospacing="0" w:afterAutospacing="0" w:line="360" w:lineRule="exact"/>
              <w:ind w:left="0"/>
              <w:jc w:val="left"/>
              <w:rPr>
                <w:rFonts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2、</w:t>
            </w:r>
            <w:r>
              <w:rPr>
                <w:rFonts w:hint="eastAsia" w:ascii="宋体" w:hAnsi="宋体" w:eastAsia="宋体"/>
                <w:b/>
                <w:color w:val="auto"/>
                <w:sz w:val="21"/>
                <w:szCs w:val="21"/>
                <w:highlight w:val="none"/>
              </w:rPr>
              <w:t>在此基础上，专家根据各供应商的具体响应内容按照量化的评审因素指标进一步评审：</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评审为优（方案完善，工作内容和安排考虑周到，流程合理）的加</w:t>
            </w:r>
            <w:r>
              <w:rPr>
                <w:rFonts w:hint="eastAsia" w:ascii="宋体" w:hAnsi="宋体" w:eastAsia="宋体"/>
                <w:color w:val="auto"/>
                <w:sz w:val="21"/>
                <w:szCs w:val="21"/>
                <w:highlight w:val="none"/>
                <w:lang w:val="en-US" w:eastAsia="zh-CN"/>
              </w:rPr>
              <w:t>5-6</w:t>
            </w:r>
            <w:r>
              <w:rPr>
                <w:rFonts w:hint="eastAsia" w:ascii="宋体" w:hAnsi="宋体" w:eastAsia="宋体"/>
                <w:color w:val="auto"/>
                <w:sz w:val="21"/>
                <w:szCs w:val="21"/>
                <w:highlight w:val="none"/>
              </w:rPr>
              <w:t xml:space="preserve">分； </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评价为良（方案较完善，工作内容和安排考虑较周到，流程较合理）的加</w:t>
            </w:r>
            <w:r>
              <w:rPr>
                <w:rFonts w:hint="eastAsia" w:ascii="宋体" w:hAnsi="宋体" w:eastAsia="宋体"/>
                <w:color w:val="auto"/>
                <w:sz w:val="21"/>
                <w:szCs w:val="21"/>
                <w:highlight w:val="none"/>
                <w:lang w:val="en-US" w:eastAsia="zh-CN"/>
              </w:rPr>
              <w:t>3-4</w:t>
            </w:r>
            <w:r>
              <w:rPr>
                <w:rFonts w:hint="eastAsia" w:ascii="宋体" w:hAnsi="宋体" w:eastAsia="宋体"/>
                <w:color w:val="auto"/>
                <w:sz w:val="21"/>
                <w:szCs w:val="21"/>
                <w:highlight w:val="none"/>
              </w:rPr>
              <w:t xml:space="preserve">分； </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评价为中（方案一般，工作内容和安排考虑基本周到，流程一般）的加</w:t>
            </w:r>
            <w:r>
              <w:rPr>
                <w:rFonts w:hint="eastAsia" w:ascii="宋体" w:hAnsi="宋体" w:eastAsia="宋体"/>
                <w:color w:val="auto"/>
                <w:sz w:val="21"/>
                <w:szCs w:val="21"/>
                <w:highlight w:val="none"/>
                <w:lang w:val="en-US" w:eastAsia="zh-CN"/>
              </w:rPr>
              <w:t>1-2</w:t>
            </w:r>
            <w:r>
              <w:rPr>
                <w:rFonts w:hint="eastAsia" w:ascii="宋体" w:hAnsi="宋体" w:eastAsia="宋体"/>
                <w:color w:val="auto"/>
                <w:sz w:val="21"/>
                <w:szCs w:val="21"/>
                <w:highlight w:val="none"/>
              </w:rPr>
              <w:t xml:space="preserve">分； </w:t>
            </w:r>
          </w:p>
          <w:p>
            <w:pPr>
              <w:pStyle w:val="26"/>
              <w:pageBreakBefore w:val="0"/>
              <w:kinsoku/>
              <w:overflowPunct/>
              <w:topLinePunct w:val="0"/>
              <w:bidi w:val="0"/>
              <w:spacing w:beforeAutospacing="0" w:afterAutospacing="0" w:line="360" w:lineRule="exact"/>
              <w:ind w:left="0"/>
              <w:jc w:val="left"/>
              <w:rPr>
                <w:rFonts w:hAnsi="Times New Roman"/>
                <w:color w:val="auto"/>
                <w:kern w:val="0"/>
                <w:sz w:val="24"/>
                <w:szCs w:val="24"/>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 xml:space="preserve">评价为差（方案不完善，工作内容和安排考虑欠周到）的不加分。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2"/>
          <w:wAfter w:w="500" w:type="dxa"/>
          <w:jc w:val="center"/>
        </w:trPr>
        <w:tc>
          <w:tcPr>
            <w:tcW w:w="743" w:type="dxa"/>
            <w:gridSpan w:val="2"/>
            <w:vMerge w:val="continue"/>
            <w:tcBorders>
              <w:top w:val="nil"/>
              <w:left w:val="single" w:color="000000" w:sz="8" w:space="0"/>
              <w:bottom w:val="single" w:color="000000" w:sz="8" w:space="0"/>
              <w:right w:val="single" w:color="000000" w:sz="8" w:space="0"/>
            </w:tcBorders>
            <w:vAlign w:val="center"/>
          </w:tcPr>
          <w:p>
            <w:pPr>
              <w:pageBreakBefore w:val="0"/>
              <w:kinsoku/>
              <w:overflowPunct/>
              <w:topLinePunct w:val="0"/>
              <w:bidi w:val="0"/>
              <w:spacing w:beforeAutospacing="0" w:afterAutospacing="0" w:line="560" w:lineRule="exact"/>
              <w:ind w:left="0"/>
              <w:rPr>
                <w:rFonts w:ascii="宋体" w:hAnsi="宋体"/>
                <w:b/>
                <w:bCs/>
                <w:color w:val="auto"/>
                <w:kern w:val="2"/>
                <w:sz w:val="21"/>
                <w:szCs w:val="21"/>
                <w:highlight w:val="none"/>
              </w:rPr>
            </w:pPr>
          </w:p>
        </w:tc>
        <w:tc>
          <w:tcPr>
            <w:tcW w:w="588" w:type="dxa"/>
            <w:tcBorders>
              <w:top w:val="single" w:color="000000" w:sz="8" w:space="0"/>
              <w:left w:val="nil"/>
              <w:bottom w:val="single" w:color="000000" w:sz="8" w:space="0"/>
              <w:right w:val="single" w:color="000000" w:sz="8" w:space="0"/>
            </w:tcBorders>
            <w:vAlign w:val="center"/>
          </w:tcPr>
          <w:p>
            <w:pPr>
              <w:pageBreakBefore w:val="0"/>
              <w:widowControl w:val="0"/>
              <w:kinsoku/>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2</w:t>
            </w:r>
          </w:p>
        </w:tc>
        <w:tc>
          <w:tcPr>
            <w:tcW w:w="1564" w:type="dxa"/>
            <w:tcBorders>
              <w:top w:val="single" w:color="000000" w:sz="8" w:space="0"/>
              <w:left w:val="nil"/>
              <w:bottom w:val="single" w:color="000000" w:sz="8" w:space="0"/>
              <w:right w:val="single" w:color="000000" w:sz="8" w:space="0"/>
            </w:tcBorders>
            <w:vAlign w:val="center"/>
          </w:tcPr>
          <w:p>
            <w:pPr>
              <w:pageBreakBefore w:val="0"/>
              <w:kinsoku/>
              <w:overflowPunct/>
              <w:topLinePunct w:val="0"/>
              <w:bidi w:val="0"/>
              <w:spacing w:beforeAutospacing="0" w:afterAutospacing="0" w:line="560" w:lineRule="exact"/>
              <w:ind w:left="0"/>
              <w:jc w:val="center"/>
              <w:rPr>
                <w:rFonts w:hint="eastAsia" w:ascii="宋体" w:hAnsi="宋体" w:eastAsia="宋体"/>
                <w:color w:val="auto"/>
                <w:kern w:val="2"/>
                <w:sz w:val="21"/>
                <w:szCs w:val="21"/>
                <w:highlight w:val="none"/>
                <w:lang w:val="en-US" w:eastAsia="zh-CN"/>
              </w:rPr>
            </w:pPr>
            <w:r>
              <w:rPr>
                <w:rFonts w:hint="eastAsia" w:ascii="宋体" w:hAnsi="宋体" w:eastAsia="宋体" w:cs="Times New Roman"/>
                <w:color w:val="auto"/>
                <w:spacing w:val="0"/>
                <w:kern w:val="2"/>
                <w:sz w:val="21"/>
                <w:szCs w:val="21"/>
                <w:highlight w:val="none"/>
                <w:lang w:val="en-US" w:eastAsia="zh-CN" w:bidi="ar-SA"/>
              </w:rPr>
              <w:t>管理措施</w:t>
            </w:r>
          </w:p>
        </w:tc>
        <w:tc>
          <w:tcPr>
            <w:tcW w:w="840" w:type="dxa"/>
            <w:tcBorders>
              <w:top w:val="single" w:color="000000" w:sz="8" w:space="0"/>
              <w:left w:val="nil"/>
              <w:bottom w:val="single" w:color="000000" w:sz="8" w:space="0"/>
              <w:right w:val="single" w:color="000000" w:sz="8" w:space="0"/>
            </w:tcBorders>
            <w:vAlign w:val="center"/>
          </w:tcPr>
          <w:p>
            <w:pPr>
              <w:pStyle w:val="26"/>
              <w:pageBreakBefore w:val="0"/>
              <w:kinsoku/>
              <w:overflowPunct/>
              <w:topLinePunct w:val="0"/>
              <w:bidi w:val="0"/>
              <w:spacing w:beforeAutospacing="0" w:afterAutospacing="0" w:line="560" w:lineRule="exact"/>
              <w:ind w:left="0" w:firstLine="210" w:firstLineChars="100"/>
              <w:jc w:val="lef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16</w:t>
            </w:r>
          </w:p>
        </w:tc>
        <w:tc>
          <w:tcPr>
            <w:tcW w:w="5004" w:type="dxa"/>
            <w:tcBorders>
              <w:top w:val="single" w:color="000000" w:sz="8" w:space="0"/>
              <w:left w:val="nil"/>
              <w:bottom w:val="single" w:color="000000" w:sz="8" w:space="0"/>
              <w:right w:val="single" w:color="000000" w:sz="8" w:space="0"/>
            </w:tcBorders>
            <w:vAlign w:val="center"/>
          </w:tcPr>
          <w:p>
            <w:pPr>
              <w:pStyle w:val="26"/>
              <w:pageBreakBefore w:val="0"/>
              <w:kinsoku/>
              <w:overflowPunct/>
              <w:topLinePunct w:val="0"/>
              <w:bidi w:val="0"/>
              <w:spacing w:beforeAutospacing="0" w:afterAutospacing="0" w:line="360" w:lineRule="exact"/>
              <w:ind w:left="0"/>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（一）考察内容：</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涉及本项目的管理</w:t>
            </w:r>
            <w:r>
              <w:rPr>
                <w:rFonts w:hint="eastAsia" w:ascii="宋体" w:hAnsi="宋体" w:eastAsia="宋体"/>
                <w:color w:val="auto"/>
                <w:sz w:val="21"/>
                <w:szCs w:val="21"/>
                <w:highlight w:val="none"/>
                <w:lang w:eastAsia="zh-CN"/>
              </w:rPr>
              <w:t>措施</w:t>
            </w:r>
            <w:r>
              <w:rPr>
                <w:rFonts w:hint="eastAsia" w:ascii="宋体" w:hAnsi="宋体" w:eastAsia="宋体"/>
                <w:color w:val="auto"/>
                <w:sz w:val="21"/>
                <w:szCs w:val="21"/>
                <w:highlight w:val="none"/>
              </w:rPr>
              <w:t>须包括以下内容：</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eastAsia="zh-CN"/>
              </w:rPr>
              <w:t>本项目各级组织架构；</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2）本项目人员组建及</w:t>
            </w:r>
            <w:r>
              <w:rPr>
                <w:rFonts w:hint="eastAsia" w:ascii="宋体" w:hAnsi="宋体" w:eastAsia="宋体"/>
                <w:color w:val="auto"/>
                <w:sz w:val="21"/>
                <w:szCs w:val="21"/>
                <w:highlight w:val="none"/>
              </w:rPr>
              <w:t>培训</w:t>
            </w:r>
            <w:r>
              <w:rPr>
                <w:rFonts w:hint="eastAsia" w:ascii="宋体" w:hAnsi="宋体" w:eastAsia="宋体"/>
                <w:color w:val="auto"/>
                <w:sz w:val="21"/>
                <w:szCs w:val="21"/>
                <w:highlight w:val="none"/>
                <w:lang w:eastAsia="zh-CN"/>
              </w:rPr>
              <w:t>方案</w:t>
            </w:r>
            <w:r>
              <w:rPr>
                <w:rFonts w:hint="eastAsia" w:ascii="宋体" w:hAnsi="宋体" w:eastAsia="宋体"/>
                <w:color w:val="auto"/>
                <w:sz w:val="21"/>
                <w:szCs w:val="21"/>
                <w:highlight w:val="none"/>
              </w:rPr>
              <w:t>；</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）日常管理</w:t>
            </w:r>
            <w:r>
              <w:rPr>
                <w:rFonts w:hint="eastAsia" w:ascii="宋体" w:hAnsi="宋体" w:eastAsia="宋体"/>
                <w:color w:val="auto"/>
                <w:sz w:val="21"/>
                <w:szCs w:val="21"/>
                <w:highlight w:val="none"/>
                <w:lang w:eastAsia="zh-CN"/>
              </w:rPr>
              <w:t>制度</w:t>
            </w:r>
            <w:r>
              <w:rPr>
                <w:rFonts w:hint="eastAsia" w:ascii="宋体" w:hAnsi="宋体" w:eastAsia="宋体"/>
                <w:color w:val="auto"/>
                <w:sz w:val="21"/>
                <w:szCs w:val="21"/>
                <w:highlight w:val="none"/>
              </w:rPr>
              <w:t>；</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）岗位责任制度；</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）物资管理制度；</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督导检察制度</w:t>
            </w:r>
          </w:p>
          <w:p>
            <w:pPr>
              <w:pStyle w:val="26"/>
              <w:pageBreakBefore w:val="0"/>
              <w:kinsoku/>
              <w:overflowPunct/>
              <w:topLinePunct w:val="0"/>
              <w:bidi w:val="0"/>
              <w:spacing w:beforeAutospacing="0" w:afterAutospacing="0" w:line="360" w:lineRule="exact"/>
              <w:ind w:left="0"/>
              <w:jc w:val="left"/>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（二）评审标准：</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方案</w:t>
            </w:r>
            <w:r>
              <w:rPr>
                <w:rFonts w:hint="eastAsia" w:ascii="宋体" w:hAnsi="宋体" w:eastAsia="宋体"/>
                <w:color w:val="auto"/>
                <w:sz w:val="21"/>
                <w:szCs w:val="21"/>
                <w:highlight w:val="none"/>
                <w:lang w:eastAsia="zh-CN"/>
              </w:rPr>
              <w:t>中</w:t>
            </w:r>
            <w:r>
              <w:rPr>
                <w:rFonts w:hint="eastAsia" w:ascii="宋体" w:hAnsi="宋体" w:eastAsia="宋体"/>
                <w:color w:val="auto"/>
                <w:sz w:val="21"/>
                <w:szCs w:val="21"/>
                <w:highlight w:val="none"/>
              </w:rPr>
              <w:t>每</w:t>
            </w:r>
            <w:r>
              <w:rPr>
                <w:rFonts w:hint="eastAsia" w:ascii="宋体" w:hAnsi="宋体" w:eastAsia="宋体"/>
                <w:color w:val="auto"/>
                <w:sz w:val="21"/>
                <w:szCs w:val="21"/>
                <w:highlight w:val="none"/>
                <w:lang w:eastAsia="zh-CN"/>
              </w:rPr>
              <w:t>包含上述</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项</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得</w:t>
            </w:r>
            <w:r>
              <w:rPr>
                <w:rFonts w:hint="eastAsia" w:ascii="宋体" w:hAnsi="宋体" w:eastAsia="宋体"/>
                <w:color w:val="auto"/>
                <w:sz w:val="21"/>
                <w:szCs w:val="21"/>
                <w:highlight w:val="none"/>
                <w:lang w:val="en-US" w:eastAsia="zh-CN"/>
              </w:rPr>
              <w:t>1.5</w:t>
            </w:r>
            <w:r>
              <w:rPr>
                <w:rFonts w:hint="eastAsia" w:ascii="宋体" w:hAnsi="宋体" w:eastAsia="宋体"/>
                <w:color w:val="auto"/>
                <w:sz w:val="21"/>
                <w:szCs w:val="21"/>
                <w:highlight w:val="none"/>
              </w:rPr>
              <w:t>分，本小项最高得</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分；</w:t>
            </w:r>
          </w:p>
          <w:p>
            <w:pPr>
              <w:pStyle w:val="26"/>
              <w:pageBreakBefore w:val="0"/>
              <w:kinsoku/>
              <w:overflowPunct/>
              <w:topLinePunct w:val="0"/>
              <w:bidi w:val="0"/>
              <w:spacing w:beforeAutospacing="0" w:afterAutospacing="0" w:line="360" w:lineRule="exact"/>
              <w:ind w:left="0"/>
              <w:jc w:val="left"/>
              <w:rPr>
                <w:rFonts w:ascii="宋体" w:hAnsi="宋体" w:eastAsia="宋体"/>
                <w:color w:val="auto"/>
                <w:sz w:val="21"/>
                <w:szCs w:val="21"/>
                <w:highlight w:val="none"/>
              </w:rPr>
            </w:pPr>
            <w:r>
              <w:rPr>
                <w:rFonts w:hint="eastAsia" w:ascii="宋体" w:hAnsi="宋体" w:eastAsia="宋体"/>
                <w:b/>
                <w:color w:val="auto"/>
                <w:sz w:val="21"/>
                <w:szCs w:val="21"/>
                <w:highlight w:val="none"/>
                <w:lang w:val="en-US" w:eastAsia="zh-CN"/>
              </w:rPr>
              <w:t>2、</w:t>
            </w:r>
            <w:r>
              <w:rPr>
                <w:rFonts w:hint="eastAsia" w:ascii="宋体" w:hAnsi="宋体" w:eastAsia="宋体"/>
                <w:b/>
                <w:color w:val="auto"/>
                <w:sz w:val="21"/>
                <w:szCs w:val="21"/>
                <w:highlight w:val="none"/>
              </w:rPr>
              <w:t>在此基础上，专家根据各供应商的具体响应内容按照量化的评审因素指标进一步评审：</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评审为优（方案完善，工作内容和安排考虑周到，流程合理）的加</w:t>
            </w:r>
            <w:r>
              <w:rPr>
                <w:rFonts w:hint="eastAsia" w:ascii="宋体" w:hAnsi="宋体" w:eastAsia="宋体"/>
                <w:color w:val="auto"/>
                <w:sz w:val="21"/>
                <w:szCs w:val="21"/>
                <w:highlight w:val="none"/>
                <w:lang w:val="en-US" w:eastAsia="zh-CN"/>
              </w:rPr>
              <w:t>6-7</w:t>
            </w:r>
            <w:r>
              <w:rPr>
                <w:rFonts w:hint="eastAsia" w:ascii="宋体" w:hAnsi="宋体" w:eastAsia="宋体"/>
                <w:color w:val="auto"/>
                <w:sz w:val="21"/>
                <w:szCs w:val="21"/>
                <w:highlight w:val="none"/>
              </w:rPr>
              <w:t xml:space="preserve">分； </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评价为良（方案较完善，工作内容和安排考虑较周到，流程较合理）的加</w:t>
            </w:r>
            <w:r>
              <w:rPr>
                <w:rFonts w:hint="eastAsia" w:ascii="宋体" w:hAnsi="宋体" w:eastAsia="宋体"/>
                <w:color w:val="auto"/>
                <w:sz w:val="21"/>
                <w:szCs w:val="21"/>
                <w:highlight w:val="none"/>
                <w:lang w:val="en-US" w:eastAsia="zh-CN"/>
              </w:rPr>
              <w:t>5-6</w:t>
            </w:r>
            <w:r>
              <w:rPr>
                <w:rFonts w:hint="eastAsia" w:ascii="宋体" w:hAnsi="宋体" w:eastAsia="宋体"/>
                <w:color w:val="auto"/>
                <w:sz w:val="21"/>
                <w:szCs w:val="21"/>
                <w:highlight w:val="none"/>
              </w:rPr>
              <w:t xml:space="preserve">分； </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评价为中（方案一般，工作内容和安排考虑基本周到，流程一般）的加</w:t>
            </w:r>
            <w:r>
              <w:rPr>
                <w:rFonts w:hint="eastAsia" w:ascii="宋体" w:hAnsi="宋体" w:eastAsia="宋体"/>
                <w:color w:val="auto"/>
                <w:sz w:val="21"/>
                <w:szCs w:val="21"/>
                <w:highlight w:val="none"/>
                <w:lang w:val="en-US" w:eastAsia="zh-CN"/>
              </w:rPr>
              <w:t>1-3</w:t>
            </w:r>
            <w:r>
              <w:rPr>
                <w:rFonts w:hint="eastAsia" w:ascii="宋体" w:hAnsi="宋体" w:eastAsia="宋体"/>
                <w:color w:val="auto"/>
                <w:sz w:val="21"/>
                <w:szCs w:val="21"/>
                <w:highlight w:val="none"/>
              </w:rPr>
              <w:t xml:space="preserve">分； </w:t>
            </w:r>
          </w:p>
          <w:p>
            <w:pPr>
              <w:pStyle w:val="26"/>
              <w:pageBreakBefore w:val="0"/>
              <w:kinsoku/>
              <w:overflowPunct/>
              <w:topLinePunct w:val="0"/>
              <w:bidi w:val="0"/>
              <w:spacing w:beforeAutospacing="0" w:afterAutospacing="0" w:line="360" w:lineRule="exact"/>
              <w:ind w:left="0"/>
              <w:jc w:val="left"/>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 xml:space="preserve">评价为差（方案不完善，工作内容和安排考虑欠周到）的不加分。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2"/>
          <w:wAfter w:w="500" w:type="dxa"/>
          <w:jc w:val="center"/>
        </w:trPr>
        <w:tc>
          <w:tcPr>
            <w:tcW w:w="743" w:type="dxa"/>
            <w:gridSpan w:val="2"/>
            <w:vMerge w:val="continue"/>
            <w:tcBorders>
              <w:top w:val="nil"/>
              <w:left w:val="single" w:color="000000" w:sz="8" w:space="0"/>
              <w:bottom w:val="single" w:color="000000" w:sz="8" w:space="0"/>
              <w:right w:val="single" w:color="000000" w:sz="8" w:space="0"/>
            </w:tcBorders>
            <w:vAlign w:val="center"/>
          </w:tcPr>
          <w:p>
            <w:pPr>
              <w:pageBreakBefore w:val="0"/>
              <w:kinsoku/>
              <w:overflowPunct/>
              <w:topLinePunct w:val="0"/>
              <w:bidi w:val="0"/>
              <w:spacing w:beforeAutospacing="0" w:afterAutospacing="0" w:line="560" w:lineRule="exact"/>
              <w:ind w:left="0"/>
              <w:rPr>
                <w:rFonts w:ascii="宋体" w:hAnsi="宋体"/>
                <w:b/>
                <w:bCs/>
                <w:color w:val="auto"/>
                <w:kern w:val="2"/>
                <w:sz w:val="21"/>
                <w:szCs w:val="21"/>
                <w:highlight w:val="none"/>
              </w:rPr>
            </w:pPr>
          </w:p>
        </w:tc>
        <w:tc>
          <w:tcPr>
            <w:tcW w:w="588" w:type="dxa"/>
            <w:tcBorders>
              <w:top w:val="single" w:color="000000" w:sz="8" w:space="0"/>
              <w:left w:val="nil"/>
              <w:bottom w:val="single" w:color="000000" w:sz="8" w:space="0"/>
              <w:right w:val="single" w:color="000000" w:sz="8" w:space="0"/>
            </w:tcBorders>
            <w:vAlign w:val="center"/>
          </w:tcPr>
          <w:p>
            <w:pPr>
              <w:pageBreakBefore w:val="0"/>
              <w:widowControl w:val="0"/>
              <w:kinsoku/>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3</w:t>
            </w:r>
          </w:p>
        </w:tc>
        <w:tc>
          <w:tcPr>
            <w:tcW w:w="1564" w:type="dxa"/>
            <w:tcBorders>
              <w:top w:val="single" w:color="000000" w:sz="8" w:space="0"/>
              <w:left w:val="nil"/>
              <w:bottom w:val="single" w:color="000000" w:sz="8" w:space="0"/>
              <w:right w:val="single" w:color="000000" w:sz="8" w:space="0"/>
            </w:tcBorders>
            <w:vAlign w:val="center"/>
          </w:tcPr>
          <w:p>
            <w:pPr>
              <w:pageBreakBefore w:val="0"/>
              <w:widowControl w:val="0"/>
              <w:kinsoku/>
              <w:overflowPunct/>
              <w:topLinePunct w:val="0"/>
              <w:autoSpaceDE w:val="0"/>
              <w:autoSpaceDN w:val="0"/>
              <w:bidi w:val="0"/>
              <w:adjustRightInd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eastAsia="宋体" w:cs="Times New Roman"/>
                <w:color w:val="auto"/>
                <w:spacing w:val="0"/>
                <w:kern w:val="2"/>
                <w:sz w:val="21"/>
                <w:szCs w:val="21"/>
                <w:highlight w:val="none"/>
                <w:lang w:val="en-US" w:eastAsia="zh-CN" w:bidi="ar-SA"/>
              </w:rPr>
              <w:t>项目重点难点分析、应对措施及相关的合理化建议</w:t>
            </w:r>
          </w:p>
        </w:tc>
        <w:tc>
          <w:tcPr>
            <w:tcW w:w="840" w:type="dxa"/>
            <w:tcBorders>
              <w:top w:val="single" w:color="000000" w:sz="8" w:space="0"/>
              <w:left w:val="nil"/>
              <w:bottom w:val="single" w:color="000000" w:sz="8" w:space="0"/>
              <w:right w:val="single" w:color="000000" w:sz="8" w:space="0"/>
            </w:tcBorders>
            <w:vAlign w:val="center"/>
          </w:tcPr>
          <w:p>
            <w:pPr>
              <w:pageBreakBefore w:val="0"/>
              <w:widowControl w:val="0"/>
              <w:kinsoku/>
              <w:overflowPunct/>
              <w:topLinePunct w:val="0"/>
              <w:autoSpaceDE w:val="0"/>
              <w:autoSpaceDN w:val="0"/>
              <w:bidi w:val="0"/>
              <w:adjustRightInd w:val="0"/>
              <w:spacing w:beforeAutospacing="0" w:afterAutospacing="0" w:line="560" w:lineRule="exact"/>
              <w:ind w:left="0"/>
              <w:jc w:val="center"/>
              <w:rPr>
                <w:rFonts w:hint="default" w:ascii="宋体" w:hAnsi="宋体" w:eastAsia="宋体"/>
                <w:color w:val="auto"/>
                <w:kern w:val="2"/>
                <w:sz w:val="21"/>
                <w:szCs w:val="21"/>
                <w:highlight w:val="none"/>
                <w:lang w:val="en-US" w:eastAsia="zh-CN"/>
              </w:rPr>
            </w:pPr>
            <w:r>
              <w:rPr>
                <w:rFonts w:hint="eastAsia" w:ascii="宋体" w:hAnsi="宋体"/>
                <w:color w:val="auto"/>
                <w:highlight w:val="none"/>
                <w:lang w:val="en-US" w:eastAsia="zh-CN"/>
              </w:rPr>
              <w:t>10</w:t>
            </w:r>
          </w:p>
        </w:tc>
        <w:tc>
          <w:tcPr>
            <w:tcW w:w="5004" w:type="dxa"/>
            <w:tcBorders>
              <w:top w:val="single" w:color="000000" w:sz="8" w:space="0"/>
              <w:left w:val="nil"/>
              <w:bottom w:val="single" w:color="000000" w:sz="8" w:space="0"/>
              <w:right w:val="single" w:color="000000" w:sz="8" w:space="0"/>
            </w:tcBorders>
            <w:vAlign w:val="center"/>
          </w:tcPr>
          <w:p>
            <w:pPr>
              <w:pStyle w:val="26"/>
              <w:pageBreakBefore w:val="0"/>
              <w:kinsoku/>
              <w:overflowPunct/>
              <w:topLinePunct w:val="0"/>
              <w:bidi w:val="0"/>
              <w:spacing w:beforeAutospacing="0" w:afterAutospacing="0" w:line="360" w:lineRule="exact"/>
              <w:ind w:left="0"/>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（一）考察内容：</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涉及本项目的重点难点分析、应对措施及相关的合理化建议需包括但不限于以下内容：</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 xml:space="preserve">1、符合本项目的相关重难点分析； </w:t>
            </w:r>
          </w:p>
          <w:p>
            <w:pPr>
              <w:pStyle w:val="26"/>
              <w:pageBreakBefore w:val="0"/>
              <w:kinsoku/>
              <w:overflowPunct/>
              <w:topLinePunct w:val="0"/>
              <w:bidi w:val="0"/>
              <w:spacing w:beforeAutospacing="0" w:afterAutospacing="0" w:line="360" w:lineRule="exact"/>
              <w:ind w:left="0"/>
              <w:jc w:val="left"/>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2、应对措施及相关合理化建议。</w:t>
            </w:r>
            <w:r>
              <w:rPr>
                <w:rFonts w:hint="eastAsia" w:ascii="宋体" w:hAnsi="宋体" w:eastAsia="宋体"/>
                <w:color w:val="auto"/>
                <w:sz w:val="21"/>
                <w:szCs w:val="21"/>
                <w:highlight w:val="none"/>
              </w:rPr>
              <w:t xml:space="preserve"> </w:t>
            </w:r>
          </w:p>
          <w:p>
            <w:pPr>
              <w:pStyle w:val="26"/>
              <w:pageBreakBefore w:val="0"/>
              <w:kinsoku/>
              <w:overflowPunct/>
              <w:topLinePunct w:val="0"/>
              <w:bidi w:val="0"/>
              <w:spacing w:beforeAutospacing="0" w:afterAutospacing="0" w:line="360" w:lineRule="exact"/>
              <w:ind w:left="0"/>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 xml:space="preserve">（二）评分标准： </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方案</w:t>
            </w:r>
            <w:r>
              <w:rPr>
                <w:rFonts w:hint="eastAsia" w:ascii="宋体" w:hAnsi="宋体" w:eastAsia="宋体"/>
                <w:color w:val="auto"/>
                <w:sz w:val="21"/>
                <w:szCs w:val="21"/>
                <w:highlight w:val="none"/>
                <w:lang w:eastAsia="zh-CN"/>
              </w:rPr>
              <w:t>中</w:t>
            </w:r>
            <w:r>
              <w:rPr>
                <w:rFonts w:hint="eastAsia" w:ascii="宋体" w:hAnsi="宋体" w:eastAsia="宋体"/>
                <w:color w:val="auto"/>
                <w:sz w:val="21"/>
                <w:szCs w:val="21"/>
                <w:highlight w:val="none"/>
              </w:rPr>
              <w:t>每</w:t>
            </w:r>
            <w:r>
              <w:rPr>
                <w:rFonts w:hint="eastAsia" w:ascii="宋体" w:hAnsi="宋体" w:eastAsia="宋体"/>
                <w:color w:val="auto"/>
                <w:sz w:val="21"/>
                <w:szCs w:val="21"/>
                <w:highlight w:val="none"/>
                <w:lang w:eastAsia="zh-CN"/>
              </w:rPr>
              <w:t>包含上述</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项</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得</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分，本小项最高得</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分；</w:t>
            </w:r>
          </w:p>
          <w:p>
            <w:pPr>
              <w:pStyle w:val="26"/>
              <w:pageBreakBefore w:val="0"/>
              <w:kinsoku/>
              <w:overflowPunct/>
              <w:topLinePunct w:val="0"/>
              <w:bidi w:val="0"/>
              <w:spacing w:beforeAutospacing="0" w:afterAutospacing="0" w:line="360" w:lineRule="exact"/>
              <w:ind w:left="0"/>
              <w:jc w:val="left"/>
              <w:rPr>
                <w:rFonts w:hint="eastAsia"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2、</w:t>
            </w:r>
            <w:r>
              <w:rPr>
                <w:rFonts w:hint="eastAsia" w:ascii="宋体" w:hAnsi="宋体" w:eastAsia="宋体"/>
                <w:b/>
                <w:color w:val="auto"/>
                <w:sz w:val="21"/>
                <w:szCs w:val="21"/>
                <w:highlight w:val="none"/>
              </w:rPr>
              <w:t>在此基础上，专家根据各供应商的具体响应内容按照量化的评审因素指标进一步评审：</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评审为优（方案完善，工作内容和安排考虑周到，流程合理）的加</w:t>
            </w:r>
            <w:r>
              <w:rPr>
                <w:rFonts w:hint="eastAsia" w:ascii="宋体" w:hAnsi="宋体" w:eastAsia="宋体"/>
                <w:color w:val="auto"/>
                <w:sz w:val="21"/>
                <w:szCs w:val="21"/>
                <w:highlight w:val="none"/>
                <w:lang w:val="en-US" w:eastAsia="zh-CN"/>
              </w:rPr>
              <w:t>5-6</w:t>
            </w:r>
            <w:r>
              <w:rPr>
                <w:rFonts w:hint="eastAsia" w:ascii="宋体" w:hAnsi="宋体" w:eastAsia="宋体"/>
                <w:color w:val="auto"/>
                <w:sz w:val="21"/>
                <w:szCs w:val="21"/>
                <w:highlight w:val="none"/>
              </w:rPr>
              <w:t xml:space="preserve">分； </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评价为良（方案较完善，工作内容和安排考虑较周到，流程较合理）的加</w:t>
            </w:r>
            <w:r>
              <w:rPr>
                <w:rFonts w:hint="eastAsia" w:ascii="宋体" w:hAnsi="宋体" w:eastAsia="宋体"/>
                <w:color w:val="auto"/>
                <w:sz w:val="21"/>
                <w:szCs w:val="21"/>
                <w:highlight w:val="none"/>
                <w:lang w:val="en-US" w:eastAsia="zh-CN"/>
              </w:rPr>
              <w:t>3-4</w:t>
            </w:r>
            <w:r>
              <w:rPr>
                <w:rFonts w:hint="eastAsia" w:ascii="宋体" w:hAnsi="宋体" w:eastAsia="宋体"/>
                <w:color w:val="auto"/>
                <w:sz w:val="21"/>
                <w:szCs w:val="21"/>
                <w:highlight w:val="none"/>
              </w:rPr>
              <w:t xml:space="preserve">分； </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评价为中（方案一般，工作内容和安排考虑基本周到，流程一般）的加</w:t>
            </w:r>
            <w:r>
              <w:rPr>
                <w:rFonts w:hint="eastAsia" w:ascii="宋体" w:hAnsi="宋体" w:eastAsia="宋体"/>
                <w:color w:val="auto"/>
                <w:sz w:val="21"/>
                <w:szCs w:val="21"/>
                <w:highlight w:val="none"/>
                <w:lang w:val="en-US" w:eastAsia="zh-CN"/>
              </w:rPr>
              <w:t>1-2</w:t>
            </w:r>
            <w:r>
              <w:rPr>
                <w:rFonts w:hint="eastAsia" w:ascii="宋体" w:hAnsi="宋体" w:eastAsia="宋体"/>
                <w:color w:val="auto"/>
                <w:sz w:val="21"/>
                <w:szCs w:val="21"/>
                <w:highlight w:val="none"/>
              </w:rPr>
              <w:t xml:space="preserve">分； </w:t>
            </w:r>
          </w:p>
          <w:p>
            <w:pPr>
              <w:pStyle w:val="26"/>
              <w:pageBreakBefore w:val="0"/>
              <w:kinsoku/>
              <w:overflowPunct/>
              <w:topLinePunct w:val="0"/>
              <w:bidi w:val="0"/>
              <w:spacing w:beforeAutospacing="0" w:afterAutospacing="0" w:line="360" w:lineRule="exact"/>
              <w:ind w:left="0"/>
              <w:jc w:val="left"/>
              <w:rPr>
                <w:rFonts w:hAnsi="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 xml:space="preserve">评价为差（方案不完善，工作内容和安排考虑欠周到）的不加分。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2"/>
          <w:wAfter w:w="500" w:type="dxa"/>
          <w:jc w:val="center"/>
        </w:trPr>
        <w:tc>
          <w:tcPr>
            <w:tcW w:w="743" w:type="dxa"/>
            <w:gridSpan w:val="2"/>
            <w:vMerge w:val="continue"/>
            <w:tcBorders>
              <w:top w:val="nil"/>
              <w:left w:val="single" w:color="000000" w:sz="8" w:space="0"/>
              <w:bottom w:val="single" w:color="000000" w:sz="8" w:space="0"/>
              <w:right w:val="single" w:color="000000" w:sz="8" w:space="0"/>
            </w:tcBorders>
            <w:vAlign w:val="center"/>
          </w:tcPr>
          <w:p>
            <w:pPr>
              <w:pageBreakBefore w:val="0"/>
              <w:kinsoku/>
              <w:overflowPunct/>
              <w:topLinePunct w:val="0"/>
              <w:bidi w:val="0"/>
              <w:spacing w:beforeAutospacing="0" w:afterAutospacing="0" w:line="560" w:lineRule="exact"/>
              <w:ind w:left="0"/>
              <w:rPr>
                <w:rFonts w:ascii="宋体" w:hAnsi="宋体"/>
                <w:b/>
                <w:bCs/>
                <w:color w:val="auto"/>
                <w:kern w:val="2"/>
                <w:sz w:val="21"/>
                <w:szCs w:val="21"/>
                <w:highlight w:val="none"/>
              </w:rPr>
            </w:pPr>
          </w:p>
        </w:tc>
        <w:tc>
          <w:tcPr>
            <w:tcW w:w="588" w:type="dxa"/>
            <w:tcBorders>
              <w:top w:val="single" w:color="000000" w:sz="8" w:space="0"/>
              <w:left w:val="nil"/>
              <w:bottom w:val="single" w:color="000000" w:sz="8" w:space="0"/>
              <w:right w:val="single" w:color="000000" w:sz="8" w:space="0"/>
            </w:tcBorders>
            <w:vAlign w:val="center"/>
          </w:tcPr>
          <w:p>
            <w:pPr>
              <w:pageBreakBefore w:val="0"/>
              <w:widowControl w:val="0"/>
              <w:kinsoku/>
              <w:overflowPunct/>
              <w:topLinePunct w:val="0"/>
              <w:bidi w:val="0"/>
              <w:spacing w:beforeAutospacing="0" w:afterAutospacing="0" w:line="560" w:lineRule="exact"/>
              <w:ind w:left="0"/>
              <w:jc w:val="center"/>
              <w:rPr>
                <w:rFonts w:hint="eastAsia" w:ascii="宋体" w:hAnsi="宋体" w:eastAsia="宋体"/>
                <w:color w:val="auto"/>
                <w:kern w:val="2"/>
                <w:sz w:val="21"/>
                <w:szCs w:val="21"/>
                <w:highlight w:val="none"/>
                <w:lang w:eastAsia="zh-CN"/>
              </w:rPr>
            </w:pPr>
            <w:r>
              <w:rPr>
                <w:rFonts w:hint="eastAsia" w:ascii="宋体" w:hAnsi="宋体"/>
                <w:color w:val="auto"/>
                <w:highlight w:val="none"/>
                <w:lang w:val="en-US" w:eastAsia="zh-CN"/>
              </w:rPr>
              <w:t>4</w:t>
            </w:r>
          </w:p>
        </w:tc>
        <w:tc>
          <w:tcPr>
            <w:tcW w:w="1564" w:type="dxa"/>
            <w:tcBorders>
              <w:top w:val="single" w:color="000000" w:sz="8" w:space="0"/>
              <w:left w:val="nil"/>
              <w:bottom w:val="single" w:color="000000" w:sz="8" w:space="0"/>
              <w:right w:val="single" w:color="000000" w:sz="8" w:space="0"/>
            </w:tcBorders>
            <w:vAlign w:val="center"/>
          </w:tcPr>
          <w:p>
            <w:pPr>
              <w:pageBreakBefore w:val="0"/>
              <w:widowControl w:val="0"/>
              <w:kinsoku/>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eastAsia="宋体" w:cs="Times New Roman"/>
                <w:color w:val="auto"/>
                <w:spacing w:val="0"/>
                <w:kern w:val="2"/>
                <w:sz w:val="21"/>
                <w:szCs w:val="21"/>
                <w:highlight w:val="none"/>
                <w:lang w:val="en-US" w:eastAsia="zh-CN" w:bidi="ar-SA"/>
              </w:rPr>
              <w:t>拟投入本项目服务人员情况</w:t>
            </w:r>
          </w:p>
        </w:tc>
        <w:tc>
          <w:tcPr>
            <w:tcW w:w="840" w:type="dxa"/>
            <w:tcBorders>
              <w:top w:val="single" w:color="000000" w:sz="8" w:space="0"/>
              <w:left w:val="nil"/>
              <w:bottom w:val="single" w:color="000000" w:sz="8" w:space="0"/>
              <w:right w:val="single" w:color="000000" w:sz="8" w:space="0"/>
            </w:tcBorders>
            <w:vAlign w:val="center"/>
          </w:tcPr>
          <w:p>
            <w:pPr>
              <w:pageBreakBefore w:val="0"/>
              <w:widowControl w:val="0"/>
              <w:kinsoku/>
              <w:overflowPunct/>
              <w:topLinePunct w:val="0"/>
              <w:bidi w:val="0"/>
              <w:spacing w:beforeAutospacing="0" w:afterAutospacing="0" w:line="560" w:lineRule="exact"/>
              <w:ind w:left="0"/>
              <w:jc w:val="center"/>
              <w:rPr>
                <w:rFonts w:hint="default" w:ascii="宋体" w:hAnsi="宋体" w:eastAsia="宋体"/>
                <w:color w:val="auto"/>
                <w:kern w:val="2"/>
                <w:sz w:val="21"/>
                <w:szCs w:val="21"/>
                <w:highlight w:val="none"/>
                <w:lang w:val="en-US" w:eastAsia="zh-CN"/>
              </w:rPr>
            </w:pPr>
            <w:r>
              <w:rPr>
                <w:rFonts w:hint="eastAsia" w:ascii="宋体" w:hAnsi="宋体"/>
                <w:color w:val="auto"/>
                <w:highlight w:val="none"/>
                <w:lang w:val="en-US" w:eastAsia="zh-CN"/>
              </w:rPr>
              <w:t>20</w:t>
            </w:r>
          </w:p>
        </w:tc>
        <w:tc>
          <w:tcPr>
            <w:tcW w:w="5004" w:type="dxa"/>
            <w:tcBorders>
              <w:top w:val="single" w:color="000000" w:sz="8" w:space="0"/>
              <w:left w:val="nil"/>
              <w:bottom w:val="single" w:color="000000" w:sz="8" w:space="0"/>
              <w:right w:val="single" w:color="000000" w:sz="8" w:space="0"/>
            </w:tcBorders>
            <w:shd w:val="clear" w:color="auto" w:fill="auto"/>
            <w:vAlign w:val="center"/>
          </w:tcPr>
          <w:p>
            <w:pPr>
              <w:ind w:right="0" w:rightChars="0"/>
              <w:rPr>
                <w:rFonts w:hint="eastAsia"/>
                <w:color w:val="auto"/>
                <w:highlight w:val="none"/>
                <w:lang w:val="en-US" w:eastAsia="zh-CN"/>
              </w:rPr>
            </w:pPr>
            <w:r>
              <w:rPr>
                <w:rFonts w:hint="eastAsia"/>
                <w:color w:val="auto"/>
                <w:highlight w:val="none"/>
                <w:lang w:val="en-US" w:eastAsia="zh-CN"/>
              </w:rPr>
              <w:t>指派的</w:t>
            </w:r>
            <w:r>
              <w:rPr>
                <w:rFonts w:hint="eastAsia"/>
                <w:color w:val="auto"/>
                <w:highlight w:val="none"/>
                <w:lang w:eastAsia="zh-CN"/>
              </w:rPr>
              <w:t>安保员</w:t>
            </w:r>
            <w:r>
              <w:rPr>
                <w:rFonts w:hint="eastAsia"/>
                <w:color w:val="auto"/>
                <w:highlight w:val="none"/>
              </w:rPr>
              <w:t>团队</w:t>
            </w:r>
            <w:r>
              <w:rPr>
                <w:rFonts w:hint="eastAsia"/>
                <w:color w:val="auto"/>
                <w:highlight w:val="none"/>
                <w:lang w:val="en-US" w:eastAsia="zh-CN"/>
              </w:rPr>
              <w:t>中</w:t>
            </w:r>
            <w:r>
              <w:rPr>
                <w:rFonts w:hint="eastAsia"/>
                <w:color w:val="auto"/>
                <w:highlight w:val="none"/>
              </w:rPr>
              <w:t>要求</w:t>
            </w:r>
            <w:r>
              <w:rPr>
                <w:rFonts w:hint="eastAsia"/>
                <w:color w:val="auto"/>
                <w:highlight w:val="none"/>
                <w:lang w:val="en-US" w:eastAsia="zh-CN"/>
              </w:rPr>
              <w:t>至少1人以上</w:t>
            </w:r>
            <w:r>
              <w:rPr>
                <w:rFonts w:hint="eastAsia"/>
                <w:color w:val="auto"/>
                <w:highlight w:val="none"/>
              </w:rPr>
              <w:t>具有</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以上</w:t>
            </w:r>
            <w:r>
              <w:rPr>
                <w:rFonts w:hint="eastAsia"/>
                <w:color w:val="auto"/>
                <w:highlight w:val="none"/>
                <w:lang w:eastAsia="zh-CN"/>
              </w:rPr>
              <w:t>安保从业</w:t>
            </w:r>
            <w:r>
              <w:rPr>
                <w:rFonts w:hint="eastAsia"/>
                <w:color w:val="auto"/>
                <w:highlight w:val="none"/>
              </w:rPr>
              <w:t>经验，</w:t>
            </w:r>
            <w:r>
              <w:rPr>
                <w:rFonts w:hint="eastAsia"/>
                <w:color w:val="auto"/>
                <w:highlight w:val="none"/>
                <w:lang w:val="en-US" w:eastAsia="zh-CN"/>
              </w:rPr>
              <w:t>满足条件得10分；</w:t>
            </w:r>
          </w:p>
          <w:p>
            <w:pPr>
              <w:ind w:right="0" w:rightChars="0"/>
              <w:rPr>
                <w:rFonts w:hint="default"/>
                <w:color w:val="auto"/>
                <w:highlight w:val="none"/>
                <w:lang w:val="en-US" w:eastAsia="zh-CN"/>
              </w:rPr>
            </w:pPr>
            <w:r>
              <w:rPr>
                <w:rFonts w:hint="eastAsia"/>
                <w:color w:val="auto"/>
                <w:highlight w:val="none"/>
                <w:lang w:val="en-US" w:eastAsia="zh-CN"/>
              </w:rPr>
              <w:t>指派的安保员应具有为政府部门提供安保服务的经验，每提供1名得2.5分，最高10分；</w:t>
            </w:r>
          </w:p>
          <w:p>
            <w:pPr>
              <w:pageBreakBefore w:val="0"/>
              <w:widowControl/>
              <w:kinsoku/>
              <w:overflowPunct/>
              <w:topLinePunct w:val="0"/>
              <w:bidi w:val="0"/>
              <w:spacing w:beforeAutospacing="0" w:afterAutospacing="0" w:line="240" w:lineRule="auto"/>
              <w:ind w:left="0" w:leftChars="0"/>
              <w:rPr>
                <w:rFonts w:ascii="宋体" w:hAnsi="宋体" w:eastAsia="宋体" w:cs="Times New Roman"/>
                <w:color w:val="auto"/>
                <w:kern w:val="2"/>
                <w:sz w:val="21"/>
                <w:szCs w:val="21"/>
                <w:highlight w:val="none"/>
                <w:lang w:val="en-US" w:eastAsia="zh-CN" w:bidi="ar-SA"/>
              </w:rPr>
            </w:pPr>
            <w:r>
              <w:rPr>
                <w:rFonts w:hint="eastAsia"/>
                <w:color w:val="auto"/>
                <w:highlight w:val="none"/>
                <w:lang w:val="en-US" w:eastAsia="zh-CN"/>
              </w:rPr>
              <w:t>本项目</w:t>
            </w:r>
            <w:r>
              <w:rPr>
                <w:rFonts w:hint="eastAsia"/>
                <w:color w:val="auto"/>
                <w:highlight w:val="none"/>
              </w:rPr>
              <w:t>合计最高得</w:t>
            </w:r>
            <w:r>
              <w:rPr>
                <w:rFonts w:hint="eastAsia"/>
                <w:color w:val="auto"/>
                <w:highlight w:val="none"/>
                <w:lang w:val="en-US" w:eastAsia="zh-CN"/>
              </w:rPr>
              <w:t>2</w:t>
            </w:r>
            <w:r>
              <w:rPr>
                <w:rFonts w:hint="eastAsia"/>
                <w:color w:val="auto"/>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2"/>
          <w:wAfter w:w="500" w:type="dxa"/>
          <w:jc w:val="center"/>
        </w:trPr>
        <w:tc>
          <w:tcPr>
            <w:tcW w:w="743" w:type="dxa"/>
            <w:gridSpan w:val="2"/>
            <w:vMerge w:val="restart"/>
            <w:tcBorders>
              <w:top w:val="nil"/>
              <w:left w:val="single" w:color="000000" w:sz="8" w:space="0"/>
              <w:bottom w:val="single" w:color="000000" w:sz="8" w:space="0"/>
              <w:right w:val="single" w:color="000000" w:sz="8" w:space="0"/>
            </w:tcBorders>
            <w:vAlign w:val="center"/>
          </w:tcPr>
          <w:p>
            <w:pPr>
              <w:pageBreakBefore w:val="0"/>
              <w:widowControl w:val="0"/>
              <w:kinsoku/>
              <w:wordWrap w:val="0"/>
              <w:overflowPunct/>
              <w:topLinePunct w:val="0"/>
              <w:bidi w:val="0"/>
              <w:spacing w:beforeAutospacing="0" w:afterAutospacing="0" w:line="560" w:lineRule="exact"/>
              <w:ind w:left="0"/>
              <w:jc w:val="center"/>
              <w:rPr>
                <w:rFonts w:ascii="宋体" w:hAnsi="宋体"/>
                <w:b/>
                <w:bCs/>
                <w:color w:val="auto"/>
                <w:kern w:val="2"/>
                <w:sz w:val="21"/>
                <w:szCs w:val="21"/>
                <w:highlight w:val="none"/>
              </w:rPr>
            </w:pPr>
            <w:r>
              <w:rPr>
                <w:rFonts w:hint="eastAsia" w:ascii="宋体" w:hAnsi="宋体"/>
                <w:b/>
                <w:bCs/>
                <w:color w:val="auto"/>
                <w:highlight w:val="none"/>
              </w:rPr>
              <w:t>3</w:t>
            </w:r>
          </w:p>
        </w:tc>
        <w:tc>
          <w:tcPr>
            <w:tcW w:w="2992" w:type="dxa"/>
            <w:gridSpan w:val="3"/>
            <w:tcBorders>
              <w:top w:val="single" w:color="000000" w:sz="8" w:space="0"/>
              <w:left w:val="nil"/>
              <w:bottom w:val="single" w:color="000000" w:sz="8" w:space="0"/>
              <w:right w:val="single" w:color="000000" w:sz="8" w:space="0"/>
            </w:tcBorders>
          </w:tcPr>
          <w:p>
            <w:pPr>
              <w:pageBreakBefore w:val="0"/>
              <w:widowControl w:val="0"/>
              <w:kinsoku/>
              <w:wordWrap w:val="0"/>
              <w:overflowPunct/>
              <w:topLinePunct w:val="0"/>
              <w:bidi w:val="0"/>
              <w:spacing w:beforeAutospacing="0" w:afterAutospacing="0" w:line="360" w:lineRule="exact"/>
              <w:ind w:left="0"/>
              <w:jc w:val="center"/>
              <w:rPr>
                <w:rFonts w:ascii="宋体" w:hAnsi="宋体"/>
                <w:color w:val="auto"/>
                <w:kern w:val="2"/>
                <w:sz w:val="21"/>
                <w:szCs w:val="21"/>
                <w:highlight w:val="none"/>
              </w:rPr>
            </w:pPr>
            <w:r>
              <w:rPr>
                <w:rFonts w:hint="eastAsia" w:ascii="宋体" w:hAnsi="宋体"/>
                <w:color w:val="auto"/>
                <w:highlight w:val="none"/>
              </w:rPr>
              <w:t>综合实力</w:t>
            </w:r>
          </w:p>
        </w:tc>
        <w:tc>
          <w:tcPr>
            <w:tcW w:w="5004" w:type="dxa"/>
            <w:tcBorders>
              <w:top w:val="single" w:color="000000" w:sz="8" w:space="0"/>
              <w:left w:val="nil"/>
              <w:bottom w:val="single" w:color="000000" w:sz="8" w:space="0"/>
              <w:right w:val="single" w:color="000000" w:sz="8" w:space="0"/>
            </w:tcBorders>
          </w:tcPr>
          <w:p>
            <w:pPr>
              <w:pageBreakBefore w:val="0"/>
              <w:widowControl w:val="0"/>
              <w:kinsoku/>
              <w:wordWrap w:val="0"/>
              <w:overflowPunct/>
              <w:topLinePunct w:val="0"/>
              <w:bidi w:val="0"/>
              <w:spacing w:beforeAutospacing="0" w:afterAutospacing="0" w:line="360" w:lineRule="exact"/>
              <w:ind w:left="0"/>
              <w:jc w:val="center"/>
              <w:rPr>
                <w:rFonts w:ascii="宋体" w:hAnsi="宋体"/>
                <w:color w:val="auto"/>
                <w:kern w:val="2"/>
                <w:sz w:val="21"/>
                <w:szCs w:val="21"/>
                <w:highlight w:val="none"/>
              </w:rPr>
            </w:pPr>
            <w:r>
              <w:rPr>
                <w:rFonts w:hint="eastAsia" w:ascii="宋体" w:hAnsi="宋体"/>
                <w:color w:val="auto"/>
                <w:highlight w:val="none"/>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2"/>
          <w:wAfter w:w="500" w:type="dxa"/>
          <w:jc w:val="center"/>
        </w:trPr>
        <w:tc>
          <w:tcPr>
            <w:tcW w:w="743" w:type="dxa"/>
            <w:gridSpan w:val="2"/>
            <w:vMerge w:val="continue"/>
            <w:tcBorders>
              <w:top w:val="nil"/>
              <w:left w:val="single" w:color="000000" w:sz="8" w:space="0"/>
              <w:bottom w:val="single" w:color="000000" w:sz="8" w:space="0"/>
              <w:right w:val="single" w:color="000000" w:sz="8" w:space="0"/>
            </w:tcBorders>
            <w:vAlign w:val="center"/>
          </w:tcPr>
          <w:p>
            <w:pPr>
              <w:pageBreakBefore w:val="0"/>
              <w:kinsoku/>
              <w:overflowPunct/>
              <w:topLinePunct w:val="0"/>
              <w:bidi w:val="0"/>
              <w:spacing w:beforeAutospacing="0" w:afterAutospacing="0" w:line="560" w:lineRule="exact"/>
              <w:ind w:left="0"/>
              <w:rPr>
                <w:rFonts w:ascii="宋体" w:hAnsi="宋体"/>
                <w:b/>
                <w:bCs/>
                <w:color w:val="auto"/>
                <w:kern w:val="2"/>
                <w:sz w:val="21"/>
                <w:szCs w:val="21"/>
                <w:highlight w:val="none"/>
              </w:rPr>
            </w:pPr>
          </w:p>
        </w:tc>
        <w:tc>
          <w:tcPr>
            <w:tcW w:w="588" w:type="dxa"/>
            <w:tcBorders>
              <w:top w:val="outset" w:color="000000" w:sz="6" w:space="0"/>
              <w:left w:val="outset" w:color="000000" w:sz="6" w:space="0"/>
              <w:bottom w:val="outset" w:color="000000" w:sz="6" w:space="0"/>
              <w:right w:val="outset" w:color="000000" w:sz="6" w:space="0"/>
            </w:tcBorders>
            <w:shd w:val="clear" w:color="auto" w:fill="E6EFFA"/>
            <w:vAlign w:val="center"/>
          </w:tcPr>
          <w:p>
            <w:pPr>
              <w:pageBreakBefore w:val="0"/>
              <w:widowControl w:val="0"/>
              <w:kinsoku/>
              <w:wordWrap w:val="0"/>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序号</w:t>
            </w:r>
          </w:p>
        </w:tc>
        <w:tc>
          <w:tcPr>
            <w:tcW w:w="1564" w:type="dxa"/>
            <w:tcBorders>
              <w:top w:val="outset" w:color="000000" w:sz="6" w:space="0"/>
              <w:left w:val="single" w:color="auto" w:sz="2" w:space="0"/>
              <w:bottom w:val="outset" w:color="000000" w:sz="6" w:space="0"/>
              <w:right w:val="outset" w:color="000000" w:sz="6" w:space="0"/>
            </w:tcBorders>
            <w:shd w:val="clear" w:color="auto" w:fill="E6EFFA"/>
            <w:vAlign w:val="center"/>
          </w:tcPr>
          <w:p>
            <w:pPr>
              <w:pageBreakBefore w:val="0"/>
              <w:widowControl w:val="0"/>
              <w:kinsoku/>
              <w:wordWrap w:val="0"/>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评分因素</w:t>
            </w:r>
          </w:p>
        </w:tc>
        <w:tc>
          <w:tcPr>
            <w:tcW w:w="840" w:type="dxa"/>
            <w:tcBorders>
              <w:top w:val="outset" w:color="000000" w:sz="6" w:space="0"/>
              <w:left w:val="single" w:color="auto" w:sz="2" w:space="0"/>
              <w:bottom w:val="outset" w:color="000000" w:sz="6" w:space="0"/>
              <w:right w:val="outset" w:color="000000" w:sz="6" w:space="0"/>
            </w:tcBorders>
            <w:shd w:val="clear" w:color="auto" w:fill="E6EFFA"/>
            <w:vAlign w:val="center"/>
          </w:tcPr>
          <w:p>
            <w:pPr>
              <w:pageBreakBefore w:val="0"/>
              <w:widowControl w:val="0"/>
              <w:kinsoku/>
              <w:wordWrap w:val="0"/>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权重(%)</w:t>
            </w:r>
          </w:p>
        </w:tc>
        <w:tc>
          <w:tcPr>
            <w:tcW w:w="5004" w:type="dxa"/>
            <w:tcBorders>
              <w:top w:val="outset" w:color="000000" w:sz="6" w:space="0"/>
              <w:left w:val="single" w:color="auto" w:sz="2" w:space="0"/>
              <w:bottom w:val="outset" w:color="000000" w:sz="6" w:space="0"/>
              <w:right w:val="outset" w:color="000000" w:sz="6" w:space="0"/>
            </w:tcBorders>
            <w:shd w:val="clear" w:color="auto" w:fill="E6EFFA"/>
            <w:vAlign w:val="center"/>
          </w:tcPr>
          <w:p>
            <w:pPr>
              <w:pageBreakBefore w:val="0"/>
              <w:widowControl w:val="0"/>
              <w:kinsoku/>
              <w:wordWrap w:val="0"/>
              <w:overflowPunct/>
              <w:topLinePunct w:val="0"/>
              <w:bidi w:val="0"/>
              <w:spacing w:beforeAutospacing="0" w:afterAutospacing="0" w:line="360" w:lineRule="exact"/>
              <w:ind w:left="0"/>
              <w:jc w:val="center"/>
              <w:rPr>
                <w:rFonts w:ascii="宋体" w:hAnsi="宋体"/>
                <w:color w:val="auto"/>
                <w:kern w:val="2"/>
                <w:sz w:val="21"/>
                <w:szCs w:val="21"/>
                <w:highlight w:val="none"/>
              </w:rPr>
            </w:pPr>
            <w:r>
              <w:rPr>
                <w:rFonts w:hint="eastAsia" w:ascii="宋体" w:hAnsi="宋体"/>
                <w:color w:val="auto"/>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2"/>
          <w:wAfter w:w="500" w:type="dxa"/>
          <w:jc w:val="center"/>
        </w:trPr>
        <w:tc>
          <w:tcPr>
            <w:tcW w:w="743" w:type="dxa"/>
            <w:gridSpan w:val="2"/>
            <w:vMerge w:val="continue"/>
            <w:tcBorders>
              <w:top w:val="nil"/>
              <w:left w:val="single" w:color="000000" w:sz="8" w:space="0"/>
              <w:bottom w:val="single" w:color="000000" w:sz="8" w:space="0"/>
              <w:right w:val="single" w:color="000000" w:sz="8" w:space="0"/>
            </w:tcBorders>
            <w:vAlign w:val="center"/>
          </w:tcPr>
          <w:p>
            <w:pPr>
              <w:pageBreakBefore w:val="0"/>
              <w:kinsoku/>
              <w:overflowPunct/>
              <w:topLinePunct w:val="0"/>
              <w:bidi w:val="0"/>
              <w:spacing w:beforeAutospacing="0" w:afterAutospacing="0" w:line="560" w:lineRule="exact"/>
              <w:ind w:left="0"/>
              <w:rPr>
                <w:rFonts w:ascii="宋体" w:hAnsi="宋体"/>
                <w:b/>
                <w:bCs/>
                <w:color w:val="auto"/>
                <w:kern w:val="2"/>
                <w:sz w:val="21"/>
                <w:szCs w:val="21"/>
                <w:highlight w:val="none"/>
              </w:rPr>
            </w:pPr>
          </w:p>
        </w:tc>
        <w:tc>
          <w:tcPr>
            <w:tcW w:w="588" w:type="dxa"/>
            <w:tcBorders>
              <w:top w:val="single" w:color="000000" w:sz="8" w:space="0"/>
              <w:left w:val="nil"/>
              <w:bottom w:val="single" w:color="000000" w:sz="8" w:space="0"/>
              <w:right w:val="single" w:color="000000" w:sz="8" w:space="0"/>
            </w:tcBorders>
            <w:vAlign w:val="center"/>
          </w:tcPr>
          <w:p>
            <w:pPr>
              <w:pageBreakBefore w:val="0"/>
              <w:widowControl w:val="0"/>
              <w:kinsoku/>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1</w:t>
            </w:r>
          </w:p>
        </w:tc>
        <w:tc>
          <w:tcPr>
            <w:tcW w:w="1564" w:type="dxa"/>
            <w:tcBorders>
              <w:top w:val="single" w:color="000000" w:sz="8" w:space="0"/>
              <w:left w:val="nil"/>
              <w:bottom w:val="single" w:color="000000" w:sz="8" w:space="0"/>
              <w:right w:val="single" w:color="000000" w:sz="8" w:space="0"/>
            </w:tcBorders>
            <w:vAlign w:val="center"/>
          </w:tcPr>
          <w:p>
            <w:pPr>
              <w:pStyle w:val="14"/>
              <w:pageBreakBefore w:val="0"/>
              <w:kinsoku/>
              <w:overflowPunct/>
              <w:topLinePunct w:val="0"/>
              <w:bidi w:val="0"/>
              <w:spacing w:before="0" w:beforeAutospacing="0" w:after="0" w:afterAutospacing="0" w:line="560" w:lineRule="exact"/>
              <w:ind w:left="0"/>
              <w:jc w:val="center"/>
              <w:rPr>
                <w:rFonts w:ascii="宋体" w:hAnsi="宋体"/>
                <w:b w:val="0"/>
                <w:bCs w:val="0"/>
                <w:color w:val="auto"/>
                <w:highlight w:val="none"/>
              </w:rPr>
            </w:pPr>
            <w:r>
              <w:rPr>
                <w:rFonts w:hint="eastAsia" w:ascii="宋体" w:hAnsi="宋体"/>
                <w:b w:val="0"/>
                <w:bCs w:val="0"/>
                <w:color w:val="auto"/>
                <w:highlight w:val="none"/>
              </w:rPr>
              <w:t>管理体系</w:t>
            </w:r>
          </w:p>
        </w:tc>
        <w:tc>
          <w:tcPr>
            <w:tcW w:w="840" w:type="dxa"/>
            <w:tcBorders>
              <w:top w:val="single" w:color="000000" w:sz="8" w:space="0"/>
              <w:left w:val="nil"/>
              <w:bottom w:val="single" w:color="000000" w:sz="8" w:space="0"/>
              <w:right w:val="single" w:color="000000" w:sz="8" w:space="0"/>
            </w:tcBorders>
            <w:vAlign w:val="center"/>
          </w:tcPr>
          <w:p>
            <w:pPr>
              <w:pStyle w:val="14"/>
              <w:pageBreakBefore w:val="0"/>
              <w:kinsoku/>
              <w:overflowPunct/>
              <w:topLinePunct w:val="0"/>
              <w:bidi w:val="0"/>
              <w:spacing w:before="0" w:beforeAutospacing="0" w:after="0" w:afterAutospacing="0" w:line="560" w:lineRule="exact"/>
              <w:ind w:left="0"/>
              <w:jc w:val="center"/>
              <w:rPr>
                <w:rFonts w:ascii="宋体" w:hAnsi="宋体"/>
                <w:color w:val="auto"/>
                <w:highlight w:val="none"/>
              </w:rPr>
            </w:pPr>
            <w:r>
              <w:rPr>
                <w:rFonts w:hint="eastAsia" w:ascii="宋体" w:hAnsi="宋体"/>
                <w:color w:val="auto"/>
                <w:highlight w:val="none"/>
              </w:rPr>
              <w:t>10</w:t>
            </w:r>
          </w:p>
        </w:tc>
        <w:tc>
          <w:tcPr>
            <w:tcW w:w="5004" w:type="dxa"/>
            <w:tcBorders>
              <w:top w:val="single" w:color="000000" w:sz="8" w:space="0"/>
              <w:left w:val="nil"/>
              <w:bottom w:val="single" w:color="000000" w:sz="8" w:space="0"/>
              <w:right w:val="single" w:color="000000" w:sz="8" w:space="0"/>
            </w:tcBorders>
            <w:vAlign w:val="center"/>
          </w:tcPr>
          <w:p>
            <w:pPr>
              <w:pStyle w:val="26"/>
              <w:pageBreakBefore w:val="0"/>
              <w:kinsoku/>
              <w:overflowPunct/>
              <w:topLinePunct w:val="0"/>
              <w:bidi w:val="0"/>
              <w:spacing w:beforeAutospacing="0" w:afterAutospacing="0" w:line="360" w:lineRule="exact"/>
              <w:ind w:left="0"/>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（一）考察内容：</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投标人具有以下认证证书且认证范围包含</w:t>
            </w:r>
            <w:r>
              <w:rPr>
                <w:rFonts w:hint="eastAsia" w:ascii="宋体" w:hAnsi="宋体" w:eastAsia="宋体"/>
                <w:color w:val="auto"/>
                <w:sz w:val="21"/>
                <w:szCs w:val="21"/>
                <w:highlight w:val="none"/>
                <w:lang w:eastAsia="zh-CN"/>
              </w:rPr>
              <w:t>保安</w:t>
            </w:r>
            <w:r>
              <w:rPr>
                <w:rFonts w:hint="eastAsia" w:ascii="宋体" w:hAnsi="宋体" w:eastAsia="宋体"/>
                <w:color w:val="auto"/>
                <w:sz w:val="21"/>
                <w:szCs w:val="21"/>
                <w:highlight w:val="none"/>
              </w:rPr>
              <w:t>服务的：</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（1）获得质量管理体系认证的得</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分；</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（2）获得职业健康安</w:t>
            </w:r>
            <w:r>
              <w:rPr>
                <w:rFonts w:hint="eastAsia" w:ascii="宋体" w:hAnsi="宋体" w:eastAsia="宋体"/>
                <w:color w:val="auto"/>
                <w:sz w:val="21"/>
                <w:szCs w:val="21"/>
                <w:highlight w:val="none"/>
                <w:lang w:eastAsia="zh-CN"/>
              </w:rPr>
              <w:t>全</w:t>
            </w:r>
            <w:r>
              <w:rPr>
                <w:rFonts w:hint="eastAsia" w:ascii="宋体" w:hAnsi="宋体" w:eastAsia="宋体"/>
                <w:color w:val="auto"/>
                <w:sz w:val="21"/>
                <w:szCs w:val="21"/>
                <w:highlight w:val="none"/>
              </w:rPr>
              <w:t>管理体系认证书的得2分；</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（3）获得应急预案管理能力评价认证的得2分；</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（4）获得社会责任管理体系认证的得2分；</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（5）获得反贿赂管理体系认证的得2分；</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以上得分累计，最高</w:t>
            </w:r>
            <w:r>
              <w:rPr>
                <w:rFonts w:hint="eastAsia" w:ascii="宋体" w:hAnsi="宋体" w:eastAsia="宋体"/>
                <w:color w:val="auto"/>
                <w:sz w:val="21"/>
                <w:szCs w:val="21"/>
                <w:highlight w:val="none"/>
                <w:lang w:val="en-US" w:eastAsia="zh-CN"/>
              </w:rPr>
              <w:t>10</w:t>
            </w:r>
            <w:r>
              <w:rPr>
                <w:rFonts w:hint="eastAsia" w:ascii="宋体" w:hAnsi="宋体" w:eastAsia="宋体"/>
                <w:color w:val="auto"/>
                <w:sz w:val="21"/>
                <w:szCs w:val="21"/>
                <w:highlight w:val="none"/>
              </w:rPr>
              <w:t>分。</w:t>
            </w:r>
          </w:p>
          <w:p>
            <w:pPr>
              <w:pStyle w:val="26"/>
              <w:pageBreakBefore w:val="0"/>
              <w:kinsoku/>
              <w:overflowPunct/>
              <w:topLinePunct w:val="0"/>
              <w:bidi w:val="0"/>
              <w:spacing w:beforeAutospacing="0" w:afterAutospacing="0" w:line="360" w:lineRule="exact"/>
              <w:ind w:left="0"/>
              <w:jc w:val="left"/>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（二）评分依据：</w:t>
            </w:r>
          </w:p>
          <w:p>
            <w:pPr>
              <w:pageBreakBefore w:val="0"/>
              <w:kinsoku/>
              <w:overflowPunct/>
              <w:topLinePunct w:val="0"/>
              <w:bidi w:val="0"/>
              <w:spacing w:beforeAutospacing="0" w:afterAutospacing="0" w:line="360" w:lineRule="exact"/>
              <w:ind w:left="0"/>
              <w:rPr>
                <w:rFonts w:ascii="宋体" w:hAnsi="宋体"/>
                <w:color w:val="auto"/>
                <w:kern w:val="2"/>
                <w:sz w:val="21"/>
                <w:szCs w:val="21"/>
                <w:highlight w:val="none"/>
              </w:rPr>
            </w:pPr>
            <w:r>
              <w:rPr>
                <w:rFonts w:hint="eastAsia" w:ascii="宋体" w:hAnsi="宋体" w:cs="宋体"/>
                <w:color w:val="auto"/>
                <w:kern w:val="2"/>
                <w:sz w:val="21"/>
                <w:szCs w:val="21"/>
                <w:highlight w:val="none"/>
              </w:rPr>
              <w:t>提供相关认证证书及全国认证认可信息公共服务平台（http://cx.cnca.cn）查询截图（编号一致，截图需显示证书状态为有效）；原件备查。未提供或未按要求提供或提供不清晰导致专家无法判断的不得分。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2"/>
          <w:wAfter w:w="500" w:type="dxa"/>
          <w:jc w:val="center"/>
        </w:trPr>
        <w:tc>
          <w:tcPr>
            <w:tcW w:w="743" w:type="dxa"/>
            <w:gridSpan w:val="2"/>
            <w:vMerge w:val="continue"/>
            <w:tcBorders>
              <w:top w:val="nil"/>
              <w:left w:val="single" w:color="000000" w:sz="8" w:space="0"/>
              <w:bottom w:val="single" w:color="000000" w:sz="8" w:space="0"/>
              <w:right w:val="single" w:color="000000" w:sz="8" w:space="0"/>
            </w:tcBorders>
            <w:vAlign w:val="center"/>
          </w:tcPr>
          <w:p>
            <w:pPr>
              <w:pageBreakBefore w:val="0"/>
              <w:kinsoku/>
              <w:overflowPunct/>
              <w:topLinePunct w:val="0"/>
              <w:bidi w:val="0"/>
              <w:spacing w:beforeAutospacing="0" w:afterAutospacing="0" w:line="560" w:lineRule="exact"/>
              <w:ind w:left="0"/>
              <w:rPr>
                <w:rFonts w:ascii="宋体" w:hAnsi="宋体"/>
                <w:b/>
                <w:bCs/>
                <w:color w:val="auto"/>
                <w:kern w:val="2"/>
                <w:sz w:val="21"/>
                <w:szCs w:val="21"/>
                <w:highlight w:val="none"/>
              </w:rPr>
            </w:pPr>
          </w:p>
        </w:tc>
        <w:tc>
          <w:tcPr>
            <w:tcW w:w="588" w:type="dxa"/>
            <w:tcBorders>
              <w:top w:val="single" w:color="000000" w:sz="8" w:space="0"/>
              <w:left w:val="nil"/>
              <w:bottom w:val="single" w:color="000000" w:sz="8" w:space="0"/>
              <w:right w:val="single" w:color="000000" w:sz="8" w:space="0"/>
            </w:tcBorders>
            <w:vAlign w:val="center"/>
          </w:tcPr>
          <w:p>
            <w:pPr>
              <w:pageBreakBefore w:val="0"/>
              <w:widowControl w:val="0"/>
              <w:kinsoku/>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2</w:t>
            </w:r>
          </w:p>
        </w:tc>
        <w:tc>
          <w:tcPr>
            <w:tcW w:w="1564" w:type="dxa"/>
            <w:tcBorders>
              <w:top w:val="single" w:color="000000" w:sz="8" w:space="0"/>
              <w:left w:val="nil"/>
              <w:bottom w:val="single" w:color="000000" w:sz="8" w:space="0"/>
              <w:right w:val="single" w:color="000000" w:sz="8" w:space="0"/>
            </w:tcBorders>
            <w:vAlign w:val="center"/>
          </w:tcPr>
          <w:p>
            <w:pPr>
              <w:pStyle w:val="14"/>
              <w:pageBreakBefore w:val="0"/>
              <w:kinsoku/>
              <w:overflowPunct/>
              <w:topLinePunct w:val="0"/>
              <w:bidi w:val="0"/>
              <w:spacing w:before="0" w:beforeAutospacing="0" w:after="0" w:afterAutospacing="0" w:line="560" w:lineRule="exact"/>
              <w:ind w:left="0"/>
              <w:jc w:val="center"/>
              <w:rPr>
                <w:rFonts w:ascii="宋体" w:hAnsi="宋体"/>
                <w:b w:val="0"/>
                <w:bCs w:val="0"/>
                <w:color w:val="auto"/>
                <w:highlight w:val="none"/>
              </w:rPr>
            </w:pPr>
            <w:r>
              <w:rPr>
                <w:rFonts w:hint="eastAsia" w:ascii="宋体" w:hAnsi="宋体"/>
                <w:b w:val="0"/>
                <w:bCs w:val="0"/>
                <w:color w:val="auto"/>
                <w:highlight w:val="none"/>
              </w:rPr>
              <w:t>企业荣誉</w:t>
            </w:r>
          </w:p>
        </w:tc>
        <w:tc>
          <w:tcPr>
            <w:tcW w:w="840" w:type="dxa"/>
            <w:tcBorders>
              <w:top w:val="single" w:color="000000" w:sz="8" w:space="0"/>
              <w:left w:val="nil"/>
              <w:bottom w:val="single" w:color="000000" w:sz="8" w:space="0"/>
              <w:right w:val="single" w:color="000000" w:sz="8" w:space="0"/>
            </w:tcBorders>
            <w:vAlign w:val="center"/>
          </w:tcPr>
          <w:p>
            <w:pPr>
              <w:pStyle w:val="14"/>
              <w:pageBreakBefore w:val="0"/>
              <w:kinsoku/>
              <w:overflowPunct/>
              <w:topLinePunct w:val="0"/>
              <w:bidi w:val="0"/>
              <w:spacing w:before="0" w:beforeAutospacing="0" w:after="0" w:afterAutospacing="0" w:line="560" w:lineRule="exact"/>
              <w:ind w:left="0"/>
              <w:jc w:val="center"/>
              <w:rPr>
                <w:rFonts w:ascii="宋体" w:hAnsi="宋体"/>
                <w:color w:val="auto"/>
                <w:highlight w:val="none"/>
              </w:rPr>
            </w:pPr>
            <w:r>
              <w:rPr>
                <w:rFonts w:hint="eastAsia" w:ascii="宋体" w:hAnsi="宋体"/>
                <w:color w:val="auto"/>
                <w:highlight w:val="none"/>
              </w:rPr>
              <w:t>5</w:t>
            </w:r>
          </w:p>
        </w:tc>
        <w:tc>
          <w:tcPr>
            <w:tcW w:w="5004" w:type="dxa"/>
            <w:tcBorders>
              <w:top w:val="single" w:color="000000" w:sz="8" w:space="0"/>
              <w:left w:val="nil"/>
              <w:bottom w:val="single" w:color="000000" w:sz="8" w:space="0"/>
              <w:right w:val="single" w:color="000000" w:sz="8" w:space="0"/>
            </w:tcBorders>
            <w:vAlign w:val="center"/>
          </w:tcPr>
          <w:p>
            <w:pPr>
              <w:pStyle w:val="26"/>
              <w:pageBreakBefore w:val="0"/>
              <w:kinsoku/>
              <w:overflowPunct/>
              <w:topLinePunct w:val="0"/>
              <w:bidi w:val="0"/>
              <w:spacing w:beforeAutospacing="0" w:afterAutospacing="0" w:line="360" w:lineRule="exact"/>
              <w:ind w:left="0"/>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（一）考察内容：</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投标人</w:t>
            </w:r>
            <w:r>
              <w:rPr>
                <w:rFonts w:hint="eastAsia" w:ascii="宋体" w:hAnsi="宋体" w:eastAsia="宋体"/>
                <w:color w:val="auto"/>
                <w:sz w:val="21"/>
                <w:szCs w:val="21"/>
                <w:highlight w:val="none"/>
                <w:lang w:eastAsia="zh-CN"/>
              </w:rPr>
              <w:t>自</w:t>
            </w:r>
            <w:r>
              <w:rPr>
                <w:rFonts w:hint="eastAsia" w:ascii="宋体" w:hAnsi="宋体" w:eastAsia="宋体"/>
                <w:color w:val="auto"/>
                <w:sz w:val="21"/>
                <w:szCs w:val="21"/>
                <w:highlight w:val="none"/>
                <w:lang w:val="en-US" w:eastAsia="zh-CN"/>
              </w:rPr>
              <w:t>2021年1月起</w:t>
            </w:r>
            <w:r>
              <w:rPr>
                <w:rFonts w:hint="eastAsia" w:ascii="宋体" w:hAnsi="宋体" w:eastAsia="宋体"/>
                <w:color w:val="auto"/>
                <w:sz w:val="21"/>
                <w:szCs w:val="21"/>
                <w:highlight w:val="none"/>
              </w:rPr>
              <w:t>至本项目投标截止之日止</w:t>
            </w:r>
            <w:r>
              <w:rPr>
                <w:rFonts w:hint="eastAsia" w:ascii="宋体" w:hAnsi="宋体" w:eastAsia="宋体"/>
                <w:color w:val="auto"/>
                <w:sz w:val="21"/>
                <w:szCs w:val="21"/>
                <w:highlight w:val="none"/>
                <w:lang w:eastAsia="zh-CN"/>
              </w:rPr>
              <w:t>（以荣誉颁发日期为准），获得具有</w:t>
            </w:r>
            <w:r>
              <w:rPr>
                <w:rFonts w:hint="eastAsia" w:ascii="宋体" w:hAnsi="宋体" w:eastAsia="宋体"/>
                <w:color w:val="auto"/>
                <w:sz w:val="21"/>
                <w:szCs w:val="21"/>
                <w:highlight w:val="none"/>
              </w:rPr>
              <w:t>政府部门或事业单位颁发的</w:t>
            </w:r>
            <w:r>
              <w:rPr>
                <w:rFonts w:hint="eastAsia" w:ascii="宋体" w:hAnsi="宋体" w:eastAsia="宋体"/>
                <w:color w:val="auto"/>
                <w:sz w:val="21"/>
                <w:szCs w:val="21"/>
                <w:highlight w:val="none"/>
                <w:lang w:eastAsia="zh-CN"/>
              </w:rPr>
              <w:t>保安</w:t>
            </w:r>
            <w:r>
              <w:rPr>
                <w:rFonts w:hint="eastAsia" w:ascii="宋体" w:hAnsi="宋体" w:eastAsia="宋体"/>
                <w:color w:val="auto"/>
                <w:sz w:val="21"/>
                <w:szCs w:val="21"/>
                <w:highlight w:val="none"/>
              </w:rPr>
              <w:t>相关荣誉</w:t>
            </w:r>
            <w:r>
              <w:rPr>
                <w:rFonts w:hint="eastAsia" w:ascii="宋体" w:hAnsi="宋体" w:eastAsia="宋体"/>
                <w:color w:val="auto"/>
                <w:sz w:val="21"/>
                <w:szCs w:val="21"/>
                <w:highlight w:val="none"/>
                <w:lang w:eastAsia="zh-CN"/>
              </w:rPr>
              <w:t>，每提供</w:t>
            </w:r>
            <w:r>
              <w:rPr>
                <w:rFonts w:hint="eastAsia" w:ascii="宋体" w:hAnsi="宋体" w:eastAsia="宋体"/>
                <w:color w:val="auto"/>
                <w:sz w:val="21"/>
                <w:szCs w:val="21"/>
                <w:highlight w:val="none"/>
                <w:lang w:val="en-US" w:eastAsia="zh-CN"/>
              </w:rPr>
              <w:t>1个得2.5分</w:t>
            </w:r>
            <w:r>
              <w:rPr>
                <w:rFonts w:hint="eastAsia" w:ascii="宋体" w:hAnsi="宋体" w:eastAsia="宋体"/>
                <w:color w:val="auto"/>
                <w:sz w:val="21"/>
                <w:szCs w:val="21"/>
                <w:highlight w:val="none"/>
                <w:lang w:eastAsia="zh-CN"/>
              </w:rPr>
              <w:t>，</w:t>
            </w:r>
            <w:r>
              <w:rPr>
                <w:rFonts w:hint="eastAsia" w:ascii="宋体" w:hAnsi="宋体" w:eastAsia="宋体"/>
                <w:b/>
                <w:bCs/>
                <w:color w:val="auto"/>
                <w:sz w:val="21"/>
                <w:szCs w:val="21"/>
                <w:highlight w:val="none"/>
                <w:lang w:eastAsia="zh-CN"/>
              </w:rPr>
              <w:t>本项最高得</w:t>
            </w:r>
            <w:r>
              <w:rPr>
                <w:rFonts w:hint="eastAsia" w:ascii="宋体" w:hAnsi="宋体" w:eastAsia="宋体"/>
                <w:b/>
                <w:bCs/>
                <w:color w:val="auto"/>
                <w:sz w:val="21"/>
                <w:szCs w:val="21"/>
                <w:highlight w:val="none"/>
                <w:lang w:val="en-US" w:eastAsia="zh-CN"/>
              </w:rPr>
              <w:t>5分</w:t>
            </w:r>
            <w:r>
              <w:rPr>
                <w:rFonts w:hint="eastAsia" w:ascii="宋体" w:hAnsi="宋体" w:eastAsia="宋体"/>
                <w:b/>
                <w:bCs/>
                <w:color w:val="auto"/>
                <w:sz w:val="21"/>
                <w:szCs w:val="21"/>
                <w:highlight w:val="none"/>
                <w:lang w:eastAsia="zh-CN"/>
              </w:rPr>
              <w:t>。</w:t>
            </w:r>
          </w:p>
          <w:p>
            <w:pPr>
              <w:pStyle w:val="26"/>
              <w:pageBreakBefore w:val="0"/>
              <w:kinsoku/>
              <w:overflowPunct/>
              <w:topLinePunct w:val="0"/>
              <w:bidi w:val="0"/>
              <w:spacing w:beforeAutospacing="0" w:afterAutospacing="0" w:line="360" w:lineRule="exact"/>
              <w:ind w:left="0"/>
              <w:jc w:val="left"/>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（二）评分依据：</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1.提供</w:t>
            </w:r>
            <w:r>
              <w:rPr>
                <w:rFonts w:hint="eastAsia" w:ascii="宋体" w:hAnsi="宋体" w:eastAsia="宋体"/>
                <w:color w:val="auto"/>
                <w:sz w:val="21"/>
                <w:szCs w:val="21"/>
                <w:highlight w:val="none"/>
                <w:lang w:eastAsia="zh-CN"/>
              </w:rPr>
              <w:t>相关</w:t>
            </w:r>
            <w:r>
              <w:rPr>
                <w:rFonts w:hint="eastAsia" w:ascii="宋体" w:hAnsi="宋体" w:eastAsia="宋体"/>
                <w:color w:val="auto"/>
                <w:sz w:val="21"/>
                <w:szCs w:val="21"/>
                <w:highlight w:val="none"/>
              </w:rPr>
              <w:t>荣誉</w:t>
            </w:r>
            <w:r>
              <w:rPr>
                <w:rFonts w:hint="eastAsia" w:ascii="宋体" w:hAnsi="宋体" w:eastAsia="宋体"/>
                <w:color w:val="auto"/>
                <w:sz w:val="21"/>
                <w:szCs w:val="21"/>
                <w:highlight w:val="none"/>
                <w:lang w:eastAsia="zh-CN"/>
              </w:rPr>
              <w:t>证书（或奖牌）</w:t>
            </w:r>
            <w:r>
              <w:rPr>
                <w:rFonts w:hint="eastAsia" w:ascii="宋体" w:hAnsi="宋体" w:eastAsia="宋体"/>
                <w:color w:val="auto"/>
                <w:sz w:val="21"/>
                <w:szCs w:val="21"/>
                <w:highlight w:val="none"/>
              </w:rPr>
              <w:t>等证明材料扫描件，原件备查；</w:t>
            </w:r>
          </w:p>
          <w:p>
            <w:pPr>
              <w:pStyle w:val="26"/>
              <w:pageBreakBefore w:val="0"/>
              <w:kinsoku/>
              <w:overflowPunct/>
              <w:topLinePunct w:val="0"/>
              <w:bidi w:val="0"/>
              <w:spacing w:beforeAutospacing="0" w:afterAutospacing="0" w:line="360" w:lineRule="exact"/>
              <w:ind w:left="0"/>
              <w:jc w:val="left"/>
              <w:rPr>
                <w:rFonts w:ascii="宋体" w:hAnsi="宋体" w:eastAsia="宋体"/>
                <w:color w:val="auto"/>
                <w:sz w:val="21"/>
                <w:szCs w:val="21"/>
                <w:highlight w:val="none"/>
              </w:rPr>
            </w:pPr>
            <w:r>
              <w:rPr>
                <w:rFonts w:hint="eastAsia" w:ascii="宋体" w:hAnsi="宋体" w:eastAsia="宋体"/>
                <w:color w:val="auto"/>
                <w:sz w:val="21"/>
                <w:szCs w:val="21"/>
                <w:highlight w:val="none"/>
              </w:rPr>
              <w:t>2.未按要求提供或提供不清晰导致专家无法判断</w:t>
            </w:r>
            <w:r>
              <w:rPr>
                <w:rFonts w:hint="eastAsia" w:ascii="宋体" w:hAnsi="宋体" w:eastAsia="宋体"/>
                <w:color w:val="auto"/>
                <w:sz w:val="21"/>
                <w:szCs w:val="21"/>
                <w:highlight w:val="none"/>
                <w:lang w:eastAsia="zh-CN"/>
              </w:rPr>
              <w:t>是否得分的作</w:t>
            </w:r>
            <w:r>
              <w:rPr>
                <w:rFonts w:hint="eastAsia" w:ascii="宋体" w:hAnsi="宋体" w:eastAsia="宋体"/>
                <w:color w:val="auto"/>
                <w:sz w:val="21"/>
                <w:szCs w:val="21"/>
                <w:highlight w:val="none"/>
              </w:rPr>
              <w:t>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2"/>
          <w:wAfter w:w="500" w:type="dxa"/>
          <w:jc w:val="center"/>
        </w:trPr>
        <w:tc>
          <w:tcPr>
            <w:tcW w:w="743" w:type="dxa"/>
            <w:gridSpan w:val="2"/>
            <w:vMerge w:val="continue"/>
            <w:tcBorders>
              <w:top w:val="nil"/>
              <w:left w:val="single" w:color="000000" w:sz="8" w:space="0"/>
              <w:bottom w:val="single" w:color="000000" w:sz="8" w:space="0"/>
              <w:right w:val="single" w:color="000000" w:sz="8" w:space="0"/>
            </w:tcBorders>
            <w:vAlign w:val="center"/>
          </w:tcPr>
          <w:p>
            <w:pPr>
              <w:pageBreakBefore w:val="0"/>
              <w:kinsoku/>
              <w:overflowPunct/>
              <w:topLinePunct w:val="0"/>
              <w:bidi w:val="0"/>
              <w:spacing w:beforeAutospacing="0" w:afterAutospacing="0" w:line="560" w:lineRule="exact"/>
              <w:ind w:left="0"/>
              <w:rPr>
                <w:rFonts w:ascii="宋体" w:hAnsi="宋体"/>
                <w:b/>
                <w:bCs/>
                <w:color w:val="auto"/>
                <w:kern w:val="2"/>
                <w:sz w:val="21"/>
                <w:szCs w:val="21"/>
                <w:highlight w:val="none"/>
              </w:rPr>
            </w:pPr>
          </w:p>
        </w:tc>
        <w:tc>
          <w:tcPr>
            <w:tcW w:w="588" w:type="dxa"/>
            <w:tcBorders>
              <w:top w:val="single" w:color="000000" w:sz="8" w:space="0"/>
              <w:left w:val="nil"/>
              <w:bottom w:val="single" w:color="000000" w:sz="8" w:space="0"/>
              <w:right w:val="single" w:color="000000" w:sz="8" w:space="0"/>
            </w:tcBorders>
            <w:vAlign w:val="center"/>
          </w:tcPr>
          <w:p>
            <w:pPr>
              <w:pageBreakBefore w:val="0"/>
              <w:widowControl w:val="0"/>
              <w:kinsoku/>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3</w:t>
            </w:r>
          </w:p>
        </w:tc>
        <w:tc>
          <w:tcPr>
            <w:tcW w:w="1564" w:type="dxa"/>
            <w:tcBorders>
              <w:top w:val="single" w:color="000000" w:sz="8" w:space="0"/>
              <w:left w:val="nil"/>
              <w:bottom w:val="single" w:color="000000" w:sz="8" w:space="0"/>
              <w:right w:val="single" w:color="000000" w:sz="8" w:space="0"/>
            </w:tcBorders>
            <w:vAlign w:val="center"/>
          </w:tcPr>
          <w:p>
            <w:pPr>
              <w:pStyle w:val="14"/>
              <w:pageBreakBefore w:val="0"/>
              <w:kinsoku/>
              <w:overflowPunct/>
              <w:topLinePunct w:val="0"/>
              <w:bidi w:val="0"/>
              <w:spacing w:before="0" w:beforeAutospacing="0" w:after="0" w:afterAutospacing="0" w:line="560" w:lineRule="exact"/>
              <w:ind w:left="0"/>
              <w:jc w:val="center"/>
              <w:rPr>
                <w:rFonts w:ascii="宋体" w:hAnsi="宋体"/>
                <w:b w:val="0"/>
                <w:bCs w:val="0"/>
                <w:color w:val="auto"/>
                <w:highlight w:val="none"/>
              </w:rPr>
            </w:pPr>
            <w:r>
              <w:rPr>
                <w:rFonts w:hint="eastAsia" w:ascii="宋体" w:hAnsi="宋体"/>
                <w:b w:val="0"/>
                <w:bCs w:val="0"/>
                <w:color w:val="auto"/>
                <w:highlight w:val="none"/>
              </w:rPr>
              <w:t>同类项目业绩</w:t>
            </w:r>
          </w:p>
        </w:tc>
        <w:tc>
          <w:tcPr>
            <w:tcW w:w="840" w:type="dxa"/>
            <w:tcBorders>
              <w:top w:val="single" w:color="000000" w:sz="8" w:space="0"/>
              <w:left w:val="nil"/>
              <w:bottom w:val="single" w:color="000000" w:sz="8" w:space="0"/>
              <w:right w:val="single" w:color="000000" w:sz="8" w:space="0"/>
            </w:tcBorders>
            <w:vAlign w:val="center"/>
          </w:tcPr>
          <w:p>
            <w:pPr>
              <w:pStyle w:val="14"/>
              <w:pageBreakBefore w:val="0"/>
              <w:kinsoku/>
              <w:overflowPunct/>
              <w:topLinePunct w:val="0"/>
              <w:bidi w:val="0"/>
              <w:spacing w:before="0" w:beforeAutospacing="0" w:after="0" w:afterAutospacing="0" w:line="560" w:lineRule="exact"/>
              <w:ind w:left="0"/>
              <w:jc w:val="center"/>
              <w:rPr>
                <w:rFonts w:ascii="宋体" w:hAnsi="宋体"/>
                <w:color w:val="auto"/>
                <w:highlight w:val="none"/>
              </w:rPr>
            </w:pPr>
            <w:r>
              <w:rPr>
                <w:rFonts w:hint="eastAsia" w:ascii="宋体" w:hAnsi="宋体"/>
                <w:color w:val="auto"/>
                <w:highlight w:val="none"/>
              </w:rPr>
              <w:t>5</w:t>
            </w:r>
          </w:p>
        </w:tc>
        <w:tc>
          <w:tcPr>
            <w:tcW w:w="5004" w:type="dxa"/>
            <w:tcBorders>
              <w:top w:val="single" w:color="000000" w:sz="8" w:space="0"/>
              <w:left w:val="nil"/>
              <w:bottom w:val="single" w:color="000000" w:sz="8" w:space="0"/>
              <w:right w:val="single" w:color="000000" w:sz="8" w:space="0"/>
            </w:tcBorders>
            <w:vAlign w:val="center"/>
          </w:tcPr>
          <w:p>
            <w:pPr>
              <w:pStyle w:val="26"/>
              <w:pageBreakBefore w:val="0"/>
              <w:kinsoku/>
              <w:overflowPunct/>
              <w:topLinePunct w:val="0"/>
              <w:bidi w:val="0"/>
              <w:spacing w:beforeAutospacing="0" w:afterAutospacing="0" w:line="360" w:lineRule="exact"/>
              <w:ind w:left="0"/>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（一）考察内容：</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投标人提供自202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年1月1日至本项目投标截止日止（以合同签订日期为准）</w:t>
            </w:r>
            <w:r>
              <w:rPr>
                <w:rFonts w:hint="eastAsia" w:ascii="宋体" w:hAnsi="宋体" w:eastAsia="宋体"/>
                <w:color w:val="auto"/>
                <w:sz w:val="21"/>
                <w:szCs w:val="21"/>
                <w:highlight w:val="none"/>
                <w:lang w:eastAsia="zh-CN"/>
              </w:rPr>
              <w:t>承接的同类</w:t>
            </w:r>
            <w:r>
              <w:rPr>
                <w:rFonts w:hint="eastAsia" w:ascii="宋体" w:hAnsi="宋体" w:eastAsia="宋体"/>
                <w:color w:val="auto"/>
                <w:sz w:val="21"/>
                <w:szCs w:val="21"/>
                <w:highlight w:val="none"/>
              </w:rPr>
              <w:t>项目业绩</w:t>
            </w:r>
            <w:r>
              <w:rPr>
                <w:rFonts w:hint="eastAsia" w:ascii="宋体" w:hAnsi="宋体" w:eastAsia="宋体"/>
                <w:color w:val="auto"/>
                <w:sz w:val="21"/>
                <w:szCs w:val="21"/>
                <w:highlight w:val="none"/>
                <w:lang w:eastAsia="zh-CN"/>
              </w:rPr>
              <w:t>合同</w:t>
            </w:r>
            <w:r>
              <w:rPr>
                <w:rFonts w:hint="eastAsia" w:ascii="宋体" w:hAnsi="宋体" w:eastAsia="宋体"/>
                <w:color w:val="auto"/>
                <w:sz w:val="21"/>
                <w:szCs w:val="21"/>
                <w:highlight w:val="none"/>
              </w:rPr>
              <w:t>。</w:t>
            </w:r>
          </w:p>
          <w:p>
            <w:pPr>
              <w:pStyle w:val="26"/>
              <w:pageBreakBefore w:val="0"/>
              <w:kinsoku/>
              <w:overflowPunct/>
              <w:topLinePunct w:val="0"/>
              <w:bidi w:val="0"/>
              <w:spacing w:beforeAutospacing="0" w:afterAutospacing="0" w:line="360" w:lineRule="exact"/>
              <w:ind w:left="0"/>
              <w:jc w:val="left"/>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（二）评分依据：</w:t>
            </w:r>
          </w:p>
          <w:p>
            <w:pPr>
              <w:pStyle w:val="26"/>
              <w:pageBreakBefore w:val="0"/>
              <w:kinsoku/>
              <w:overflowPunct/>
              <w:topLinePunct w:val="0"/>
              <w:bidi w:val="0"/>
              <w:spacing w:beforeAutospacing="0" w:afterAutospacing="0" w:line="360" w:lineRule="exact"/>
              <w:ind w:left="0"/>
              <w:jc w:val="left"/>
              <w:rPr>
                <w:rFonts w:hint="eastAsia" w:ascii="宋体" w:hAnsi="宋体" w:eastAsia="宋体"/>
                <w:b/>
                <w:bCs/>
                <w:color w:val="auto"/>
                <w:sz w:val="21"/>
                <w:szCs w:val="21"/>
                <w:highlight w:val="none"/>
                <w:lang w:val="en-US" w:eastAsia="zh-CN"/>
              </w:rPr>
            </w:pPr>
            <w:r>
              <w:rPr>
                <w:rFonts w:hint="eastAsia" w:ascii="宋体" w:hAnsi="宋体" w:eastAsia="宋体"/>
                <w:b/>
                <w:bCs/>
                <w:color w:val="auto"/>
                <w:sz w:val="21"/>
                <w:szCs w:val="21"/>
                <w:highlight w:val="none"/>
                <w:lang w:eastAsia="zh-CN"/>
              </w:rPr>
              <w:t>每提供</w:t>
            </w:r>
            <w:r>
              <w:rPr>
                <w:rFonts w:hint="eastAsia" w:ascii="宋体" w:hAnsi="宋体" w:eastAsia="宋体"/>
                <w:b/>
                <w:bCs/>
                <w:color w:val="auto"/>
                <w:sz w:val="21"/>
                <w:szCs w:val="21"/>
                <w:highlight w:val="none"/>
                <w:lang w:val="en-US" w:eastAsia="zh-CN"/>
              </w:rPr>
              <w:t>1个得1分，最高得5分。</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注：</w:t>
            </w:r>
          </w:p>
          <w:p>
            <w:pPr>
              <w:pStyle w:val="26"/>
              <w:pageBreakBefore w:val="0"/>
              <w:numPr>
                <w:ilvl w:val="0"/>
                <w:numId w:val="4"/>
              </w:numPr>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续签合同按一个合同计算，不重复得分。</w:t>
            </w:r>
          </w:p>
          <w:p>
            <w:pPr>
              <w:pStyle w:val="26"/>
              <w:pageBreakBefore w:val="0"/>
              <w:kinsoku/>
              <w:overflowPunct/>
              <w:topLinePunct w:val="0"/>
              <w:bidi w:val="0"/>
              <w:spacing w:beforeAutospacing="0" w:afterAutospacing="0" w:line="360" w:lineRule="exact"/>
              <w:ind w:left="0"/>
              <w:jc w:val="left"/>
              <w:rPr>
                <w:rFonts w:ascii="宋体" w:hAnsi="宋体" w:eastAsia="宋体"/>
                <w:color w:val="auto"/>
                <w:sz w:val="21"/>
                <w:szCs w:val="21"/>
                <w:highlight w:val="none"/>
              </w:rPr>
            </w:pPr>
            <w:r>
              <w:rPr>
                <w:rFonts w:hint="eastAsia" w:ascii="宋体" w:hAnsi="宋体" w:eastAsia="宋体"/>
                <w:color w:val="auto"/>
                <w:sz w:val="21"/>
                <w:szCs w:val="21"/>
                <w:highlight w:val="none"/>
              </w:rPr>
              <w:t>提供项目合同关键页（关键页包括但不限于</w:t>
            </w:r>
            <w:r>
              <w:rPr>
                <w:rFonts w:hint="eastAsia" w:ascii="宋体" w:hAnsi="宋体" w:eastAsia="宋体"/>
                <w:color w:val="auto"/>
                <w:sz w:val="21"/>
                <w:szCs w:val="21"/>
                <w:highlight w:val="none"/>
                <w:lang w:eastAsia="zh-CN"/>
              </w:rPr>
              <w:t>合同首页、</w:t>
            </w:r>
            <w:r>
              <w:rPr>
                <w:rFonts w:hint="eastAsia" w:ascii="宋体" w:hAnsi="宋体" w:eastAsia="宋体"/>
                <w:color w:val="auto"/>
                <w:sz w:val="21"/>
                <w:szCs w:val="21"/>
                <w:highlight w:val="none"/>
              </w:rPr>
              <w:t>服务内容、签字盖章页、落款日期）。未提供相关证明材料或者提供的证明材料不符合要求的或提供的证明材料不清晰评审专家无法辨认的，不得分。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2"/>
          <w:wAfter w:w="500" w:type="dxa"/>
          <w:jc w:val="center"/>
        </w:trPr>
        <w:tc>
          <w:tcPr>
            <w:tcW w:w="743" w:type="dxa"/>
            <w:gridSpan w:val="2"/>
            <w:vMerge w:val="continue"/>
            <w:tcBorders>
              <w:top w:val="nil"/>
              <w:left w:val="single" w:color="000000" w:sz="8" w:space="0"/>
              <w:bottom w:val="single" w:color="000000" w:sz="8" w:space="0"/>
              <w:right w:val="single" w:color="000000" w:sz="8" w:space="0"/>
            </w:tcBorders>
            <w:vAlign w:val="center"/>
          </w:tcPr>
          <w:p>
            <w:pPr>
              <w:pageBreakBefore w:val="0"/>
              <w:kinsoku/>
              <w:overflowPunct/>
              <w:topLinePunct w:val="0"/>
              <w:bidi w:val="0"/>
              <w:spacing w:beforeAutospacing="0" w:afterAutospacing="0" w:line="560" w:lineRule="exact"/>
              <w:ind w:left="0"/>
              <w:rPr>
                <w:rFonts w:ascii="宋体" w:hAnsi="宋体"/>
                <w:b/>
                <w:bCs/>
                <w:color w:val="auto"/>
                <w:kern w:val="2"/>
                <w:sz w:val="21"/>
                <w:szCs w:val="21"/>
                <w:highlight w:val="none"/>
              </w:rPr>
            </w:pPr>
          </w:p>
        </w:tc>
        <w:tc>
          <w:tcPr>
            <w:tcW w:w="588" w:type="dxa"/>
            <w:tcBorders>
              <w:top w:val="single" w:color="000000" w:sz="8" w:space="0"/>
              <w:left w:val="nil"/>
              <w:bottom w:val="single" w:color="000000" w:sz="8" w:space="0"/>
              <w:right w:val="single" w:color="000000" w:sz="8" w:space="0"/>
            </w:tcBorders>
            <w:vAlign w:val="center"/>
          </w:tcPr>
          <w:p>
            <w:pPr>
              <w:pageBreakBefore w:val="0"/>
              <w:widowControl w:val="0"/>
              <w:kinsoku/>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4</w:t>
            </w:r>
          </w:p>
        </w:tc>
        <w:tc>
          <w:tcPr>
            <w:tcW w:w="1564" w:type="dxa"/>
            <w:tcBorders>
              <w:top w:val="single" w:color="000000" w:sz="8" w:space="0"/>
              <w:left w:val="nil"/>
              <w:bottom w:val="single" w:color="000000" w:sz="8" w:space="0"/>
              <w:right w:val="single" w:color="000000" w:sz="8" w:space="0"/>
            </w:tcBorders>
            <w:vAlign w:val="center"/>
          </w:tcPr>
          <w:p>
            <w:pPr>
              <w:pStyle w:val="14"/>
              <w:pageBreakBefore w:val="0"/>
              <w:kinsoku/>
              <w:overflowPunct/>
              <w:topLinePunct w:val="0"/>
              <w:bidi w:val="0"/>
              <w:spacing w:before="0" w:beforeAutospacing="0" w:after="0" w:afterAutospacing="0" w:line="560" w:lineRule="exact"/>
              <w:ind w:left="0"/>
              <w:jc w:val="center"/>
              <w:rPr>
                <w:rFonts w:ascii="宋体" w:hAnsi="宋体"/>
                <w:b w:val="0"/>
                <w:bCs w:val="0"/>
                <w:color w:val="auto"/>
                <w:highlight w:val="none"/>
              </w:rPr>
            </w:pPr>
            <w:r>
              <w:rPr>
                <w:rFonts w:hint="eastAsia" w:ascii="宋体" w:hAnsi="宋体"/>
                <w:b w:val="0"/>
                <w:bCs w:val="0"/>
                <w:color w:val="auto"/>
                <w:highlight w:val="none"/>
              </w:rPr>
              <w:t>履约评价</w:t>
            </w:r>
          </w:p>
        </w:tc>
        <w:tc>
          <w:tcPr>
            <w:tcW w:w="840" w:type="dxa"/>
            <w:tcBorders>
              <w:top w:val="single" w:color="000000" w:sz="8" w:space="0"/>
              <w:left w:val="nil"/>
              <w:bottom w:val="single" w:color="000000" w:sz="8" w:space="0"/>
              <w:right w:val="single" w:color="000000" w:sz="8" w:space="0"/>
            </w:tcBorders>
            <w:vAlign w:val="center"/>
          </w:tcPr>
          <w:p>
            <w:pPr>
              <w:pStyle w:val="14"/>
              <w:pageBreakBefore w:val="0"/>
              <w:kinsoku/>
              <w:overflowPunct/>
              <w:topLinePunct w:val="0"/>
              <w:bidi w:val="0"/>
              <w:spacing w:before="0" w:beforeAutospacing="0" w:after="0" w:afterAutospacing="0" w:line="560" w:lineRule="exact"/>
              <w:ind w:left="0"/>
              <w:jc w:val="center"/>
              <w:rPr>
                <w:rFonts w:ascii="宋体" w:hAnsi="宋体"/>
                <w:color w:val="auto"/>
                <w:highlight w:val="none"/>
              </w:rPr>
            </w:pPr>
            <w:r>
              <w:rPr>
                <w:rFonts w:hint="eastAsia" w:ascii="宋体" w:hAnsi="宋体"/>
                <w:color w:val="auto"/>
                <w:highlight w:val="none"/>
              </w:rPr>
              <w:t>5</w:t>
            </w:r>
          </w:p>
        </w:tc>
        <w:tc>
          <w:tcPr>
            <w:tcW w:w="5004" w:type="dxa"/>
            <w:tcBorders>
              <w:top w:val="single" w:color="000000" w:sz="8" w:space="0"/>
              <w:left w:val="nil"/>
              <w:bottom w:val="single" w:color="000000" w:sz="8" w:space="0"/>
              <w:right w:val="single" w:color="000000" w:sz="8" w:space="0"/>
            </w:tcBorders>
            <w:vAlign w:val="center"/>
          </w:tcPr>
          <w:p>
            <w:pPr>
              <w:pStyle w:val="26"/>
              <w:pageBreakBefore w:val="0"/>
              <w:kinsoku/>
              <w:overflowPunct/>
              <w:topLinePunct w:val="0"/>
              <w:bidi w:val="0"/>
              <w:spacing w:beforeAutospacing="0" w:afterAutospacing="0" w:line="360" w:lineRule="exact"/>
              <w:ind w:left="0"/>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（一）考察内容：</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在上述“同类项目业绩”中所提供的，且经评审认定有效的业绩,经采购单位或被服务单位总体履约评价结果为“优”或“满意”的得</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分，最高得</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分。</w:t>
            </w:r>
          </w:p>
          <w:p>
            <w:pPr>
              <w:pStyle w:val="26"/>
              <w:pageBreakBefore w:val="0"/>
              <w:kinsoku/>
              <w:overflowPunct/>
              <w:topLinePunct w:val="0"/>
              <w:bidi w:val="0"/>
              <w:spacing w:beforeAutospacing="0" w:afterAutospacing="0" w:line="360" w:lineRule="exact"/>
              <w:ind w:lef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注：同一采购单位续签的项目不重复计分。</w:t>
            </w:r>
          </w:p>
          <w:p>
            <w:pPr>
              <w:pStyle w:val="26"/>
              <w:pageBreakBefore w:val="0"/>
              <w:kinsoku/>
              <w:overflowPunct/>
              <w:topLinePunct w:val="0"/>
              <w:bidi w:val="0"/>
              <w:spacing w:beforeAutospacing="0" w:afterAutospacing="0" w:line="360" w:lineRule="exact"/>
              <w:ind w:left="0"/>
              <w:jc w:val="left"/>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（二）评分依据：</w:t>
            </w:r>
          </w:p>
          <w:p>
            <w:pPr>
              <w:pStyle w:val="26"/>
              <w:pageBreakBefore w:val="0"/>
              <w:kinsoku/>
              <w:overflowPunct/>
              <w:topLinePunct w:val="0"/>
              <w:bidi w:val="0"/>
              <w:spacing w:beforeAutospacing="0" w:afterAutospacing="0" w:line="360" w:lineRule="exact"/>
              <w:ind w:left="0"/>
              <w:jc w:val="left"/>
              <w:rPr>
                <w:rFonts w:ascii="宋体" w:hAnsi="宋体" w:eastAsia="宋体"/>
                <w:color w:val="auto"/>
                <w:sz w:val="21"/>
                <w:szCs w:val="21"/>
                <w:highlight w:val="none"/>
              </w:rPr>
            </w:pPr>
            <w:r>
              <w:rPr>
                <w:rFonts w:hint="eastAsia" w:ascii="宋体" w:hAnsi="宋体" w:eastAsia="宋体"/>
                <w:color w:val="auto"/>
                <w:sz w:val="21"/>
                <w:szCs w:val="21"/>
                <w:highlight w:val="none"/>
              </w:rPr>
              <w:t>提供项目合同</w:t>
            </w:r>
            <w:r>
              <w:rPr>
                <w:rFonts w:hint="eastAsia" w:ascii="宋体" w:hAnsi="宋体" w:eastAsia="宋体"/>
                <w:color w:val="auto"/>
                <w:sz w:val="21"/>
                <w:szCs w:val="21"/>
                <w:highlight w:val="none"/>
                <w:lang w:eastAsia="zh-CN"/>
              </w:rPr>
              <w:t>采购单位</w:t>
            </w:r>
            <w:r>
              <w:rPr>
                <w:rFonts w:hint="eastAsia" w:ascii="宋体" w:hAnsi="宋体" w:eastAsia="宋体"/>
                <w:color w:val="auto"/>
                <w:sz w:val="21"/>
                <w:szCs w:val="21"/>
                <w:highlight w:val="none"/>
              </w:rPr>
              <w:t>(或被服务单位)出具的总体履约评价证明文件，原件现场备查。如提交的证明材料其评价结果没有结论而仅是打分的（比如打100分、98分等的）不得分。（履约评价材料须加盖项目合同</w:t>
            </w:r>
            <w:r>
              <w:rPr>
                <w:rFonts w:hint="eastAsia" w:ascii="宋体" w:hAnsi="宋体" w:eastAsia="宋体"/>
                <w:color w:val="auto"/>
                <w:sz w:val="21"/>
                <w:szCs w:val="21"/>
                <w:highlight w:val="none"/>
                <w:lang w:eastAsia="zh-CN"/>
              </w:rPr>
              <w:t>采购单位</w:t>
            </w:r>
            <w:r>
              <w:rPr>
                <w:rFonts w:hint="eastAsia" w:ascii="宋体" w:hAnsi="宋体" w:eastAsia="宋体"/>
                <w:color w:val="auto"/>
                <w:sz w:val="21"/>
                <w:szCs w:val="21"/>
                <w:highlight w:val="none"/>
              </w:rPr>
              <w:t>(或被服务单位)的公章（或业务章），否则不得分。未提供或未按要求提供或提供不清晰导致专家无法判断的不得分。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2"/>
          <w:wAfter w:w="500" w:type="dxa"/>
          <w:jc w:val="center"/>
        </w:trPr>
        <w:tc>
          <w:tcPr>
            <w:tcW w:w="743" w:type="dxa"/>
            <w:gridSpan w:val="2"/>
            <w:vMerge w:val="restart"/>
            <w:tcBorders>
              <w:top w:val="nil"/>
              <w:left w:val="single" w:color="000000" w:sz="8" w:space="0"/>
              <w:bottom w:val="single" w:color="000000" w:sz="8" w:space="0"/>
              <w:right w:val="single" w:color="000000" w:sz="8" w:space="0"/>
            </w:tcBorders>
            <w:vAlign w:val="center"/>
          </w:tcPr>
          <w:p>
            <w:pPr>
              <w:pageBreakBefore w:val="0"/>
              <w:widowControl w:val="0"/>
              <w:kinsoku/>
              <w:wordWrap w:val="0"/>
              <w:overflowPunct/>
              <w:topLinePunct w:val="0"/>
              <w:bidi w:val="0"/>
              <w:spacing w:beforeAutospacing="0" w:afterAutospacing="0" w:line="560" w:lineRule="exact"/>
              <w:ind w:left="0"/>
              <w:jc w:val="center"/>
              <w:rPr>
                <w:rFonts w:ascii="宋体" w:hAnsi="宋体"/>
                <w:b/>
                <w:bCs/>
                <w:color w:val="auto"/>
                <w:kern w:val="2"/>
                <w:sz w:val="21"/>
                <w:szCs w:val="21"/>
                <w:highlight w:val="none"/>
              </w:rPr>
            </w:pPr>
            <w:r>
              <w:rPr>
                <w:rFonts w:hint="eastAsia" w:ascii="宋体" w:hAnsi="宋体"/>
                <w:b/>
                <w:bCs/>
                <w:color w:val="auto"/>
                <w:highlight w:val="none"/>
              </w:rPr>
              <w:t>4</w:t>
            </w:r>
          </w:p>
        </w:tc>
        <w:tc>
          <w:tcPr>
            <w:tcW w:w="2992" w:type="dxa"/>
            <w:gridSpan w:val="3"/>
            <w:tcBorders>
              <w:top w:val="single" w:color="000000" w:sz="8" w:space="0"/>
              <w:left w:val="nil"/>
              <w:bottom w:val="single" w:color="000000" w:sz="8" w:space="0"/>
              <w:right w:val="single" w:color="000000" w:sz="8" w:space="0"/>
            </w:tcBorders>
          </w:tcPr>
          <w:p>
            <w:pPr>
              <w:pageBreakBefore w:val="0"/>
              <w:widowControl w:val="0"/>
              <w:kinsoku/>
              <w:wordWrap w:val="0"/>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诚信情况</w:t>
            </w:r>
          </w:p>
        </w:tc>
        <w:tc>
          <w:tcPr>
            <w:tcW w:w="5004" w:type="dxa"/>
            <w:tcBorders>
              <w:top w:val="single" w:color="000000" w:sz="8" w:space="0"/>
              <w:left w:val="nil"/>
              <w:bottom w:val="single" w:color="000000" w:sz="8" w:space="0"/>
              <w:right w:val="single" w:color="000000" w:sz="8" w:space="0"/>
            </w:tcBorders>
          </w:tcPr>
          <w:p>
            <w:pPr>
              <w:pageBreakBefore w:val="0"/>
              <w:widowControl w:val="0"/>
              <w:kinsoku/>
              <w:wordWrap w:val="0"/>
              <w:overflowPunct/>
              <w:topLinePunct w:val="0"/>
              <w:bidi w:val="0"/>
              <w:spacing w:beforeAutospacing="0" w:afterAutospacing="0" w:line="360" w:lineRule="exact"/>
              <w:ind w:left="0"/>
              <w:jc w:val="center"/>
              <w:rPr>
                <w:rFonts w:ascii="宋体" w:hAnsi="宋体"/>
                <w:color w:val="auto"/>
                <w:kern w:val="2"/>
                <w:sz w:val="21"/>
                <w:szCs w:val="21"/>
                <w:highlight w:val="none"/>
              </w:rPr>
            </w:pPr>
            <w:r>
              <w:rPr>
                <w:rFonts w:hint="eastAsia" w:ascii="宋体" w:hAnsi="宋体"/>
                <w:color w:val="auto"/>
                <w:highlight w:val="none"/>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2"/>
          <w:wAfter w:w="500" w:type="dxa"/>
          <w:jc w:val="center"/>
        </w:trPr>
        <w:tc>
          <w:tcPr>
            <w:tcW w:w="743" w:type="dxa"/>
            <w:gridSpan w:val="2"/>
            <w:vMerge w:val="continue"/>
            <w:tcBorders>
              <w:top w:val="nil"/>
              <w:left w:val="single" w:color="000000" w:sz="8" w:space="0"/>
              <w:bottom w:val="single" w:color="000000" w:sz="8" w:space="0"/>
              <w:right w:val="single" w:color="000000" w:sz="8" w:space="0"/>
            </w:tcBorders>
            <w:vAlign w:val="center"/>
          </w:tcPr>
          <w:p>
            <w:pPr>
              <w:pageBreakBefore w:val="0"/>
              <w:kinsoku/>
              <w:overflowPunct/>
              <w:topLinePunct w:val="0"/>
              <w:bidi w:val="0"/>
              <w:spacing w:beforeAutospacing="0" w:afterAutospacing="0" w:line="560" w:lineRule="exact"/>
              <w:ind w:left="0"/>
              <w:rPr>
                <w:rFonts w:ascii="宋体" w:hAnsi="宋体"/>
                <w:b/>
                <w:bCs/>
                <w:color w:val="auto"/>
                <w:kern w:val="2"/>
                <w:sz w:val="21"/>
                <w:szCs w:val="21"/>
                <w:highlight w:val="none"/>
              </w:rPr>
            </w:pPr>
          </w:p>
        </w:tc>
        <w:tc>
          <w:tcPr>
            <w:tcW w:w="588" w:type="dxa"/>
            <w:tcBorders>
              <w:top w:val="outset" w:color="000000" w:sz="6" w:space="0"/>
              <w:left w:val="outset" w:color="000000" w:sz="6" w:space="0"/>
              <w:bottom w:val="outset" w:color="000000" w:sz="6" w:space="0"/>
              <w:right w:val="outset" w:color="000000" w:sz="6" w:space="0"/>
            </w:tcBorders>
            <w:shd w:val="clear" w:color="auto" w:fill="E6EFFA"/>
            <w:vAlign w:val="center"/>
          </w:tcPr>
          <w:p>
            <w:pPr>
              <w:pageBreakBefore w:val="0"/>
              <w:widowControl w:val="0"/>
              <w:kinsoku/>
              <w:wordWrap w:val="0"/>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序号</w:t>
            </w:r>
          </w:p>
        </w:tc>
        <w:tc>
          <w:tcPr>
            <w:tcW w:w="1564" w:type="dxa"/>
            <w:tcBorders>
              <w:top w:val="outset" w:color="000000" w:sz="6" w:space="0"/>
              <w:left w:val="single" w:color="auto" w:sz="2" w:space="0"/>
              <w:bottom w:val="outset" w:color="000000" w:sz="6" w:space="0"/>
              <w:right w:val="outset" w:color="000000" w:sz="6" w:space="0"/>
            </w:tcBorders>
            <w:shd w:val="clear" w:color="auto" w:fill="E6EFFA"/>
            <w:vAlign w:val="center"/>
          </w:tcPr>
          <w:p>
            <w:pPr>
              <w:pageBreakBefore w:val="0"/>
              <w:widowControl w:val="0"/>
              <w:kinsoku/>
              <w:wordWrap w:val="0"/>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评分因素</w:t>
            </w:r>
          </w:p>
        </w:tc>
        <w:tc>
          <w:tcPr>
            <w:tcW w:w="840" w:type="dxa"/>
            <w:tcBorders>
              <w:top w:val="outset" w:color="000000" w:sz="6" w:space="0"/>
              <w:left w:val="single" w:color="auto" w:sz="2" w:space="0"/>
              <w:bottom w:val="outset" w:color="000000" w:sz="6" w:space="0"/>
              <w:right w:val="outset" w:color="000000" w:sz="6" w:space="0"/>
            </w:tcBorders>
            <w:shd w:val="clear" w:color="auto" w:fill="E6EFFA"/>
            <w:vAlign w:val="center"/>
          </w:tcPr>
          <w:p>
            <w:pPr>
              <w:pageBreakBefore w:val="0"/>
              <w:widowControl w:val="0"/>
              <w:kinsoku/>
              <w:wordWrap w:val="0"/>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权重(%)</w:t>
            </w:r>
          </w:p>
        </w:tc>
        <w:tc>
          <w:tcPr>
            <w:tcW w:w="5004" w:type="dxa"/>
            <w:tcBorders>
              <w:top w:val="outset" w:color="000000" w:sz="6" w:space="0"/>
              <w:left w:val="single" w:color="auto" w:sz="2" w:space="0"/>
              <w:bottom w:val="outset" w:color="000000" w:sz="6" w:space="0"/>
              <w:right w:val="outset" w:color="000000" w:sz="6" w:space="0"/>
            </w:tcBorders>
            <w:shd w:val="clear" w:color="auto" w:fill="E6EFFA"/>
            <w:vAlign w:val="center"/>
          </w:tcPr>
          <w:p>
            <w:pPr>
              <w:pageBreakBefore w:val="0"/>
              <w:widowControl w:val="0"/>
              <w:kinsoku/>
              <w:wordWrap w:val="0"/>
              <w:overflowPunct/>
              <w:topLinePunct w:val="0"/>
              <w:bidi w:val="0"/>
              <w:spacing w:beforeAutospacing="0" w:afterAutospacing="0" w:line="360" w:lineRule="exact"/>
              <w:ind w:left="0"/>
              <w:jc w:val="center"/>
              <w:rPr>
                <w:rFonts w:ascii="宋体" w:hAnsi="宋体"/>
                <w:color w:val="auto"/>
                <w:kern w:val="2"/>
                <w:sz w:val="21"/>
                <w:szCs w:val="21"/>
                <w:highlight w:val="none"/>
              </w:rPr>
            </w:pPr>
            <w:r>
              <w:rPr>
                <w:rFonts w:hint="eastAsia" w:ascii="宋体" w:hAnsi="宋体"/>
                <w:color w:val="auto"/>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2"/>
          <w:wAfter w:w="500" w:type="dxa"/>
          <w:jc w:val="center"/>
        </w:trPr>
        <w:tc>
          <w:tcPr>
            <w:tcW w:w="743" w:type="dxa"/>
            <w:gridSpan w:val="2"/>
            <w:vMerge w:val="continue"/>
            <w:tcBorders>
              <w:top w:val="nil"/>
              <w:left w:val="single" w:color="000000" w:sz="8" w:space="0"/>
              <w:bottom w:val="single" w:color="000000" w:sz="8" w:space="0"/>
              <w:right w:val="single" w:color="000000" w:sz="8" w:space="0"/>
            </w:tcBorders>
            <w:vAlign w:val="center"/>
          </w:tcPr>
          <w:p>
            <w:pPr>
              <w:pageBreakBefore w:val="0"/>
              <w:kinsoku/>
              <w:overflowPunct/>
              <w:topLinePunct w:val="0"/>
              <w:bidi w:val="0"/>
              <w:spacing w:beforeAutospacing="0" w:afterAutospacing="0" w:line="560" w:lineRule="exact"/>
              <w:ind w:left="0"/>
              <w:rPr>
                <w:rFonts w:ascii="宋体" w:hAnsi="宋体"/>
                <w:b/>
                <w:bCs/>
                <w:color w:val="auto"/>
                <w:kern w:val="2"/>
                <w:sz w:val="21"/>
                <w:szCs w:val="21"/>
                <w:highlight w:val="none"/>
              </w:rPr>
            </w:pPr>
          </w:p>
        </w:tc>
        <w:tc>
          <w:tcPr>
            <w:tcW w:w="588" w:type="dxa"/>
            <w:tcBorders>
              <w:top w:val="single" w:color="000000" w:sz="8" w:space="0"/>
              <w:left w:val="nil"/>
              <w:bottom w:val="single" w:color="000000" w:sz="8" w:space="0"/>
              <w:right w:val="single" w:color="000000" w:sz="8" w:space="0"/>
            </w:tcBorders>
            <w:vAlign w:val="center"/>
          </w:tcPr>
          <w:p>
            <w:pPr>
              <w:pageBreakBefore w:val="0"/>
              <w:widowControl w:val="0"/>
              <w:kinsoku/>
              <w:wordWrap w:val="0"/>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1</w:t>
            </w:r>
          </w:p>
        </w:tc>
        <w:tc>
          <w:tcPr>
            <w:tcW w:w="1564" w:type="dxa"/>
            <w:tcBorders>
              <w:top w:val="single" w:color="000000" w:sz="8" w:space="0"/>
              <w:left w:val="nil"/>
              <w:bottom w:val="single" w:color="000000" w:sz="8" w:space="0"/>
              <w:right w:val="single" w:color="000000" w:sz="8" w:space="0"/>
            </w:tcBorders>
            <w:vAlign w:val="center"/>
          </w:tcPr>
          <w:p>
            <w:pPr>
              <w:pageBreakBefore w:val="0"/>
              <w:widowControl w:val="0"/>
              <w:kinsoku/>
              <w:wordWrap w:val="0"/>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eastAsia="宋体" w:cs="Times New Roman"/>
                <w:color w:val="auto"/>
                <w:spacing w:val="0"/>
                <w:kern w:val="2"/>
                <w:sz w:val="21"/>
                <w:szCs w:val="21"/>
                <w:highlight w:val="none"/>
                <w:lang w:val="en-US" w:eastAsia="zh-CN" w:bidi="ar-SA"/>
              </w:rPr>
              <w:t>诚信情况</w:t>
            </w:r>
          </w:p>
        </w:tc>
        <w:tc>
          <w:tcPr>
            <w:tcW w:w="840" w:type="dxa"/>
            <w:tcBorders>
              <w:top w:val="single" w:color="000000" w:sz="8" w:space="0"/>
              <w:left w:val="nil"/>
              <w:bottom w:val="single" w:color="000000" w:sz="8" w:space="0"/>
              <w:right w:val="single" w:color="000000" w:sz="8" w:space="0"/>
            </w:tcBorders>
            <w:vAlign w:val="center"/>
          </w:tcPr>
          <w:p>
            <w:pPr>
              <w:pageBreakBefore w:val="0"/>
              <w:widowControl w:val="0"/>
              <w:kinsoku/>
              <w:wordWrap w:val="0"/>
              <w:overflowPunct/>
              <w:topLinePunct w:val="0"/>
              <w:bidi w:val="0"/>
              <w:spacing w:beforeAutospacing="0" w:afterAutospacing="0" w:line="560" w:lineRule="exact"/>
              <w:ind w:left="0"/>
              <w:jc w:val="center"/>
              <w:rPr>
                <w:rFonts w:ascii="宋体" w:hAnsi="宋体"/>
                <w:color w:val="auto"/>
                <w:kern w:val="2"/>
                <w:sz w:val="21"/>
                <w:szCs w:val="21"/>
                <w:highlight w:val="none"/>
              </w:rPr>
            </w:pPr>
            <w:r>
              <w:rPr>
                <w:rFonts w:hint="eastAsia" w:ascii="宋体" w:hAnsi="宋体"/>
                <w:color w:val="auto"/>
                <w:highlight w:val="none"/>
              </w:rPr>
              <w:t>5</w:t>
            </w:r>
          </w:p>
        </w:tc>
        <w:tc>
          <w:tcPr>
            <w:tcW w:w="5004" w:type="dxa"/>
            <w:tcBorders>
              <w:top w:val="single" w:color="000000" w:sz="8" w:space="0"/>
              <w:left w:val="nil"/>
              <w:bottom w:val="single" w:color="000000" w:sz="8" w:space="0"/>
              <w:right w:val="single" w:color="000000" w:sz="8" w:space="0"/>
            </w:tcBorders>
          </w:tcPr>
          <w:p>
            <w:pPr>
              <w:pStyle w:val="9"/>
              <w:pageBreakBefore w:val="0"/>
              <w:kinsoku/>
              <w:wordWrap w:val="0"/>
              <w:overflowPunct/>
              <w:topLinePunct w:val="0"/>
              <w:bidi w:val="0"/>
              <w:spacing w:beforeAutospacing="0" w:afterAutospacing="0" w:line="360" w:lineRule="exact"/>
              <w:ind w:left="0" w:firstLine="420" w:firstLineChars="200"/>
              <w:rPr>
                <w:rFonts w:hint="eastAsia" w:ascii="宋体" w:hAnsi="宋体" w:cs="宋体"/>
                <w:color w:val="auto"/>
                <w:kern w:val="2"/>
                <w:sz w:val="21"/>
                <w:szCs w:val="21"/>
                <w:highlight w:val="none"/>
              </w:rPr>
            </w:pPr>
            <w:r>
              <w:rPr>
                <w:rFonts w:hint="eastAsia" w:ascii="宋体" w:hAnsi="宋体" w:cs="宋体"/>
                <w:b w:val="0"/>
                <w:bCs w:val="0"/>
                <w:color w:val="auto"/>
                <w:sz w:val="21"/>
                <w:szCs w:val="21"/>
                <w:highlight w:val="none"/>
              </w:rPr>
              <w:t>投标人存在《深圳市财政局政府采购供应商信用信息管理办法》（深财规〔2023〕3号）列明的一般行政处罚信息、一般违法失信记录信息的，本项不得分，不存在上述情形的本项得</w:t>
            </w:r>
            <w:r>
              <w:rPr>
                <w:rFonts w:hint="eastAsia" w:ascii="宋体" w:hAnsi="宋体" w:cs="宋体"/>
                <w:b w:val="0"/>
                <w:bCs w:val="0"/>
                <w:color w:val="auto"/>
                <w:sz w:val="21"/>
                <w:szCs w:val="21"/>
                <w:highlight w:val="none"/>
                <w:lang w:val="en-US" w:eastAsia="zh-CN"/>
              </w:rPr>
              <w:t>5</w:t>
            </w:r>
            <w:r>
              <w:rPr>
                <w:rFonts w:hint="eastAsia" w:ascii="宋体" w:hAnsi="宋体" w:cs="宋体"/>
                <w:b w:val="0"/>
                <w:bCs w:val="0"/>
                <w:color w:val="auto"/>
                <w:sz w:val="21"/>
                <w:szCs w:val="21"/>
                <w:highlight w:val="none"/>
              </w:rPr>
              <w:t>分。投标人无需提供任何证明材料，评标过程中由工作人员向评审委员会提供有关供应商诚信查询结果。</w:t>
            </w:r>
          </w:p>
          <w:p>
            <w:pPr>
              <w:pStyle w:val="26"/>
              <w:pageBreakBefore w:val="0"/>
              <w:kinsoku/>
              <w:overflowPunct/>
              <w:topLinePunct w:val="0"/>
              <w:bidi w:val="0"/>
              <w:spacing w:beforeAutospacing="0" w:afterAutospacing="0" w:line="360" w:lineRule="exact"/>
              <w:ind w:left="0"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查询渠道：通过“信用中国”（www.creditchina.gov.cn，下载信用信息报告）、“中国政府采购网”（www.ccgp.gov.cn）、“深圳市政府采购监管网”（http://zfcg.sz.gov.cn）查询供应商信用信息，信用信息以开标当日的查询结果为准。</w:t>
            </w:r>
          </w:p>
        </w:tc>
      </w:tr>
    </w:tbl>
    <w:p>
      <w:pPr>
        <w:pStyle w:val="9"/>
        <w:pageBreakBefore w:val="0"/>
        <w:numPr>
          <w:ilvl w:val="0"/>
          <w:numId w:val="0"/>
        </w:numPr>
        <w:kinsoku/>
        <w:overflowPunct/>
        <w:topLinePunct w:val="0"/>
        <w:bidi w:val="0"/>
        <w:spacing w:beforeAutospacing="0" w:afterAutospacing="0" w:line="560" w:lineRule="exact"/>
        <w:ind w:left="0" w:leftChars="0"/>
        <w:rPr>
          <w:rFonts w:hint="eastAsia" w:ascii="黑体" w:hAnsi="宋体" w:eastAsia="黑体" w:cs="宋体"/>
          <w:b/>
          <w:color w:val="auto"/>
          <w:kern w:val="0"/>
          <w:sz w:val="32"/>
          <w:szCs w:val="32"/>
          <w:highlight w:val="none"/>
          <w:lang w:val="en-US" w:eastAsia="zh-CN" w:bidi="ar-SA"/>
        </w:rPr>
      </w:pPr>
    </w:p>
    <w:p>
      <w:pPr>
        <w:pStyle w:val="9"/>
        <w:pageBreakBefore w:val="0"/>
        <w:numPr>
          <w:ilvl w:val="0"/>
          <w:numId w:val="0"/>
        </w:numPr>
        <w:kinsoku/>
        <w:overflowPunct/>
        <w:topLinePunct w:val="0"/>
        <w:bidi w:val="0"/>
        <w:spacing w:beforeAutospacing="0" w:afterAutospacing="0" w:line="560" w:lineRule="exact"/>
        <w:ind w:left="0" w:leftChars="0"/>
        <w:rPr>
          <w:rFonts w:hint="eastAsia" w:ascii="黑体" w:hAnsi="宋体" w:eastAsia="黑体" w:cs="宋体"/>
          <w:b/>
          <w:color w:val="auto"/>
          <w:kern w:val="0"/>
          <w:sz w:val="32"/>
          <w:szCs w:val="32"/>
          <w:highlight w:val="none"/>
          <w:lang w:val="en-US" w:eastAsia="zh-CN" w:bidi="ar-SA"/>
        </w:rPr>
      </w:pPr>
    </w:p>
    <w:p>
      <w:pPr>
        <w:pStyle w:val="9"/>
        <w:pageBreakBefore w:val="0"/>
        <w:numPr>
          <w:ilvl w:val="0"/>
          <w:numId w:val="0"/>
        </w:numPr>
        <w:kinsoku/>
        <w:overflowPunct/>
        <w:topLinePunct w:val="0"/>
        <w:bidi w:val="0"/>
        <w:spacing w:beforeAutospacing="0" w:afterAutospacing="0" w:line="560" w:lineRule="exact"/>
        <w:ind w:left="0" w:leftChars="0"/>
        <w:rPr>
          <w:rFonts w:hint="default" w:ascii="黑体" w:hAnsi="宋体" w:eastAsia="黑体" w:cs="宋体"/>
          <w:b/>
          <w:color w:val="auto"/>
          <w:kern w:val="0"/>
          <w:sz w:val="32"/>
          <w:szCs w:val="32"/>
          <w:highlight w:val="none"/>
          <w:lang w:val="en-US" w:eastAsia="zh-CN" w:bidi="ar-SA"/>
        </w:rPr>
      </w:pPr>
      <w:r>
        <w:rPr>
          <w:rFonts w:hint="eastAsia" w:ascii="黑体" w:hAnsi="宋体" w:eastAsia="黑体" w:cs="宋体"/>
          <w:b/>
          <w:color w:val="auto"/>
          <w:kern w:val="0"/>
          <w:sz w:val="32"/>
          <w:szCs w:val="32"/>
          <w:highlight w:val="none"/>
          <w:lang w:val="en-US" w:eastAsia="zh-CN" w:bidi="ar-SA"/>
        </w:rPr>
        <w:t>五、商务要求</w:t>
      </w:r>
    </w:p>
    <w:p>
      <w:pPr>
        <w:pageBreakBefore w:val="0"/>
        <w:kinsoku/>
        <w:overflowPunct/>
        <w:topLinePunct w:val="0"/>
        <w:bidi w:val="0"/>
        <w:spacing w:beforeAutospacing="0" w:afterAutospacing="0" w:line="560" w:lineRule="exact"/>
        <w:ind w:left="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（一）服务期</w:t>
      </w:r>
    </w:p>
    <w:p>
      <w:pPr>
        <w:pageBreakBefore w:val="0"/>
        <w:kinsoku/>
        <w:overflowPunct/>
        <w:topLinePunct w:val="0"/>
        <w:bidi w:val="0"/>
        <w:spacing w:beforeAutospacing="0" w:afterAutospacing="0" w:line="560" w:lineRule="exact"/>
        <w:ind w:left="0" w:firstLine="600" w:firstLineChars="200"/>
        <w:rPr>
          <w:rFonts w:hint="eastAsia" w:ascii="仿宋" w:hAnsi="仿宋" w:eastAsia="仿宋" w:cs="仿宋"/>
          <w:b/>
          <w:bCs/>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本项目服务期限一年，本次项目合同期满后，采购单位可依据对中标供应商的考核情况以及《深圳经济特区政府采购条例》第三十八条的规定续签合同，服务期不得超过 36 个月，协议期内所有合同实质性条款不得改变。</w:t>
      </w:r>
    </w:p>
    <w:p>
      <w:pPr>
        <w:pageBreakBefore w:val="0"/>
        <w:kinsoku/>
        <w:overflowPunct/>
        <w:topLinePunct w:val="0"/>
        <w:bidi w:val="0"/>
        <w:spacing w:beforeAutospacing="0" w:afterAutospacing="0" w:line="560" w:lineRule="exact"/>
        <w:ind w:left="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（二）服务地点</w:t>
      </w:r>
    </w:p>
    <w:p>
      <w:pPr>
        <w:pStyle w:val="9"/>
        <w:pageBreakBefore w:val="0"/>
        <w:numPr>
          <w:ilvl w:val="0"/>
          <w:numId w:val="0"/>
        </w:numPr>
        <w:kinsoku/>
        <w:overflowPunct/>
        <w:topLinePunct w:val="0"/>
        <w:bidi w:val="0"/>
        <w:spacing w:beforeAutospacing="0" w:afterAutospacing="0" w:line="560" w:lineRule="exact"/>
        <w:ind w:left="0"/>
        <w:rPr>
          <w:rFonts w:hint="default" w:ascii="宋体" w:hAnsi="宋体" w:eastAsia="宋体" w:cs="宋体"/>
          <w:b/>
          <w:color w:val="auto"/>
          <w:kern w:val="0"/>
          <w:sz w:val="30"/>
          <w:szCs w:val="30"/>
          <w:highlight w:val="none"/>
          <w:lang w:val="en-US" w:eastAsia="zh-CN" w:bidi="ar-SA"/>
        </w:rPr>
      </w:pPr>
      <w:r>
        <w:rPr>
          <w:rFonts w:hint="eastAsia" w:ascii="宋体" w:hAnsi="宋体" w:cs="宋体"/>
          <w:b/>
          <w:color w:val="auto"/>
          <w:kern w:val="0"/>
          <w:sz w:val="30"/>
          <w:szCs w:val="30"/>
          <w:highlight w:val="none"/>
          <w:lang w:val="en-US" w:eastAsia="zh-CN" w:bidi="ar-SA"/>
        </w:rPr>
        <w:t xml:space="preserve">   </w:t>
      </w:r>
      <w:r>
        <w:rPr>
          <w:rFonts w:hint="eastAsia" w:ascii="仿宋" w:hAnsi="仿宋" w:eastAsia="仿宋" w:cs="仿宋"/>
          <w:color w:val="auto"/>
          <w:sz w:val="30"/>
          <w:szCs w:val="30"/>
          <w:highlight w:val="none"/>
          <w:lang w:val="en-US" w:eastAsia="zh-CN"/>
        </w:rPr>
        <w:t xml:space="preserve"> 深圳市坪山区坑梓街道办事处聚龙山工作点</w:t>
      </w:r>
    </w:p>
    <w:p>
      <w:pPr>
        <w:pageBreakBefore w:val="0"/>
        <w:kinsoku/>
        <w:overflowPunct/>
        <w:topLinePunct w:val="0"/>
        <w:bidi w:val="0"/>
        <w:spacing w:beforeAutospacing="0" w:afterAutospacing="0" w:line="560" w:lineRule="exact"/>
        <w:ind w:left="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（三）报价要求</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1、本项目预算总价为30万元。</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3、投标供应商应当根据其成本自行决定报价，但不得以低于其成本的报价投标。</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4、投标供应商的报价不得超过项目预算金额。</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5、投标供应商的报价，应当是本项目采购范围和采购文件及合同条款上所列的各项内容中所述的全部，不得以任何理由予以重复。</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除非采购人通过修改采购文件予以更正，否则，投标供应商应毫无例外地按响应文件所列的清单中项目和数量填报综合单价和合价。投标供应商未填综合单价或合计的项目，在实施后，将不得以支付，并视作该项费用已包括在其他有价款的综合单价或合计内。</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7、投标供应商应先到项目地点踏勘以充分了解项目的位置、情况、道路及任何其他足以影响投标报价的情况，任何因忽视或误解项目情况而导致的索赔或服务期限延长申请将不获批准。</w:t>
      </w:r>
    </w:p>
    <w:p>
      <w:pPr>
        <w:pStyle w:val="9"/>
        <w:pageBreakBefore w:val="0"/>
        <w:numPr>
          <w:ilvl w:val="0"/>
          <w:numId w:val="0"/>
        </w:numPr>
        <w:kinsoku/>
        <w:overflowPunct/>
        <w:topLinePunct w:val="0"/>
        <w:bidi w:val="0"/>
        <w:spacing w:beforeAutospacing="0" w:afterAutospacing="0" w:line="560" w:lineRule="exact"/>
        <w:ind w:left="0"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8、投标供应商不得期望通过索赔等方式获得补偿，否则，除可能遭到拒绝外，还可能将被作为不良行为记录在案，并可能影响其以后参加政府采购的项目投标。各投标供应商在报价时，应充分考虑报价的风险。</w:t>
      </w:r>
    </w:p>
    <w:p>
      <w:pPr>
        <w:pStyle w:val="9"/>
        <w:pageBreakBefore w:val="0"/>
        <w:numPr>
          <w:ilvl w:val="0"/>
          <w:numId w:val="0"/>
        </w:numPr>
        <w:kinsoku/>
        <w:overflowPunct/>
        <w:topLinePunct w:val="0"/>
        <w:bidi w:val="0"/>
        <w:spacing w:beforeAutospacing="0" w:afterAutospacing="0" w:line="560" w:lineRule="exact"/>
        <w:ind w:left="0"/>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（四）付款方式</w:t>
      </w:r>
    </w:p>
    <w:p>
      <w:pPr>
        <w:pStyle w:val="9"/>
        <w:pageBreakBefore w:val="0"/>
        <w:numPr>
          <w:ilvl w:val="0"/>
          <w:numId w:val="0"/>
        </w:numPr>
        <w:kinsoku/>
        <w:overflowPunct/>
        <w:topLinePunct w:val="0"/>
        <w:bidi w:val="0"/>
        <w:spacing w:beforeAutospacing="0" w:afterAutospacing="0" w:line="560" w:lineRule="exact"/>
        <w:ind w:left="0" w:firstLine="600"/>
        <w:rPr>
          <w:rFonts w:hint="default" w:ascii="仿宋" w:hAnsi="仿宋" w:eastAsia="仿宋" w:cs="仿宋"/>
          <w:color w:val="auto"/>
          <w:sz w:val="30"/>
          <w:szCs w:val="30"/>
          <w:highlight w:val="none"/>
          <w:lang w:val="en" w:eastAsia="zh-CN"/>
        </w:rPr>
      </w:pPr>
      <w:r>
        <w:rPr>
          <w:rFonts w:hint="default" w:ascii="仿宋" w:hAnsi="仿宋" w:eastAsia="仿宋" w:cs="仿宋"/>
          <w:color w:val="auto"/>
          <w:sz w:val="30"/>
          <w:szCs w:val="30"/>
          <w:highlight w:val="none"/>
          <w:lang w:val="en" w:eastAsia="zh-CN"/>
        </w:rPr>
        <w:t>按</w:t>
      </w:r>
      <w:r>
        <w:rPr>
          <w:rFonts w:hint="eastAsia" w:ascii="仿宋" w:hAnsi="仿宋" w:eastAsia="仿宋" w:cs="仿宋"/>
          <w:color w:val="auto"/>
          <w:sz w:val="30"/>
          <w:szCs w:val="30"/>
          <w:highlight w:val="none"/>
          <w:lang w:val="en" w:eastAsia="zh-CN"/>
        </w:rPr>
        <w:t>月</w:t>
      </w:r>
      <w:r>
        <w:rPr>
          <w:rFonts w:hint="eastAsia" w:ascii="仿宋" w:hAnsi="仿宋" w:eastAsia="仿宋" w:cs="仿宋"/>
          <w:color w:val="auto"/>
          <w:sz w:val="30"/>
          <w:szCs w:val="30"/>
          <w:highlight w:val="none"/>
          <w:lang w:val="en-US" w:eastAsia="zh-CN"/>
        </w:rPr>
        <w:t>付款，</w:t>
      </w:r>
      <w:r>
        <w:rPr>
          <w:rFonts w:hint="eastAsia" w:ascii="仿宋" w:hAnsi="仿宋" w:eastAsia="仿宋" w:cs="仿宋"/>
          <w:color w:val="auto"/>
          <w:sz w:val="30"/>
          <w:szCs w:val="30"/>
          <w:highlight w:val="none"/>
          <w:lang w:val="en" w:eastAsia="zh-CN"/>
        </w:rPr>
        <w:t>安保护卫</w:t>
      </w:r>
      <w:r>
        <w:rPr>
          <w:rFonts w:hint="eastAsia" w:ascii="仿宋" w:hAnsi="仿宋" w:eastAsia="仿宋" w:cs="仿宋"/>
          <w:color w:val="auto"/>
          <w:sz w:val="30"/>
          <w:szCs w:val="30"/>
          <w:highlight w:val="none"/>
          <w:lang w:val="en-US" w:eastAsia="zh-CN"/>
        </w:rPr>
        <w:t>服务合同签订之日起次月</w:t>
      </w:r>
      <w:r>
        <w:rPr>
          <w:rFonts w:hint="default" w:ascii="仿宋" w:hAnsi="仿宋" w:eastAsia="仿宋" w:cs="仿宋"/>
          <w:color w:val="auto"/>
          <w:sz w:val="30"/>
          <w:szCs w:val="30"/>
          <w:highlight w:val="none"/>
          <w:lang w:val="en" w:eastAsia="zh-CN"/>
        </w:rPr>
        <w:t>15日前</w:t>
      </w:r>
      <w:r>
        <w:rPr>
          <w:rFonts w:hint="eastAsia" w:ascii="仿宋" w:hAnsi="仿宋" w:eastAsia="仿宋" w:cs="仿宋"/>
          <w:color w:val="auto"/>
          <w:sz w:val="30"/>
          <w:szCs w:val="30"/>
          <w:highlight w:val="none"/>
          <w:lang w:val="en-US" w:eastAsia="zh-CN"/>
        </w:rPr>
        <w:t>支付当月服务费</w:t>
      </w:r>
      <w:r>
        <w:rPr>
          <w:rFonts w:hint="default" w:ascii="仿宋" w:hAnsi="仿宋" w:eastAsia="仿宋" w:cs="仿宋"/>
          <w:color w:val="auto"/>
          <w:sz w:val="30"/>
          <w:szCs w:val="30"/>
          <w:highlight w:val="none"/>
          <w:lang w:val="en" w:eastAsia="zh-CN"/>
        </w:rPr>
        <w:t>。</w:t>
      </w:r>
    </w:p>
    <w:p>
      <w:pPr>
        <w:pStyle w:val="9"/>
        <w:pageBreakBefore w:val="0"/>
        <w:numPr>
          <w:ilvl w:val="0"/>
          <w:numId w:val="0"/>
        </w:numPr>
        <w:kinsoku/>
        <w:overflowPunct/>
        <w:topLinePunct w:val="0"/>
        <w:bidi w:val="0"/>
        <w:spacing w:beforeAutospacing="0" w:afterAutospacing="0" w:line="560" w:lineRule="exact"/>
        <w:ind w:left="0"/>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（五）履约担保金</w:t>
      </w:r>
    </w:p>
    <w:p>
      <w:pPr>
        <w:pStyle w:val="9"/>
        <w:pageBreakBefore w:val="0"/>
        <w:numPr>
          <w:ilvl w:val="0"/>
          <w:numId w:val="0"/>
        </w:numPr>
        <w:kinsoku/>
        <w:overflowPunct/>
        <w:topLinePunct w:val="0"/>
        <w:bidi w:val="0"/>
        <w:spacing w:beforeAutospacing="0" w:afterAutospacing="0" w:line="560" w:lineRule="exact"/>
        <w:ind w:left="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无。</w:t>
      </w:r>
    </w:p>
    <w:p>
      <w:pPr>
        <w:pStyle w:val="9"/>
        <w:pageBreakBefore w:val="0"/>
        <w:numPr>
          <w:ilvl w:val="0"/>
          <w:numId w:val="0"/>
        </w:numPr>
        <w:kinsoku/>
        <w:overflowPunct/>
        <w:topLinePunct w:val="0"/>
        <w:bidi w:val="0"/>
        <w:spacing w:beforeAutospacing="0" w:afterAutospacing="0" w:line="560" w:lineRule="exact"/>
        <w:ind w:left="0"/>
        <w:rPr>
          <w:rFonts w:hint="default"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（六）违约责任</w:t>
      </w:r>
    </w:p>
    <w:p>
      <w:pPr>
        <w:pStyle w:val="9"/>
        <w:pageBreakBefore w:val="0"/>
        <w:numPr>
          <w:ilvl w:val="0"/>
          <w:numId w:val="0"/>
        </w:numPr>
        <w:kinsoku/>
        <w:overflowPunct/>
        <w:topLinePunct w:val="0"/>
        <w:bidi w:val="0"/>
        <w:spacing w:beforeAutospacing="0" w:afterAutospacing="0" w:line="560" w:lineRule="exact"/>
        <w:ind w:left="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安保服务单位在履职期内，有下列情形之一的，街道办有权解除合同，并要求安保服务单位赔偿损失：（1）恶意串通、不能维护采购单位合法权益的；（2）违反职业道德、执业纪律被司法行政机关处罚或受行业处分的；（3）无正当理由，两次以上不参加安保服务工作会议或者不按时提供法律意见的；（4）指派的安保员无法胜任工作，又未能在接到</w:t>
      </w:r>
      <w:r>
        <w:rPr>
          <w:rFonts w:hint="default" w:ascii="仿宋" w:hAnsi="仿宋" w:eastAsia="仿宋" w:cs="仿宋"/>
          <w:color w:val="auto"/>
          <w:sz w:val="30"/>
          <w:szCs w:val="30"/>
          <w:highlight w:val="none"/>
          <w:lang w:val="en" w:eastAsia="zh-CN"/>
        </w:rPr>
        <w:t>街道纪工委</w:t>
      </w:r>
      <w:r>
        <w:rPr>
          <w:rFonts w:hint="eastAsia" w:ascii="仿宋" w:hAnsi="仿宋" w:eastAsia="仿宋" w:cs="仿宋"/>
          <w:color w:val="auto"/>
          <w:sz w:val="30"/>
          <w:szCs w:val="30"/>
          <w:highlight w:val="none"/>
          <w:lang w:val="en-US" w:eastAsia="zh-CN"/>
        </w:rPr>
        <w:t>要求更换人员的通知之日起5个工作日内更换合适人员的；（5）指派的安保员工作严重失误、失职。具体以双方签订的合同为准。</w:t>
      </w:r>
    </w:p>
    <w:p>
      <w:pPr>
        <w:pageBreakBefore w:val="0"/>
        <w:kinsoku/>
        <w:overflowPunct/>
        <w:topLinePunct w:val="0"/>
        <w:bidi w:val="0"/>
        <w:spacing w:beforeAutospacing="0" w:afterAutospacing="0" w:line="560" w:lineRule="exact"/>
        <w:ind w:left="0"/>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lang w:val="en-US" w:eastAsia="zh-CN"/>
        </w:rPr>
        <w:t>七</w:t>
      </w:r>
      <w:r>
        <w:rPr>
          <w:rFonts w:hint="eastAsia" w:ascii="仿宋" w:hAnsi="仿宋" w:eastAsia="仿宋" w:cs="仿宋"/>
          <w:b/>
          <w:bCs/>
          <w:color w:val="auto"/>
          <w:sz w:val="30"/>
          <w:szCs w:val="30"/>
          <w:highlight w:val="none"/>
          <w:lang w:eastAsia="zh-CN"/>
        </w:rPr>
        <w:t>）其他</w:t>
      </w:r>
    </w:p>
    <w:p>
      <w:pPr>
        <w:pStyle w:val="9"/>
        <w:pageBreakBefore w:val="0"/>
        <w:numPr>
          <w:ilvl w:val="0"/>
          <w:numId w:val="0"/>
        </w:numPr>
        <w:kinsoku/>
        <w:overflowPunct/>
        <w:topLinePunct w:val="0"/>
        <w:bidi w:val="0"/>
        <w:spacing w:beforeAutospacing="0" w:afterAutospacing="0" w:line="560" w:lineRule="exact"/>
        <w:ind w:left="0" w:firstLine="601"/>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中标人应按照采购单位提供的顾问服务合同文本签订相应合同。</w:t>
      </w:r>
    </w:p>
    <w:p>
      <w:pPr>
        <w:pStyle w:val="9"/>
        <w:pageBreakBefore w:val="0"/>
        <w:numPr>
          <w:ilvl w:val="0"/>
          <w:numId w:val="0"/>
        </w:numPr>
        <w:kinsoku/>
        <w:overflowPunct/>
        <w:topLinePunct w:val="0"/>
        <w:bidi w:val="0"/>
        <w:spacing w:beforeAutospacing="0" w:afterAutospacing="0" w:line="560" w:lineRule="exact"/>
        <w:rPr>
          <w:rFonts w:hint="eastAsia" w:ascii="仿宋" w:hAnsi="仿宋" w:eastAsia="仿宋" w:cs="仿宋"/>
          <w:color w:val="auto"/>
          <w:sz w:val="30"/>
          <w:szCs w:val="30"/>
          <w:highlight w:val="none"/>
          <w:lang w:val="en-US" w:eastAsia="zh-CN"/>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spacing w:line="360" w:lineRule="auto"/>
        <w:rPr>
          <w:rFonts w:hint="eastAsia" w:ascii="黑体" w:hAnsi="黑体" w:eastAsia="黑体"/>
          <w:color w:val="auto"/>
          <w:sz w:val="24"/>
          <w:szCs w:val="24"/>
          <w:highlight w:val="none"/>
          <w:lang w:eastAsia="zh-CN"/>
        </w:rPr>
      </w:pPr>
    </w:p>
    <w:p>
      <w:pPr>
        <w:spacing w:line="360" w:lineRule="auto"/>
        <w:rPr>
          <w:rFonts w:hint="eastAsia" w:ascii="黑体" w:hAnsi="黑体" w:eastAsia="黑体"/>
          <w:color w:val="auto"/>
          <w:sz w:val="24"/>
          <w:szCs w:val="24"/>
          <w:highlight w:val="none"/>
          <w:lang w:eastAsia="zh-CN"/>
        </w:rPr>
      </w:pPr>
    </w:p>
    <w:p>
      <w:pPr>
        <w:spacing w:line="360" w:lineRule="auto"/>
        <w:rPr>
          <w:rFonts w:hint="eastAsia" w:ascii="黑体" w:hAnsi="黑体" w:eastAsia="黑体"/>
          <w:color w:val="auto"/>
          <w:sz w:val="24"/>
          <w:szCs w:val="24"/>
          <w:highlight w:val="none"/>
          <w:lang w:eastAsia="zh-CN"/>
        </w:rPr>
      </w:pPr>
      <w:r>
        <w:rPr>
          <w:rFonts w:hint="eastAsia" w:ascii="黑体" w:hAnsi="黑体" w:eastAsia="黑体"/>
          <w:color w:val="auto"/>
          <w:sz w:val="24"/>
          <w:szCs w:val="24"/>
          <w:highlight w:val="none"/>
          <w:lang w:eastAsia="zh-CN"/>
        </w:rPr>
        <w:t>附件：合同模版</w:t>
      </w:r>
    </w:p>
    <w:p>
      <w:pPr>
        <w:spacing w:line="360" w:lineRule="auto"/>
        <w:rPr>
          <w:rFonts w:hint="eastAsia" w:ascii="黑体" w:hAnsi="黑体" w:eastAsia="黑体"/>
          <w:color w:val="auto"/>
          <w:sz w:val="24"/>
          <w:szCs w:val="24"/>
          <w:highlight w:val="none"/>
        </w:rPr>
      </w:pPr>
    </w:p>
    <w:p>
      <w:pPr>
        <w:spacing w:line="360" w:lineRule="auto"/>
        <w:rPr>
          <w:rFonts w:hint="eastAsia"/>
          <w:color w:val="auto"/>
          <w:sz w:val="24"/>
          <w:szCs w:val="24"/>
          <w:highlight w:val="none"/>
        </w:rPr>
      </w:pPr>
      <w:r>
        <w:rPr>
          <w:rFonts w:hint="eastAsia" w:ascii="黑体" w:hAnsi="黑体" w:eastAsia="黑体"/>
          <w:color w:val="auto"/>
          <w:sz w:val="24"/>
          <w:szCs w:val="24"/>
          <w:highlight w:val="none"/>
        </w:rPr>
        <w:t>合同编号</w:t>
      </w:r>
      <w:r>
        <w:rPr>
          <w:rFonts w:hint="eastAsia"/>
          <w:color w:val="auto"/>
          <w:sz w:val="24"/>
          <w:szCs w:val="24"/>
          <w:highlight w:val="none"/>
        </w:rPr>
        <w:t>：</w:t>
      </w:r>
      <w:r>
        <w:rPr>
          <w:rFonts w:hint="eastAsia"/>
          <w:color w:val="auto"/>
          <w:sz w:val="24"/>
          <w:szCs w:val="24"/>
          <w:highlight w:val="none"/>
          <w:u w:val="single"/>
        </w:rPr>
        <w:t xml:space="preserve">                     </w:t>
      </w:r>
    </w:p>
    <w:p>
      <w:pPr>
        <w:spacing w:line="360" w:lineRule="auto"/>
        <w:rPr>
          <w:rFonts w:hint="eastAsia"/>
          <w:color w:val="auto"/>
          <w:sz w:val="24"/>
          <w:szCs w:val="24"/>
          <w:highlight w:val="none"/>
        </w:rPr>
      </w:pPr>
    </w:p>
    <w:p>
      <w:pPr>
        <w:spacing w:line="360" w:lineRule="auto"/>
        <w:rPr>
          <w:rFonts w:hint="eastAsia"/>
          <w:color w:val="auto"/>
          <w:sz w:val="24"/>
          <w:szCs w:val="24"/>
          <w:highlight w:val="none"/>
        </w:rPr>
      </w:pPr>
    </w:p>
    <w:p>
      <w:pPr>
        <w:spacing w:line="360" w:lineRule="auto"/>
        <w:rPr>
          <w:rFonts w:hint="eastAsia"/>
          <w:color w:val="auto"/>
          <w:sz w:val="24"/>
          <w:szCs w:val="24"/>
          <w:highlight w:val="none"/>
        </w:rPr>
      </w:pPr>
    </w:p>
    <w:p>
      <w:pPr>
        <w:widowControl/>
        <w:jc w:val="center"/>
        <w:rPr>
          <w:rFonts w:hint="eastAsia" w:ascii="宋体" w:hAnsi="宋体" w:cs="宋体"/>
          <w:b/>
          <w:bCs w:val="0"/>
          <w:color w:val="auto"/>
          <w:kern w:val="0"/>
          <w:sz w:val="48"/>
          <w:szCs w:val="48"/>
          <w:highlight w:val="none"/>
          <w:lang w:eastAsia="zh-CN"/>
        </w:rPr>
      </w:pPr>
      <w:r>
        <w:rPr>
          <w:rFonts w:hint="eastAsia" w:ascii="宋体" w:hAnsi="宋体" w:cs="宋体"/>
          <w:b/>
          <w:bCs w:val="0"/>
          <w:color w:val="auto"/>
          <w:kern w:val="0"/>
          <w:sz w:val="48"/>
          <w:szCs w:val="48"/>
          <w:highlight w:val="none"/>
        </w:rPr>
        <w:t>坑梓街道办事处</w:t>
      </w:r>
      <w:r>
        <w:rPr>
          <w:rFonts w:hint="eastAsia" w:ascii="宋体" w:hAnsi="宋体" w:cs="宋体"/>
          <w:b/>
          <w:bCs w:val="0"/>
          <w:color w:val="auto"/>
          <w:kern w:val="0"/>
          <w:sz w:val="48"/>
          <w:szCs w:val="48"/>
          <w:highlight w:val="none"/>
          <w:lang w:eastAsia="zh-CN"/>
        </w:rPr>
        <w:t>安保护卫</w:t>
      </w:r>
      <w:r>
        <w:rPr>
          <w:rFonts w:hint="eastAsia" w:ascii="宋体" w:hAnsi="宋体" w:cs="宋体"/>
          <w:b/>
          <w:bCs w:val="0"/>
          <w:color w:val="auto"/>
          <w:kern w:val="0"/>
          <w:sz w:val="48"/>
          <w:szCs w:val="48"/>
          <w:highlight w:val="none"/>
        </w:rPr>
        <w:t>服务项目</w:t>
      </w:r>
      <w:r>
        <w:rPr>
          <w:rFonts w:hint="eastAsia" w:ascii="宋体" w:hAnsi="宋体" w:cs="宋体"/>
          <w:b/>
          <w:bCs w:val="0"/>
          <w:color w:val="auto"/>
          <w:kern w:val="0"/>
          <w:sz w:val="48"/>
          <w:szCs w:val="48"/>
          <w:highlight w:val="none"/>
          <w:lang w:eastAsia="zh-CN"/>
        </w:rPr>
        <w:t>合同</w:t>
      </w:r>
    </w:p>
    <w:p>
      <w:pPr>
        <w:pStyle w:val="2"/>
        <w:ind w:firstLine="481" w:firstLineChars="100"/>
        <w:rPr>
          <w:rFonts w:hint="eastAsia"/>
          <w:color w:val="auto"/>
          <w:highlight w:val="none"/>
          <w:lang w:eastAsia="zh-CN"/>
        </w:rPr>
      </w:pPr>
      <w:r>
        <w:rPr>
          <w:rFonts w:hint="eastAsia" w:ascii="宋体" w:hAnsi="宋体" w:cs="宋体"/>
          <w:b/>
          <w:bCs w:val="0"/>
          <w:color w:val="auto"/>
          <w:kern w:val="0"/>
          <w:sz w:val="48"/>
          <w:szCs w:val="48"/>
          <w:highlight w:val="none"/>
          <w:lang w:eastAsia="zh-CN"/>
        </w:rPr>
        <w:t>（具体以正式签订的合同文本为准）</w:t>
      </w:r>
    </w:p>
    <w:p>
      <w:pPr>
        <w:spacing w:line="360" w:lineRule="auto"/>
        <w:rPr>
          <w:rFonts w:hint="eastAsia"/>
          <w:color w:val="auto"/>
          <w:sz w:val="44"/>
          <w:szCs w:val="44"/>
          <w:highlight w:val="none"/>
        </w:rPr>
      </w:pPr>
    </w:p>
    <w:p>
      <w:pPr>
        <w:spacing w:line="360" w:lineRule="auto"/>
        <w:rPr>
          <w:rFonts w:hint="eastAsia"/>
          <w:color w:val="auto"/>
          <w:sz w:val="24"/>
          <w:szCs w:val="24"/>
          <w:highlight w:val="none"/>
        </w:rPr>
      </w:pPr>
    </w:p>
    <w:p>
      <w:pPr>
        <w:spacing w:line="360" w:lineRule="auto"/>
        <w:rPr>
          <w:rFonts w:hint="eastAsia"/>
          <w:color w:val="auto"/>
          <w:sz w:val="24"/>
          <w:szCs w:val="24"/>
          <w:highlight w:val="none"/>
        </w:rPr>
      </w:pPr>
    </w:p>
    <w:p>
      <w:pPr>
        <w:spacing w:line="360" w:lineRule="auto"/>
        <w:rPr>
          <w:rFonts w:hint="eastAsia"/>
          <w:color w:val="auto"/>
          <w:sz w:val="24"/>
          <w:szCs w:val="24"/>
          <w:highlight w:val="none"/>
        </w:rPr>
      </w:pPr>
    </w:p>
    <w:p>
      <w:pPr>
        <w:spacing w:line="360" w:lineRule="auto"/>
        <w:rPr>
          <w:rFonts w:hint="eastAsia"/>
          <w:color w:val="auto"/>
          <w:sz w:val="24"/>
          <w:szCs w:val="24"/>
          <w:highlight w:val="none"/>
        </w:rPr>
      </w:pPr>
    </w:p>
    <w:p>
      <w:pPr>
        <w:pStyle w:val="2"/>
        <w:rPr>
          <w:rFonts w:hint="eastAsia"/>
          <w:color w:val="auto"/>
          <w:sz w:val="24"/>
          <w:szCs w:val="24"/>
          <w:highlight w:val="none"/>
        </w:rPr>
      </w:pPr>
    </w:p>
    <w:p>
      <w:pPr>
        <w:rPr>
          <w:rFonts w:hint="eastAsia"/>
          <w:color w:val="auto"/>
          <w:sz w:val="24"/>
          <w:szCs w:val="24"/>
          <w:highlight w:val="none"/>
        </w:rPr>
      </w:pPr>
    </w:p>
    <w:p>
      <w:pPr>
        <w:pStyle w:val="2"/>
        <w:rPr>
          <w:rFonts w:hint="eastAsia"/>
          <w:color w:val="auto"/>
          <w:sz w:val="24"/>
          <w:szCs w:val="24"/>
          <w:highlight w:val="none"/>
        </w:rPr>
      </w:pPr>
    </w:p>
    <w:p>
      <w:pPr>
        <w:rPr>
          <w:rFonts w:hint="eastAsia"/>
          <w:color w:val="auto"/>
          <w:sz w:val="24"/>
          <w:szCs w:val="24"/>
          <w:highlight w:val="none"/>
        </w:rPr>
      </w:pPr>
    </w:p>
    <w:p>
      <w:pPr>
        <w:pStyle w:val="2"/>
        <w:rPr>
          <w:rFonts w:hint="eastAsia"/>
          <w:color w:val="auto"/>
          <w:sz w:val="24"/>
          <w:szCs w:val="24"/>
          <w:highlight w:val="none"/>
        </w:rPr>
      </w:pPr>
    </w:p>
    <w:p>
      <w:pPr>
        <w:rPr>
          <w:rFonts w:hint="eastAsia"/>
          <w:color w:val="auto"/>
          <w:sz w:val="24"/>
          <w:szCs w:val="24"/>
          <w:highlight w:val="none"/>
        </w:rPr>
      </w:pPr>
    </w:p>
    <w:p>
      <w:pPr>
        <w:pStyle w:val="2"/>
        <w:rPr>
          <w:rFonts w:hint="eastAsia"/>
          <w:color w:val="auto"/>
          <w:sz w:val="24"/>
          <w:szCs w:val="24"/>
          <w:highlight w:val="none"/>
        </w:rPr>
      </w:pPr>
    </w:p>
    <w:p>
      <w:pPr>
        <w:spacing w:line="360" w:lineRule="auto"/>
        <w:rPr>
          <w:rFonts w:hint="eastAsia"/>
          <w:color w:val="auto"/>
          <w:sz w:val="24"/>
          <w:szCs w:val="24"/>
          <w:highlight w:val="none"/>
        </w:rPr>
      </w:pPr>
    </w:p>
    <w:p>
      <w:pPr>
        <w:spacing w:line="560" w:lineRule="exact"/>
        <w:ind w:left="1400" w:hanging="1400" w:hangingChars="500"/>
        <w:jc w:val="center"/>
        <w:outlineLvl w:val="1"/>
        <w:rPr>
          <w:rFonts w:hint="eastAsia" w:ascii="黑体" w:hAnsi="黑体" w:eastAsia="方正小标宋简体"/>
          <w:color w:val="auto"/>
          <w:sz w:val="28"/>
          <w:szCs w:val="28"/>
          <w:highlight w:val="none"/>
          <w:lang w:eastAsia="zh-CN"/>
        </w:rPr>
      </w:pP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lang w:eastAsia="zh-CN"/>
        </w:rPr>
        <w:t>项目</w:t>
      </w:r>
      <w:r>
        <w:rPr>
          <w:rFonts w:hint="eastAsia" w:ascii="黑体" w:hAnsi="黑体" w:eastAsia="黑体"/>
          <w:color w:val="auto"/>
          <w:sz w:val="28"/>
          <w:szCs w:val="28"/>
          <w:highlight w:val="none"/>
        </w:rPr>
        <w:t>名称</w:t>
      </w:r>
      <w:r>
        <w:rPr>
          <w:rFonts w:hint="eastAsia" w:ascii="黑体" w:hAnsi="黑体" w:eastAsia="黑体" w:cs="Times New Roman"/>
          <w:color w:val="auto"/>
          <w:sz w:val="28"/>
          <w:szCs w:val="28"/>
          <w:highlight w:val="none"/>
          <w:lang w:eastAsia="zh-CN"/>
        </w:rPr>
        <w:t>：</w:t>
      </w:r>
      <w:r>
        <w:rPr>
          <w:rFonts w:hint="eastAsia" w:ascii="黑体" w:hAnsi="黑体" w:eastAsia="黑体" w:cs="Times New Roman"/>
          <w:color w:val="auto"/>
          <w:sz w:val="28"/>
          <w:szCs w:val="28"/>
          <w:highlight w:val="none"/>
          <w:u w:val="single"/>
          <w:lang w:eastAsia="zh-CN"/>
        </w:rPr>
        <w:t>坑梓街道办事处安保护卫服务项目</w:t>
      </w:r>
    </w:p>
    <w:p>
      <w:pPr>
        <w:spacing w:line="360" w:lineRule="auto"/>
        <w:ind w:firstLine="1680" w:firstLineChars="600"/>
        <w:jc w:val="both"/>
        <w:rPr>
          <w:rFonts w:hint="default" w:ascii="黑体" w:hAnsi="黑体" w:eastAsia="黑体"/>
          <w:color w:val="auto"/>
          <w:sz w:val="28"/>
          <w:szCs w:val="28"/>
          <w:highlight w:val="none"/>
          <w:lang w:val="en-US" w:eastAsia="zh-CN"/>
        </w:rPr>
      </w:pPr>
      <w:r>
        <w:rPr>
          <w:rFonts w:hint="eastAsia" w:ascii="黑体" w:hAnsi="黑体" w:eastAsia="黑体"/>
          <w:color w:val="auto"/>
          <w:sz w:val="28"/>
          <w:szCs w:val="28"/>
          <w:highlight w:val="none"/>
          <w:lang w:eastAsia="zh-CN"/>
        </w:rPr>
        <w:t>甲</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方：</w:t>
      </w:r>
      <w:r>
        <w:rPr>
          <w:rFonts w:hint="eastAsia" w:ascii="黑体" w:hAnsi="黑体" w:eastAsia="黑体"/>
          <w:color w:val="auto"/>
          <w:sz w:val="28"/>
          <w:szCs w:val="28"/>
          <w:highlight w:val="none"/>
          <w:u w:val="single"/>
        </w:rPr>
        <w:t>深圳市坪山区坑梓街道办事处</w:t>
      </w:r>
      <w:r>
        <w:rPr>
          <w:rFonts w:hint="eastAsia" w:ascii="黑体" w:hAnsi="黑体" w:eastAsia="黑体"/>
          <w:color w:val="auto"/>
          <w:sz w:val="28"/>
          <w:szCs w:val="28"/>
          <w:highlight w:val="none"/>
          <w:u w:val="single"/>
          <w:lang w:val="en-US" w:eastAsia="zh-CN"/>
        </w:rPr>
        <w:t xml:space="preserve">    </w:t>
      </w:r>
    </w:p>
    <w:p>
      <w:pPr>
        <w:spacing w:line="360" w:lineRule="auto"/>
        <w:ind w:firstLine="1680" w:firstLineChars="600"/>
        <w:jc w:val="both"/>
        <w:rPr>
          <w:rFonts w:hint="default" w:ascii="黑体" w:hAnsi="黑体" w:eastAsia="黑体"/>
          <w:color w:val="auto"/>
          <w:sz w:val="28"/>
          <w:szCs w:val="28"/>
          <w:highlight w:val="none"/>
          <w:lang w:val="en-US" w:eastAsia="zh-CN"/>
        </w:rPr>
      </w:pPr>
      <w:r>
        <w:rPr>
          <w:rFonts w:hint="eastAsia" w:ascii="黑体" w:hAnsi="黑体" w:eastAsia="黑体"/>
          <w:color w:val="auto"/>
          <w:sz w:val="28"/>
          <w:szCs w:val="28"/>
          <w:highlight w:val="none"/>
          <w:lang w:eastAsia="zh-CN"/>
        </w:rPr>
        <w:t>乙</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方：</w:t>
      </w:r>
      <w:r>
        <w:rPr>
          <w:rFonts w:hint="eastAsia" w:ascii="黑体" w:hAnsi="黑体" w:eastAsia="黑体"/>
          <w:color w:val="auto"/>
          <w:sz w:val="28"/>
          <w:szCs w:val="28"/>
          <w:highlight w:val="none"/>
          <w:u w:val="single"/>
          <w:lang w:val="en-US" w:eastAsia="zh-CN"/>
        </w:rPr>
        <w:t xml:space="preserve">                              </w:t>
      </w:r>
    </w:p>
    <w:p>
      <w:pPr>
        <w:spacing w:line="360" w:lineRule="auto"/>
        <w:rPr>
          <w:rFonts w:hint="eastAsia"/>
          <w:color w:val="auto"/>
          <w:sz w:val="28"/>
          <w:szCs w:val="28"/>
          <w:highlight w:val="none"/>
          <w:u w:val="single"/>
        </w:rPr>
      </w:pPr>
    </w:p>
    <w:p>
      <w:pPr>
        <w:widowControl/>
        <w:spacing w:line="400" w:lineRule="exact"/>
        <w:jc w:val="center"/>
        <w:rPr>
          <w:rFonts w:hint="eastAsia" w:ascii="黑体" w:hAnsi="黑体" w:eastAsia="黑体"/>
          <w:color w:val="auto"/>
          <w:sz w:val="28"/>
          <w:szCs w:val="28"/>
          <w:highlight w:val="none"/>
        </w:rPr>
      </w:pPr>
      <w:r>
        <w:rPr>
          <w:rFonts w:hint="eastAsia" w:ascii="宋体" w:hAnsi="宋体" w:cs="宋体"/>
          <w:b/>
          <w:bCs w:val="0"/>
          <w:color w:val="auto"/>
          <w:kern w:val="0"/>
          <w:sz w:val="36"/>
          <w:szCs w:val="36"/>
          <w:highlight w:val="none"/>
        </w:rPr>
        <w:t>坑梓街道办事处</w:t>
      </w:r>
      <w:r>
        <w:rPr>
          <w:rFonts w:hint="eastAsia" w:ascii="宋体" w:hAnsi="宋体" w:cs="宋体"/>
          <w:b/>
          <w:bCs w:val="0"/>
          <w:color w:val="auto"/>
          <w:kern w:val="0"/>
          <w:sz w:val="36"/>
          <w:szCs w:val="36"/>
          <w:highlight w:val="none"/>
          <w:lang w:eastAsia="zh-CN"/>
        </w:rPr>
        <w:t>安保护卫</w:t>
      </w:r>
      <w:r>
        <w:rPr>
          <w:rFonts w:hint="eastAsia" w:ascii="宋体" w:hAnsi="宋体" w:cs="宋体"/>
          <w:b/>
          <w:bCs w:val="0"/>
          <w:color w:val="auto"/>
          <w:kern w:val="0"/>
          <w:sz w:val="36"/>
          <w:szCs w:val="36"/>
          <w:highlight w:val="none"/>
        </w:rPr>
        <w:t>服务项目</w:t>
      </w:r>
      <w:r>
        <w:rPr>
          <w:rFonts w:hint="eastAsia" w:ascii="宋体" w:hAnsi="宋体" w:cs="宋体"/>
          <w:b/>
          <w:bCs w:val="0"/>
          <w:color w:val="auto"/>
          <w:kern w:val="0"/>
          <w:sz w:val="36"/>
          <w:szCs w:val="36"/>
          <w:highlight w:val="none"/>
          <w:lang w:eastAsia="zh-CN"/>
        </w:rPr>
        <w:t>合同</w:t>
      </w:r>
    </w:p>
    <w:p>
      <w:pPr>
        <w:pStyle w:val="9"/>
        <w:spacing w:line="400" w:lineRule="exact"/>
        <w:rPr>
          <w:rFonts w:hint="eastAsia"/>
          <w:color w:val="auto"/>
          <w:highlight w:val="none"/>
        </w:rPr>
      </w:pPr>
    </w:p>
    <w:p>
      <w:pPr>
        <w:spacing w:line="400" w:lineRule="exact"/>
        <w:rPr>
          <w:rFonts w:hint="eastAsia" w:ascii="黑体" w:hAnsi="黑体" w:eastAsia="黑体"/>
          <w:color w:val="auto"/>
          <w:sz w:val="28"/>
          <w:szCs w:val="28"/>
          <w:highlight w:val="none"/>
        </w:rPr>
      </w:pPr>
    </w:p>
    <w:p>
      <w:pPr>
        <w:spacing w:line="400" w:lineRule="exact"/>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甲方</w:t>
      </w:r>
      <w:r>
        <w:rPr>
          <w:rFonts w:hint="eastAsia" w:ascii="仿宋" w:hAnsi="仿宋" w:eastAsia="仿宋"/>
          <w:color w:val="auto"/>
          <w:sz w:val="28"/>
          <w:szCs w:val="28"/>
          <w:highlight w:val="none"/>
        </w:rPr>
        <w:t>：</w:t>
      </w:r>
      <w:r>
        <w:rPr>
          <w:rFonts w:hint="eastAsia" w:ascii="黑体" w:hAnsi="黑体" w:eastAsia="黑体"/>
          <w:color w:val="auto"/>
          <w:sz w:val="28"/>
          <w:szCs w:val="28"/>
          <w:highlight w:val="none"/>
          <w:u w:val="single"/>
        </w:rPr>
        <w:t>深圳市坪山区坑梓街道办事处</w:t>
      </w:r>
    </w:p>
    <w:p>
      <w:pPr>
        <w:tabs>
          <w:tab w:val="left" w:pos="2490"/>
        </w:tabs>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地址：深圳市坪山区坑梓街道人民西路2号</w:t>
      </w:r>
    </w:p>
    <w:p>
      <w:pPr>
        <w:spacing w:line="400" w:lineRule="exact"/>
        <w:rPr>
          <w:rFonts w:hint="eastAsia" w:ascii="仿宋" w:hAnsi="仿宋" w:eastAsia="仿宋"/>
          <w:color w:val="auto"/>
          <w:sz w:val="28"/>
          <w:szCs w:val="28"/>
          <w:highlight w:val="none"/>
        </w:rPr>
      </w:pPr>
      <w:r>
        <w:rPr>
          <w:rFonts w:hint="eastAsia" w:ascii="黑体" w:hAnsi="黑体" w:eastAsia="黑体"/>
          <w:color w:val="auto"/>
          <w:sz w:val="28"/>
          <w:szCs w:val="28"/>
          <w:highlight w:val="none"/>
        </w:rPr>
        <w:t>乙方</w:t>
      </w:r>
      <w:r>
        <w:rPr>
          <w:rFonts w:hint="eastAsia" w:ascii="仿宋" w:hAnsi="仿宋" w:eastAsia="仿宋"/>
          <w:color w:val="auto"/>
          <w:sz w:val="28"/>
          <w:szCs w:val="28"/>
          <w:highlight w:val="none"/>
        </w:rPr>
        <w:t>：</w:t>
      </w:r>
    </w:p>
    <w:p>
      <w:pPr>
        <w:tabs>
          <w:tab w:val="left" w:pos="2490"/>
        </w:tabs>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w:t>
      </w:r>
      <w:r>
        <w:rPr>
          <w:rFonts w:hint="eastAsia" w:ascii="仿宋" w:hAnsi="仿宋" w:eastAsia="仿宋" w:cs="Times New Roman"/>
          <w:color w:val="auto"/>
          <w:sz w:val="28"/>
          <w:szCs w:val="28"/>
          <w:highlight w:val="none"/>
        </w:rPr>
        <w:t>址：</w:t>
      </w:r>
    </w:p>
    <w:p>
      <w:pPr>
        <w:spacing w:line="400" w:lineRule="exact"/>
        <w:jc w:val="left"/>
        <w:rPr>
          <w:rFonts w:hint="eastAsia" w:ascii="仿宋" w:hAnsi="仿宋" w:eastAsia="仿宋"/>
          <w:color w:val="auto"/>
          <w:sz w:val="28"/>
          <w:szCs w:val="28"/>
          <w:highlight w:val="none"/>
        </w:rPr>
      </w:pPr>
    </w:p>
    <w:p>
      <w:pPr>
        <w:spacing w:line="400" w:lineRule="exact"/>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CN"/>
        </w:rPr>
        <w:t>《中华人民共和国民法典》</w:t>
      </w:r>
      <w:r>
        <w:rPr>
          <w:rFonts w:hint="eastAsia" w:ascii="仿宋" w:hAnsi="仿宋" w:eastAsia="仿宋" w:cs="仿宋"/>
          <w:color w:val="auto"/>
          <w:sz w:val="28"/>
          <w:szCs w:val="28"/>
          <w:highlight w:val="none"/>
        </w:rPr>
        <w:t>《深圳经济特区政府采购条例》，经甲、乙双方友好</w:t>
      </w:r>
      <w:r>
        <w:rPr>
          <w:rFonts w:hint="eastAsia" w:ascii="仿宋" w:hAnsi="仿宋" w:eastAsia="仿宋" w:cs="仿宋"/>
          <w:color w:val="auto"/>
          <w:sz w:val="28"/>
          <w:szCs w:val="28"/>
          <w:highlight w:val="none"/>
          <w:lang w:eastAsia="zh-CN"/>
        </w:rPr>
        <w:t>协商，就</w:t>
      </w:r>
      <w:r>
        <w:rPr>
          <w:rFonts w:hint="eastAsia" w:ascii="仿宋" w:hAnsi="仿宋" w:eastAsia="仿宋" w:cs="仿宋"/>
          <w:color w:val="auto"/>
          <w:sz w:val="28"/>
          <w:szCs w:val="28"/>
          <w:highlight w:val="none"/>
          <w:u w:val="single"/>
          <w:lang w:eastAsia="zh-CN"/>
        </w:rPr>
        <w:t>坑梓街道办事处安保护卫服务项目（项目编号：）</w:t>
      </w:r>
      <w:r>
        <w:rPr>
          <w:rFonts w:hint="eastAsia" w:ascii="仿宋" w:hAnsi="仿宋" w:eastAsia="仿宋" w:cs="仿宋"/>
          <w:color w:val="auto"/>
          <w:sz w:val="28"/>
          <w:szCs w:val="28"/>
          <w:highlight w:val="none"/>
          <w:lang w:eastAsia="zh-CN"/>
        </w:rPr>
        <w:t>，达成</w:t>
      </w:r>
      <w:r>
        <w:rPr>
          <w:rFonts w:hint="eastAsia" w:ascii="仿宋" w:hAnsi="仿宋" w:eastAsia="仿宋" w:cs="仿宋"/>
          <w:color w:val="auto"/>
          <w:sz w:val="28"/>
          <w:szCs w:val="28"/>
          <w:highlight w:val="none"/>
        </w:rPr>
        <w:t>以下合同条款，以资共同遵守。</w:t>
      </w:r>
    </w:p>
    <w:p>
      <w:pPr>
        <w:numPr>
          <w:ilvl w:val="0"/>
          <w:numId w:val="5"/>
        </w:numPr>
        <w:spacing w:line="400" w:lineRule="exact"/>
        <w:ind w:hanging="198"/>
        <w:rPr>
          <w:rFonts w:hint="eastAsia" w:ascii="黑体" w:hAnsi="黑体" w:eastAsia="黑体"/>
          <w:bCs/>
          <w:color w:val="auto"/>
          <w:sz w:val="28"/>
          <w:szCs w:val="28"/>
          <w:highlight w:val="none"/>
        </w:rPr>
      </w:pPr>
      <w:r>
        <w:rPr>
          <w:rFonts w:ascii="黑体" w:hAnsi="黑体" w:eastAsia="黑体"/>
          <w:bCs/>
          <w:color w:val="auto"/>
          <w:sz w:val="28"/>
          <w:szCs w:val="28"/>
          <w:highlight w:val="none"/>
        </w:rPr>
        <w:t>服务内容</w:t>
      </w:r>
    </w:p>
    <w:p>
      <w:pPr>
        <w:pStyle w:val="11"/>
        <w:adjustRightInd w:val="0"/>
        <w:snapToGrid w:val="0"/>
        <w:spacing w:line="4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乙方负责指派安保员为坑梓街道</w:t>
      </w:r>
      <w:r>
        <w:rPr>
          <w:rFonts w:hint="default" w:ascii="仿宋" w:hAnsi="仿宋" w:eastAsia="仿宋" w:cs="仿宋"/>
          <w:color w:val="auto"/>
          <w:kern w:val="2"/>
          <w:sz w:val="28"/>
          <w:szCs w:val="28"/>
          <w:highlight w:val="none"/>
          <w:lang w:val="en" w:eastAsia="zh-CN" w:bidi="ar-SA"/>
        </w:rPr>
        <w:t>聚龙山</w:t>
      </w:r>
      <w:r>
        <w:rPr>
          <w:rFonts w:hint="eastAsia" w:ascii="仿宋" w:hAnsi="仿宋" w:eastAsia="仿宋" w:cs="仿宋"/>
          <w:color w:val="auto"/>
          <w:kern w:val="2"/>
          <w:sz w:val="28"/>
          <w:szCs w:val="28"/>
          <w:highlight w:val="none"/>
          <w:lang w:val="en" w:eastAsia="zh-CN" w:bidi="ar-SA"/>
        </w:rPr>
        <w:t>工作点</w:t>
      </w:r>
      <w:r>
        <w:rPr>
          <w:rFonts w:hint="eastAsia" w:ascii="仿宋" w:hAnsi="仿宋" w:eastAsia="仿宋" w:cs="仿宋"/>
          <w:color w:val="auto"/>
          <w:kern w:val="2"/>
          <w:sz w:val="28"/>
          <w:szCs w:val="28"/>
          <w:highlight w:val="none"/>
          <w:lang w:val="en-US" w:eastAsia="zh-CN" w:bidi="ar-SA"/>
        </w:rPr>
        <w:t>承担安保护卫服务工作。</w:t>
      </w:r>
      <w:r>
        <w:rPr>
          <w:rFonts w:hint="eastAsia" w:ascii="仿宋" w:hAnsi="仿宋" w:eastAsia="仿宋" w:cs="仿宋"/>
          <w:color w:val="auto"/>
          <w:sz w:val="28"/>
          <w:szCs w:val="28"/>
          <w:highlight w:val="none"/>
        </w:rPr>
        <w:t>具体服务内容以及要求如下：</w:t>
      </w:r>
    </w:p>
    <w:p>
      <w:pPr>
        <w:pStyle w:val="9"/>
        <w:numPr>
          <w:ilvl w:val="0"/>
          <w:numId w:val="0"/>
        </w:numPr>
        <w:spacing w:line="400" w:lineRule="exact"/>
        <w:ind w:leftChars="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（一）服务方式：</w:t>
      </w:r>
    </w:p>
    <w:p>
      <w:pPr>
        <w:pStyle w:val="24"/>
        <w:tabs>
          <w:tab w:val="left" w:pos="0"/>
        </w:tabs>
        <w:adjustRightInd w:val="0"/>
        <w:snapToGrid w:val="0"/>
        <w:spacing w:after="60" w:line="400" w:lineRule="exact"/>
        <w:ind w:firstLine="560" w:firstLineChars="200"/>
        <w:outlineLvl w:val="1"/>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乙方按甲方需求提供护卫服务：</w:t>
      </w:r>
    </w:p>
    <w:tbl>
      <w:tblPr>
        <w:tblStyle w:val="18"/>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863"/>
        <w:gridCol w:w="6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99" w:type="dxa"/>
            <w:noWrap w:val="0"/>
            <w:vAlign w:val="center"/>
          </w:tcPr>
          <w:p>
            <w:pPr>
              <w:pStyle w:val="15"/>
              <w:widowControl/>
              <w:spacing w:line="400" w:lineRule="exact"/>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服务方式</w:t>
            </w:r>
          </w:p>
        </w:tc>
        <w:tc>
          <w:tcPr>
            <w:tcW w:w="863" w:type="dxa"/>
            <w:noWrap w:val="0"/>
            <w:vAlign w:val="center"/>
          </w:tcPr>
          <w:p>
            <w:pPr>
              <w:pStyle w:val="15"/>
              <w:widowControl/>
              <w:spacing w:line="400" w:lineRule="exact"/>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数量</w:t>
            </w:r>
          </w:p>
        </w:tc>
        <w:tc>
          <w:tcPr>
            <w:tcW w:w="6683" w:type="dxa"/>
            <w:noWrap w:val="0"/>
            <w:vAlign w:val="center"/>
          </w:tcPr>
          <w:p>
            <w:pPr>
              <w:pStyle w:val="15"/>
              <w:widowControl/>
              <w:spacing w:line="400" w:lineRule="exact"/>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499" w:type="dxa"/>
            <w:noWrap w:val="0"/>
            <w:vAlign w:val="center"/>
          </w:tcPr>
          <w:p>
            <w:pPr>
              <w:pStyle w:val="15"/>
              <w:widowControl/>
              <w:spacing w:line="400" w:lineRule="exact"/>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协助护卫</w:t>
            </w:r>
          </w:p>
        </w:tc>
        <w:tc>
          <w:tcPr>
            <w:tcW w:w="863" w:type="dxa"/>
            <w:noWrap w:val="0"/>
            <w:vAlign w:val="center"/>
          </w:tcPr>
          <w:p>
            <w:pPr>
              <w:pStyle w:val="15"/>
              <w:widowControl/>
              <w:spacing w:line="40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4人</w:t>
            </w:r>
          </w:p>
        </w:tc>
        <w:tc>
          <w:tcPr>
            <w:tcW w:w="6683" w:type="dxa"/>
            <w:noWrap w:val="0"/>
            <w:vAlign w:val="center"/>
          </w:tcPr>
          <w:p>
            <w:pPr>
              <w:pStyle w:val="15"/>
              <w:widowControl/>
              <w:spacing w:line="40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由乙方派遣4名</w:t>
            </w:r>
            <w:r>
              <w:rPr>
                <w:rFonts w:hint="default" w:ascii="仿宋" w:hAnsi="仿宋" w:eastAsia="仿宋" w:cs="仿宋"/>
                <w:color w:val="auto"/>
                <w:kern w:val="2"/>
                <w:sz w:val="28"/>
                <w:szCs w:val="28"/>
                <w:highlight w:val="none"/>
                <w:lang w:val="en" w:eastAsia="zh-CN" w:bidi="ar-SA"/>
              </w:rPr>
              <w:t>安保</w:t>
            </w:r>
            <w:r>
              <w:rPr>
                <w:rFonts w:hint="eastAsia" w:ascii="仿宋" w:hAnsi="仿宋" w:eastAsia="仿宋" w:cs="仿宋"/>
                <w:color w:val="auto"/>
                <w:kern w:val="2"/>
                <w:sz w:val="28"/>
                <w:szCs w:val="28"/>
                <w:highlight w:val="none"/>
                <w:lang w:val="en-US" w:eastAsia="zh-CN" w:bidi="ar-SA"/>
              </w:rPr>
              <w:t>员协助</w:t>
            </w:r>
            <w:r>
              <w:rPr>
                <w:rFonts w:hint="default" w:ascii="仿宋" w:hAnsi="仿宋" w:eastAsia="仿宋" w:cs="仿宋"/>
                <w:color w:val="auto"/>
                <w:kern w:val="2"/>
                <w:sz w:val="28"/>
                <w:szCs w:val="28"/>
                <w:highlight w:val="none"/>
                <w:lang w:val="en" w:eastAsia="zh-CN" w:bidi="ar-SA"/>
              </w:rPr>
              <w:t>坑梓街道</w:t>
            </w:r>
            <w:r>
              <w:rPr>
                <w:rFonts w:hint="eastAsia" w:ascii="仿宋" w:hAnsi="仿宋" w:eastAsia="仿宋" w:cs="仿宋"/>
                <w:color w:val="auto"/>
                <w:kern w:val="2"/>
                <w:sz w:val="28"/>
                <w:szCs w:val="28"/>
                <w:highlight w:val="none"/>
                <w:lang w:val="en-US" w:eastAsia="zh-CN" w:bidi="ar-SA"/>
              </w:rPr>
              <w:t>，安保员及工作地点由</w:t>
            </w:r>
            <w:r>
              <w:rPr>
                <w:rFonts w:hint="default" w:ascii="仿宋" w:hAnsi="仿宋" w:eastAsia="仿宋" w:cs="仿宋"/>
                <w:color w:val="auto"/>
                <w:kern w:val="2"/>
                <w:sz w:val="28"/>
                <w:szCs w:val="28"/>
                <w:highlight w:val="none"/>
                <w:lang w:val="en" w:eastAsia="zh-CN" w:bidi="ar-SA"/>
              </w:rPr>
              <w:t>坑梓</w:t>
            </w:r>
            <w:r>
              <w:rPr>
                <w:rFonts w:hint="eastAsia" w:ascii="仿宋" w:hAnsi="仿宋" w:eastAsia="仿宋" w:cs="仿宋"/>
                <w:color w:val="auto"/>
                <w:kern w:val="2"/>
                <w:sz w:val="28"/>
                <w:szCs w:val="28"/>
                <w:highlight w:val="none"/>
                <w:lang w:val="en-US" w:eastAsia="zh-CN" w:bidi="ar-SA"/>
              </w:rPr>
              <w:t>街道</w:t>
            </w:r>
            <w:r>
              <w:rPr>
                <w:rFonts w:hint="default" w:ascii="仿宋" w:hAnsi="仿宋" w:eastAsia="仿宋" w:cs="仿宋"/>
                <w:color w:val="auto"/>
                <w:kern w:val="2"/>
                <w:sz w:val="28"/>
                <w:szCs w:val="28"/>
                <w:highlight w:val="none"/>
                <w:lang w:val="en" w:eastAsia="zh-CN" w:bidi="ar-SA"/>
              </w:rPr>
              <w:t>纪工委</w:t>
            </w:r>
            <w:r>
              <w:rPr>
                <w:rFonts w:hint="eastAsia" w:ascii="仿宋" w:hAnsi="仿宋" w:eastAsia="仿宋" w:cs="仿宋"/>
                <w:color w:val="auto"/>
                <w:kern w:val="2"/>
                <w:sz w:val="28"/>
                <w:szCs w:val="28"/>
                <w:highlight w:val="none"/>
                <w:lang w:val="en-US" w:eastAsia="zh-CN" w:bidi="ar-SA"/>
              </w:rPr>
              <w:t>根据实际需求进行分配。</w:t>
            </w:r>
          </w:p>
        </w:tc>
      </w:tr>
    </w:tbl>
    <w:p>
      <w:pPr>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坑梓街道</w:t>
      </w:r>
      <w:r>
        <w:rPr>
          <w:rFonts w:hint="default" w:ascii="仿宋" w:hAnsi="仿宋" w:eastAsia="仿宋" w:cs="仿宋"/>
          <w:color w:val="auto"/>
          <w:sz w:val="28"/>
          <w:szCs w:val="28"/>
          <w:highlight w:val="none"/>
          <w:lang w:val="en" w:eastAsia="zh-CN"/>
        </w:rPr>
        <w:t>纪工委</w:t>
      </w:r>
      <w:r>
        <w:rPr>
          <w:rFonts w:hint="eastAsia" w:ascii="仿宋" w:hAnsi="仿宋" w:eastAsia="仿宋" w:cs="仿宋"/>
          <w:color w:val="auto"/>
          <w:sz w:val="28"/>
          <w:szCs w:val="28"/>
          <w:highlight w:val="none"/>
          <w:lang w:val="en-US" w:eastAsia="zh-CN"/>
        </w:rPr>
        <w:t>负责对安保服务的工作情况进行日常管理和考核。</w:t>
      </w:r>
    </w:p>
    <w:p>
      <w:pPr>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（二）服务内容</w:t>
      </w:r>
    </w:p>
    <w:p>
      <w:pPr>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1、对发生在执勤区域内的刑事案件、治安案件等，安保员应及时报告甲方和当地公安机关及甲、乙双方相关领导，采取措施保护案发现场，依法妥善处理责任范围内的其它突发事件。</w:t>
      </w:r>
    </w:p>
    <w:p>
      <w:pPr>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2、制定和落实防火、防盗、防破坏等安全防范措施，发现责任区域内安全隐患，及时报告甲方并提出整改建议和措施。</w:t>
      </w:r>
    </w:p>
    <w:p>
      <w:pPr>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3、护卫区域内发生重大特发事件时，要得到甲方请求后，乙方必须尽量迅速组织人力提供援助，尽量维护甲方人身、财产安全。</w:t>
      </w:r>
    </w:p>
    <w:p>
      <w:pPr>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（三）服务要求</w:t>
      </w:r>
    </w:p>
    <w:p>
      <w:pPr>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1、结合实际，提供优质的安保护卫服务。安保服务单位须对所提供的安保服务工作负责，对安保人员行为承担法律责任。</w:t>
      </w:r>
    </w:p>
    <w:p>
      <w:pPr>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2、提供的安保护卫服务应当严格依照法律、法规且符合国家、省、市、区的相关法律法规规定及政策。</w:t>
      </w:r>
    </w:p>
    <w:p>
      <w:pPr>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3、应当严格遵守《保安服务管理条例》、保安员服务规范及职业道德要求。</w:t>
      </w:r>
    </w:p>
    <w:p>
      <w:pPr>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4、应及时完成甲方交办的工作内容，避免拖延。</w:t>
      </w:r>
    </w:p>
    <w:p>
      <w:pPr>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5、为本项目提供服务的安保员及工作人员应遵守甲方工作纪律，服从工作安排，且不得泄漏工作中接触的甲方及第三方的秘密。</w:t>
      </w:r>
    </w:p>
    <w:p>
      <w:pPr>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30"/>
          <w:szCs w:val="30"/>
          <w:highlight w:val="none"/>
          <w:lang w:val="en-US" w:eastAsia="zh-CN"/>
        </w:rPr>
        <w:t>安保护卫服务：指派四名安保员在聚龙山工作点提供24小时安全护卫服务。街道办事处需提供工作人员必要的办公设备，工作人员的食宿由安保服务单位自行解决。</w:t>
      </w:r>
    </w:p>
    <w:p>
      <w:pPr>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7、乙方指派的安保员需无条件服从甲方的工作管理及安排，遵守甲方制定的考勤制度；项目过程中因工作要求需要工作人员加班加点的，需无条件执行。</w:t>
      </w:r>
    </w:p>
    <w:p>
      <w:pPr>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 w:eastAsia="zh-CN"/>
        </w:rPr>
        <w:t>8</w:t>
      </w:r>
      <w:r>
        <w:rPr>
          <w:rFonts w:hint="eastAsia" w:ascii="仿宋" w:hAnsi="仿宋" w:eastAsia="仿宋" w:cs="仿宋"/>
          <w:color w:val="auto"/>
          <w:sz w:val="28"/>
          <w:szCs w:val="28"/>
          <w:highlight w:val="none"/>
          <w:lang w:val="en" w:eastAsia="zh-CN"/>
        </w:rPr>
        <w:t>、</w:t>
      </w:r>
      <w:r>
        <w:rPr>
          <w:rFonts w:hint="eastAsia" w:ascii="仿宋" w:hAnsi="仿宋" w:eastAsia="仿宋" w:cs="仿宋"/>
          <w:color w:val="auto"/>
          <w:sz w:val="28"/>
          <w:szCs w:val="28"/>
          <w:highlight w:val="none"/>
          <w:lang w:val="en-US" w:eastAsia="zh-CN"/>
        </w:rPr>
        <w:t>乙方选派的安保员必须经过正规的安保培训，无违法犯罪前科，男性年龄小于60周岁,女性年龄小于50周岁，并向甲方提供安保人员的个人资料。</w:t>
      </w:r>
    </w:p>
    <w:p>
      <w:pPr>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乙方为安保员配备制服及基本的安保装备，并负责安保员的工资、社保、福利等费用，每年组织安保人员进行体检，确保安保人员健康上岗。因乙方安保员与乙方发生的欠薪、工伤、非因工死亡等劳动争议及其他法律纠纷，由乙方负责处理，与甲方无关。</w:t>
      </w:r>
    </w:p>
    <w:p>
      <w:pPr>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10、乙方按安保企业管理制度规定对安保员进行在岗培训、监督和管理，确保安保服务工作符合法律规定。</w:t>
      </w:r>
    </w:p>
    <w:p>
      <w:pPr>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11、因安保员工作失职造成甲方损失，乙方补充赔偿乙方员工失职造成甲方的损失，</w:t>
      </w:r>
      <w:r>
        <w:rPr>
          <w:rFonts w:hint="eastAsia" w:ascii="仿宋" w:hAnsi="仿宋" w:eastAsia="仿宋" w:cs="仿宋"/>
          <w:color w:val="auto"/>
          <w:sz w:val="28"/>
          <w:szCs w:val="28"/>
          <w:highlight w:val="none"/>
        </w:rPr>
        <w:t>如导致的由乙方承担赔偿损失（承担损失额度不超过当月服务费用的30%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w:t>
      </w:r>
    </w:p>
    <w:p>
      <w:pPr>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12、安保员因工伤亡，由乙方负责向有关单位和部门办理理赔事宜及处理相关赔偿善后工作，甲方应予协助。</w:t>
      </w:r>
    </w:p>
    <w:p>
      <w:pPr>
        <w:spacing w:line="4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13、护卫区域内发生重大特发事件时，要得到甲方请求后，乙方必须尽量迅速组织人力提供援助，尽量维护甲方人身、财产安全。</w:t>
      </w:r>
    </w:p>
    <w:p>
      <w:pPr>
        <w:numPr>
          <w:ilvl w:val="0"/>
          <w:numId w:val="5"/>
        </w:numPr>
        <w:spacing w:line="400" w:lineRule="exact"/>
        <w:ind w:hanging="198"/>
        <w:rPr>
          <w:rFonts w:hint="eastAsia" w:ascii="黑体" w:hAnsi="黑体" w:eastAsia="黑体"/>
          <w:bCs/>
          <w:color w:val="auto"/>
          <w:sz w:val="28"/>
          <w:szCs w:val="28"/>
          <w:highlight w:val="none"/>
        </w:rPr>
      </w:pPr>
      <w:r>
        <w:rPr>
          <w:rFonts w:hint="eastAsia" w:ascii="黑体" w:hAnsi="黑体" w:eastAsia="黑体"/>
          <w:bCs/>
          <w:color w:val="auto"/>
          <w:sz w:val="28"/>
          <w:szCs w:val="28"/>
          <w:highlight w:val="none"/>
        </w:rPr>
        <w:t>服务期限</w:t>
      </w:r>
    </w:p>
    <w:p>
      <w:pPr>
        <w:spacing w:line="4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2025</w:t>
      </w:r>
      <w:r>
        <w:rPr>
          <w:rFonts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1</w:t>
      </w:r>
      <w:r>
        <w:rPr>
          <w:rFonts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w:t>
      </w:r>
      <w:r>
        <w:rPr>
          <w:rFonts w:ascii="仿宋" w:hAnsi="仿宋" w:eastAsia="仿宋"/>
          <w:color w:val="auto"/>
          <w:sz w:val="28"/>
          <w:szCs w:val="28"/>
          <w:highlight w:val="none"/>
        </w:rPr>
        <w:t>日起至</w:t>
      </w:r>
      <w:r>
        <w:rPr>
          <w:rFonts w:hint="eastAsia" w:ascii="仿宋" w:hAnsi="仿宋" w:eastAsia="仿宋"/>
          <w:color w:val="auto"/>
          <w:sz w:val="28"/>
          <w:szCs w:val="28"/>
          <w:highlight w:val="none"/>
          <w:lang w:val="en-US" w:eastAsia="zh-CN"/>
        </w:rPr>
        <w:t>2025</w:t>
      </w:r>
      <w:r>
        <w:rPr>
          <w:rFonts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12</w:t>
      </w:r>
      <w:r>
        <w:rPr>
          <w:rFonts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31</w:t>
      </w:r>
      <w:r>
        <w:rPr>
          <w:rFonts w:ascii="仿宋" w:hAnsi="仿宋" w:eastAsia="仿宋"/>
          <w:color w:val="auto"/>
          <w:sz w:val="28"/>
          <w:szCs w:val="28"/>
          <w:highlight w:val="none"/>
        </w:rPr>
        <w:t>日止。</w:t>
      </w:r>
      <w:r>
        <w:rPr>
          <w:rFonts w:hint="eastAsia" w:ascii="仿宋" w:hAnsi="仿宋" w:eastAsia="仿宋"/>
          <w:color w:val="auto"/>
          <w:sz w:val="28"/>
          <w:szCs w:val="28"/>
          <w:highlight w:val="none"/>
        </w:rPr>
        <w:t>本次项目合同期满后，</w:t>
      </w:r>
      <w:r>
        <w:rPr>
          <w:rFonts w:hint="eastAsia" w:ascii="仿宋" w:hAnsi="仿宋" w:eastAsia="仿宋"/>
          <w:color w:val="auto"/>
          <w:sz w:val="28"/>
          <w:szCs w:val="28"/>
          <w:highlight w:val="none"/>
          <w:lang w:eastAsia="zh-CN"/>
        </w:rPr>
        <w:t>甲方</w:t>
      </w:r>
      <w:r>
        <w:rPr>
          <w:rFonts w:hint="eastAsia" w:ascii="仿宋" w:hAnsi="仿宋" w:eastAsia="仿宋"/>
          <w:color w:val="auto"/>
          <w:sz w:val="28"/>
          <w:szCs w:val="28"/>
          <w:highlight w:val="none"/>
        </w:rPr>
        <w:t>可依据对</w:t>
      </w:r>
      <w:r>
        <w:rPr>
          <w:rFonts w:hint="eastAsia" w:ascii="仿宋" w:hAnsi="仿宋" w:eastAsia="仿宋"/>
          <w:color w:val="auto"/>
          <w:sz w:val="28"/>
          <w:szCs w:val="28"/>
          <w:highlight w:val="none"/>
          <w:lang w:eastAsia="zh-CN"/>
        </w:rPr>
        <w:t>乙方</w:t>
      </w:r>
      <w:r>
        <w:rPr>
          <w:rFonts w:hint="eastAsia" w:ascii="仿宋" w:hAnsi="仿宋" w:eastAsia="仿宋"/>
          <w:color w:val="auto"/>
          <w:sz w:val="28"/>
          <w:szCs w:val="28"/>
          <w:highlight w:val="none"/>
        </w:rPr>
        <w:t>的考核情况以及《深圳经济特区政府采购条例》第三十八条的规定续签合同，服务期不得超过 36 个月，协议期内所有合同实质性条款不得改变。</w:t>
      </w:r>
    </w:p>
    <w:p>
      <w:pPr>
        <w:spacing w:line="4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合同期内如因财政预算等因素导致本项目无法继续履行的，乙方对此理解并由</w:t>
      </w:r>
      <w:r>
        <w:rPr>
          <w:rFonts w:hint="eastAsia" w:ascii="仿宋" w:hAnsi="仿宋" w:eastAsia="仿宋"/>
          <w:color w:val="auto"/>
          <w:sz w:val="28"/>
          <w:szCs w:val="28"/>
          <w:highlight w:val="none"/>
          <w:lang w:eastAsia="zh-CN"/>
        </w:rPr>
        <w:t>同意终止或解除合同，且不得追究甲方的责任</w:t>
      </w:r>
      <w:r>
        <w:rPr>
          <w:rFonts w:hint="eastAsia" w:ascii="仿宋" w:hAnsi="仿宋" w:eastAsia="仿宋"/>
          <w:color w:val="auto"/>
          <w:sz w:val="28"/>
          <w:szCs w:val="28"/>
          <w:highlight w:val="none"/>
        </w:rPr>
        <w:t>。</w:t>
      </w:r>
    </w:p>
    <w:p>
      <w:pPr>
        <w:numPr>
          <w:ilvl w:val="0"/>
          <w:numId w:val="5"/>
        </w:numPr>
        <w:spacing w:line="400" w:lineRule="exact"/>
        <w:ind w:hanging="198"/>
        <w:rPr>
          <w:rFonts w:ascii="黑体" w:hAnsi="黑体" w:eastAsia="黑体"/>
          <w:bCs/>
          <w:color w:val="auto"/>
          <w:sz w:val="28"/>
          <w:szCs w:val="28"/>
          <w:highlight w:val="none"/>
        </w:rPr>
      </w:pPr>
      <w:r>
        <w:rPr>
          <w:rFonts w:ascii="黑体" w:hAnsi="黑体" w:eastAsia="黑体"/>
          <w:bCs/>
          <w:color w:val="auto"/>
          <w:sz w:val="28"/>
          <w:szCs w:val="28"/>
          <w:highlight w:val="none"/>
        </w:rPr>
        <w:t>服务</w:t>
      </w:r>
      <w:r>
        <w:rPr>
          <w:rFonts w:hint="eastAsia" w:ascii="黑体" w:hAnsi="黑体" w:eastAsia="黑体"/>
          <w:bCs/>
          <w:color w:val="auto"/>
          <w:sz w:val="28"/>
          <w:szCs w:val="28"/>
          <w:highlight w:val="none"/>
        </w:rPr>
        <w:t>费用及支付</w:t>
      </w:r>
    </w:p>
    <w:p>
      <w:pPr>
        <w:pStyle w:val="11"/>
        <w:adjustRightInd w:val="0"/>
        <w:snapToGrid w:val="0"/>
        <w:spacing w:line="4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eastAsia="zh-CN"/>
        </w:rPr>
        <w:t>合同</w:t>
      </w:r>
      <w:r>
        <w:rPr>
          <w:rFonts w:hint="eastAsia" w:ascii="仿宋" w:hAnsi="仿宋" w:eastAsia="仿宋" w:cs="仿宋"/>
          <w:color w:val="auto"/>
          <w:sz w:val="28"/>
          <w:szCs w:val="28"/>
          <w:highlight w:val="none"/>
        </w:rPr>
        <w:t>金额为（大写）：人民币</w:t>
      </w:r>
      <w:r>
        <w:rPr>
          <w:rFonts w:hint="eastAsia" w:ascii="仿宋" w:hAnsi="仿宋" w:eastAsia="仿宋" w:cs="仿宋"/>
          <w:color w:val="auto"/>
          <w:sz w:val="28"/>
          <w:szCs w:val="28"/>
          <w:highlight w:val="none"/>
          <w:lang w:eastAsia="zh-CN"/>
        </w:rPr>
        <w:t>元整</w:t>
      </w:r>
      <w:r>
        <w:rPr>
          <w:rFonts w:hint="eastAsia" w:ascii="仿宋" w:hAnsi="仿宋" w:eastAsia="仿宋" w:cs="仿宋"/>
          <w:color w:val="auto"/>
          <w:sz w:val="28"/>
          <w:szCs w:val="28"/>
          <w:highlight w:val="none"/>
        </w:rPr>
        <w:t>（</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元</w:t>
      </w:r>
      <w:r>
        <w:rPr>
          <w:rFonts w:hint="eastAsia" w:ascii="仿宋" w:hAnsi="仿宋" w:eastAsia="仿宋" w:cs="仿宋"/>
          <w:color w:val="auto"/>
          <w:sz w:val="28"/>
          <w:szCs w:val="28"/>
          <w:highlight w:val="none"/>
        </w:rPr>
        <w:t>）。</w:t>
      </w:r>
    </w:p>
    <w:p>
      <w:pPr>
        <w:spacing w:line="4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w:t>
      </w:r>
      <w:r>
        <w:rPr>
          <w:rFonts w:hint="eastAsia" w:ascii="仿宋" w:hAnsi="仿宋" w:eastAsia="仿宋" w:cs="Times New Roman"/>
          <w:color w:val="auto"/>
          <w:sz w:val="28"/>
          <w:szCs w:val="28"/>
          <w:highlight w:val="none"/>
        </w:rPr>
        <w:t>项下合同金额为包干费用，包括但不限于以下内容：（1）</w:t>
      </w:r>
      <w:r>
        <w:rPr>
          <w:rFonts w:hint="eastAsia" w:ascii="仿宋" w:hAnsi="仿宋" w:eastAsia="仿宋" w:cs="Times New Roman"/>
          <w:color w:val="auto"/>
          <w:sz w:val="28"/>
          <w:szCs w:val="28"/>
          <w:highlight w:val="none"/>
          <w:lang w:eastAsia="zh-CN"/>
        </w:rPr>
        <w:t>安保</w:t>
      </w:r>
      <w:r>
        <w:rPr>
          <w:rFonts w:hint="eastAsia" w:ascii="仿宋" w:hAnsi="仿宋" w:eastAsia="仿宋" w:cs="Times New Roman"/>
          <w:color w:val="auto"/>
          <w:sz w:val="28"/>
          <w:szCs w:val="28"/>
          <w:highlight w:val="none"/>
        </w:rPr>
        <w:t>人员工资、</w:t>
      </w:r>
      <w:r>
        <w:rPr>
          <w:rFonts w:hint="eastAsia" w:ascii="仿宋" w:hAnsi="仿宋" w:eastAsia="仿宋" w:cs="Times New Roman"/>
          <w:color w:val="auto"/>
          <w:sz w:val="28"/>
          <w:szCs w:val="28"/>
          <w:highlight w:val="none"/>
          <w:lang w:eastAsia="zh-CN"/>
        </w:rPr>
        <w:t>法定节假日值守费、</w:t>
      </w:r>
      <w:r>
        <w:rPr>
          <w:rFonts w:hint="eastAsia" w:ascii="仿宋" w:hAnsi="仿宋" w:eastAsia="仿宋" w:cs="Times New Roman"/>
          <w:color w:val="auto"/>
          <w:sz w:val="28"/>
          <w:szCs w:val="28"/>
          <w:highlight w:val="none"/>
        </w:rPr>
        <w:t>福利（含过节费、高温补贴</w:t>
      </w:r>
      <w:r>
        <w:rPr>
          <w:rFonts w:hint="eastAsia" w:ascii="仿宋" w:hAnsi="仿宋" w:eastAsia="仿宋" w:cs="Times New Roman"/>
          <w:color w:val="auto"/>
          <w:sz w:val="28"/>
          <w:szCs w:val="28"/>
          <w:highlight w:val="none"/>
          <w:lang w:eastAsia="zh-CN"/>
        </w:rPr>
        <w:t>、体检费</w:t>
      </w:r>
      <w:r>
        <w:rPr>
          <w:rFonts w:hint="eastAsia" w:ascii="仿宋" w:hAnsi="仿宋" w:eastAsia="仿宋" w:cs="Times New Roman"/>
          <w:color w:val="auto"/>
          <w:sz w:val="28"/>
          <w:szCs w:val="28"/>
          <w:highlight w:val="none"/>
        </w:rPr>
        <w:t>等）、社保养老金、医疗工伤、住房公积金及意外险等。（2）税务及管理等费用。乙方不得基于本合同另</w:t>
      </w:r>
      <w:r>
        <w:rPr>
          <w:rFonts w:hint="eastAsia" w:ascii="仿宋" w:hAnsi="仿宋" w:eastAsia="仿宋" w:cs="仿宋"/>
          <w:color w:val="auto"/>
          <w:sz w:val="28"/>
          <w:szCs w:val="28"/>
          <w:highlight w:val="none"/>
        </w:rPr>
        <w:t>行向甲方主张其他相关费用。</w:t>
      </w:r>
    </w:p>
    <w:p>
      <w:pPr>
        <w:pStyle w:val="11"/>
        <w:adjustRightInd w:val="0"/>
        <w:snapToGrid w:val="0"/>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甲方付款前，乙方应开具等额有效的发票作为甲方的付款依据，乙方迟延提供发票，甲方付款时间顺延。</w:t>
      </w:r>
    </w:p>
    <w:p>
      <w:pPr>
        <w:pStyle w:val="11"/>
        <w:adjustRightInd w:val="0"/>
        <w:snapToGrid w:val="0"/>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付款方式：</w:t>
      </w:r>
      <w:r>
        <w:rPr>
          <w:rFonts w:hint="eastAsia" w:ascii="仿宋" w:hAnsi="仿宋" w:eastAsia="仿宋" w:cs="仿宋"/>
          <w:color w:val="auto"/>
          <w:sz w:val="28"/>
          <w:szCs w:val="28"/>
          <w:highlight w:val="none"/>
          <w:lang w:eastAsia="zh-CN"/>
        </w:rPr>
        <w:t>按月付款。安保</w:t>
      </w:r>
      <w:r>
        <w:rPr>
          <w:rFonts w:hint="eastAsia" w:ascii="仿宋" w:hAnsi="仿宋" w:eastAsia="仿宋" w:cs="仿宋"/>
          <w:color w:val="auto"/>
          <w:sz w:val="28"/>
          <w:szCs w:val="28"/>
          <w:highlight w:val="none"/>
        </w:rPr>
        <w:t>服务费按每人每月人民币元整支付，因此甲方每月应支付乙方</w:t>
      </w:r>
      <w:r>
        <w:rPr>
          <w:rFonts w:hint="eastAsia" w:ascii="仿宋" w:hAnsi="仿宋" w:eastAsia="仿宋" w:cs="仿宋"/>
          <w:color w:val="auto"/>
          <w:sz w:val="28"/>
          <w:szCs w:val="28"/>
          <w:highlight w:val="none"/>
          <w:lang w:eastAsia="zh-CN"/>
        </w:rPr>
        <w:t>安保</w:t>
      </w:r>
      <w:r>
        <w:rPr>
          <w:rFonts w:hint="eastAsia" w:ascii="仿宋" w:hAnsi="仿宋" w:eastAsia="仿宋" w:cs="仿宋"/>
          <w:color w:val="auto"/>
          <w:sz w:val="28"/>
          <w:szCs w:val="28"/>
          <w:highlight w:val="none"/>
        </w:rPr>
        <w:t>总服务费为人民币</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元整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暂定为</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元整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甲方每月最终实际支付乙方的</w:t>
      </w:r>
      <w:r>
        <w:rPr>
          <w:rFonts w:hint="eastAsia" w:ascii="仿宋" w:hAnsi="仿宋" w:eastAsia="仿宋" w:cs="仿宋"/>
          <w:color w:val="auto"/>
          <w:sz w:val="28"/>
          <w:szCs w:val="28"/>
          <w:highlight w:val="none"/>
          <w:lang w:eastAsia="zh-CN"/>
        </w:rPr>
        <w:t>安保</w:t>
      </w:r>
      <w:r>
        <w:rPr>
          <w:rFonts w:hint="eastAsia" w:ascii="仿宋" w:hAnsi="仿宋" w:eastAsia="仿宋" w:cs="仿宋"/>
          <w:color w:val="auto"/>
          <w:sz w:val="28"/>
          <w:szCs w:val="28"/>
          <w:highlight w:val="none"/>
        </w:rPr>
        <w:t>服务费用按乙方每月实际到岗的</w:t>
      </w:r>
      <w:r>
        <w:rPr>
          <w:rFonts w:hint="eastAsia" w:ascii="仿宋" w:hAnsi="仿宋" w:eastAsia="仿宋" w:cs="仿宋"/>
          <w:color w:val="auto"/>
          <w:sz w:val="28"/>
          <w:szCs w:val="28"/>
          <w:highlight w:val="none"/>
          <w:lang w:eastAsia="zh-CN"/>
        </w:rPr>
        <w:t>安保</w:t>
      </w:r>
      <w:r>
        <w:rPr>
          <w:rFonts w:hint="eastAsia" w:ascii="仿宋" w:hAnsi="仿宋" w:eastAsia="仿宋" w:cs="仿宋"/>
          <w:color w:val="auto"/>
          <w:sz w:val="28"/>
          <w:szCs w:val="28"/>
          <w:highlight w:val="none"/>
        </w:rPr>
        <w:t>人数为依据计算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当月费用</w:t>
      </w:r>
      <w:r>
        <w:rPr>
          <w:rFonts w:hint="eastAsia" w:ascii="仿宋" w:hAnsi="仿宋" w:eastAsia="仿宋" w:cs="仿宋"/>
          <w:color w:val="auto"/>
          <w:sz w:val="28"/>
          <w:szCs w:val="28"/>
          <w:highlight w:val="none"/>
        </w:rPr>
        <w:t>甲方在</w:t>
      </w:r>
      <w:r>
        <w:rPr>
          <w:rFonts w:hint="eastAsia" w:ascii="仿宋" w:hAnsi="仿宋" w:eastAsia="仿宋" w:cs="仿宋"/>
          <w:color w:val="auto"/>
          <w:sz w:val="28"/>
          <w:szCs w:val="28"/>
          <w:highlight w:val="none"/>
          <w:lang w:eastAsia="zh-CN"/>
        </w:rPr>
        <w:t>次月</w:t>
      </w:r>
      <w:r>
        <w:rPr>
          <w:rFonts w:hint="eastAsia" w:ascii="仿宋" w:hAnsi="仿宋" w:eastAsia="仿宋" w:cs="仿宋"/>
          <w:color w:val="auto"/>
          <w:sz w:val="28"/>
          <w:szCs w:val="28"/>
          <w:highlight w:val="none"/>
        </w:rPr>
        <w:t>乙方开具等额正式发票后的10个工作日内通过银行转帐将该月上述</w:t>
      </w:r>
      <w:r>
        <w:rPr>
          <w:rFonts w:hint="eastAsia" w:ascii="仿宋" w:hAnsi="仿宋" w:eastAsia="仿宋" w:cs="仿宋"/>
          <w:color w:val="auto"/>
          <w:sz w:val="28"/>
          <w:szCs w:val="28"/>
          <w:highlight w:val="none"/>
          <w:lang w:eastAsia="zh-CN"/>
        </w:rPr>
        <w:t>安保</w:t>
      </w:r>
      <w:r>
        <w:rPr>
          <w:rFonts w:hint="eastAsia" w:ascii="仿宋" w:hAnsi="仿宋" w:eastAsia="仿宋" w:cs="仿宋"/>
          <w:color w:val="auto"/>
          <w:sz w:val="28"/>
          <w:szCs w:val="28"/>
          <w:highlight w:val="none"/>
        </w:rPr>
        <w:t>服务费转入乙方指定帐户。</w:t>
      </w:r>
    </w:p>
    <w:p>
      <w:pPr>
        <w:pStyle w:val="11"/>
        <w:adjustRightInd w:val="0"/>
        <w:snapToGrid w:val="0"/>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乙方知晓本合同费用属于政府拨款，乙方清楚并自愿承担甲方需通过行政审批、财政划拨的财政审批程序拨付经费可能导致的付款迟延风险，不得以此为由拒绝履行合同义务及追究甲方责任，如甲方在财务核算或审计部门在审计监督中发现本合同存在超付款项的，甲方有权要求乙方予以返还，乙方不得以任何理由拒绝归还。</w:t>
      </w:r>
    </w:p>
    <w:p>
      <w:pPr>
        <w:pStyle w:val="11"/>
        <w:adjustRightInd w:val="0"/>
        <w:snapToGrid w:val="0"/>
        <w:spacing w:line="4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乙方指定的收款信息为：</w:t>
      </w:r>
    </w:p>
    <w:p>
      <w:pPr>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公司名称：                               </w:t>
      </w:r>
    </w:p>
    <w:p>
      <w:pPr>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账户开户行：                            </w:t>
      </w:r>
    </w:p>
    <w:p>
      <w:pPr>
        <w:spacing w:line="400" w:lineRule="exact"/>
        <w:ind w:firstLine="280" w:firstLineChars="1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账      号：                        </w:t>
      </w:r>
    </w:p>
    <w:p>
      <w:pPr>
        <w:adjustRightInd w:val="0"/>
        <w:snapToGrid w:val="0"/>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6、本合同执行中相关的一切税费均由乙方负担。</w:t>
      </w:r>
    </w:p>
    <w:p>
      <w:pPr>
        <w:numPr>
          <w:ilvl w:val="0"/>
          <w:numId w:val="5"/>
        </w:numPr>
        <w:spacing w:line="400" w:lineRule="exact"/>
        <w:ind w:hanging="198"/>
        <w:rPr>
          <w:rFonts w:ascii="黑体" w:hAnsi="黑体" w:eastAsia="黑体"/>
          <w:bCs/>
          <w:color w:val="auto"/>
          <w:sz w:val="28"/>
          <w:szCs w:val="28"/>
          <w:highlight w:val="none"/>
        </w:rPr>
      </w:pPr>
      <w:r>
        <w:rPr>
          <w:rFonts w:ascii="黑体" w:hAnsi="黑体" w:eastAsia="黑体"/>
          <w:bCs/>
          <w:color w:val="auto"/>
          <w:sz w:val="28"/>
          <w:szCs w:val="28"/>
          <w:highlight w:val="none"/>
        </w:rPr>
        <w:t>甲方</w:t>
      </w:r>
      <w:r>
        <w:rPr>
          <w:rFonts w:hint="eastAsia" w:ascii="黑体" w:hAnsi="黑体" w:eastAsia="黑体"/>
          <w:bCs/>
          <w:color w:val="auto"/>
          <w:sz w:val="28"/>
          <w:szCs w:val="28"/>
          <w:highlight w:val="none"/>
        </w:rPr>
        <w:t>的其他</w:t>
      </w:r>
      <w:r>
        <w:rPr>
          <w:rFonts w:ascii="黑体" w:hAnsi="黑体" w:eastAsia="黑体"/>
          <w:bCs/>
          <w:color w:val="auto"/>
          <w:sz w:val="28"/>
          <w:szCs w:val="28"/>
          <w:highlight w:val="none"/>
        </w:rPr>
        <w:t>权利</w:t>
      </w:r>
      <w:r>
        <w:rPr>
          <w:rFonts w:hint="eastAsia" w:ascii="黑体" w:hAnsi="黑体" w:eastAsia="黑体"/>
          <w:bCs/>
          <w:color w:val="auto"/>
          <w:sz w:val="28"/>
          <w:szCs w:val="28"/>
          <w:highlight w:val="none"/>
        </w:rPr>
        <w:t>和</w:t>
      </w:r>
      <w:r>
        <w:rPr>
          <w:rFonts w:ascii="黑体" w:hAnsi="黑体" w:eastAsia="黑体"/>
          <w:bCs/>
          <w:color w:val="auto"/>
          <w:sz w:val="28"/>
          <w:szCs w:val="28"/>
          <w:highlight w:val="none"/>
        </w:rPr>
        <w:t>义务</w:t>
      </w:r>
    </w:p>
    <w:p>
      <w:pPr>
        <w:widowControl/>
        <w:spacing w:line="4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甲方有权对乙方的行为进行监督，如甲方认为乙方有任何违反或可能违反本合同的行为，甲方有权提出书面</w:t>
      </w:r>
      <w:r>
        <w:rPr>
          <w:rFonts w:hint="eastAsia" w:ascii="仿宋" w:hAnsi="仿宋" w:eastAsia="仿宋" w:cs="仿宋"/>
          <w:color w:val="auto"/>
          <w:sz w:val="28"/>
          <w:szCs w:val="28"/>
          <w:highlight w:val="none"/>
          <w:lang w:eastAsia="zh-CN"/>
        </w:rPr>
        <w:t>或口头</w:t>
      </w:r>
      <w:r>
        <w:rPr>
          <w:rFonts w:hint="eastAsia" w:ascii="仿宋" w:hAnsi="仿宋" w:eastAsia="仿宋" w:cs="仿宋"/>
          <w:color w:val="auto"/>
          <w:sz w:val="28"/>
          <w:szCs w:val="28"/>
          <w:highlight w:val="none"/>
        </w:rPr>
        <w:t>意见要求乙方改正。乙方应在收到甲方的书面</w:t>
      </w:r>
      <w:r>
        <w:rPr>
          <w:rFonts w:hint="eastAsia" w:ascii="仿宋" w:hAnsi="仿宋" w:eastAsia="仿宋" w:cs="仿宋"/>
          <w:color w:val="auto"/>
          <w:sz w:val="28"/>
          <w:szCs w:val="28"/>
          <w:highlight w:val="none"/>
          <w:lang w:eastAsia="zh-CN"/>
        </w:rPr>
        <w:t>或口头</w:t>
      </w:r>
      <w:r>
        <w:rPr>
          <w:rFonts w:hint="eastAsia" w:ascii="仿宋" w:hAnsi="仿宋" w:eastAsia="仿宋" w:cs="仿宋"/>
          <w:color w:val="auto"/>
          <w:sz w:val="28"/>
          <w:szCs w:val="28"/>
          <w:highlight w:val="none"/>
        </w:rPr>
        <w:t>意见后3个工作日内以书面形式将其针对违反或可能违反本合同的行为采取的改进措施回复甲方。</w:t>
      </w:r>
    </w:p>
    <w:p>
      <w:pPr>
        <w:widowControl/>
        <w:spacing w:line="4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甲方应按时支付本合同所约定价款。</w:t>
      </w:r>
    </w:p>
    <w:p>
      <w:pPr>
        <w:numPr>
          <w:ilvl w:val="0"/>
          <w:numId w:val="5"/>
        </w:numPr>
        <w:spacing w:line="400" w:lineRule="exact"/>
        <w:ind w:hanging="198"/>
        <w:rPr>
          <w:rFonts w:ascii="黑体" w:hAnsi="黑体" w:eastAsia="黑体"/>
          <w:color w:val="auto"/>
          <w:sz w:val="28"/>
          <w:szCs w:val="28"/>
          <w:highlight w:val="none"/>
        </w:rPr>
      </w:pPr>
      <w:r>
        <w:rPr>
          <w:rFonts w:ascii="黑体" w:hAnsi="黑体" w:eastAsia="黑体"/>
          <w:bCs/>
          <w:color w:val="auto"/>
          <w:sz w:val="28"/>
          <w:szCs w:val="28"/>
          <w:highlight w:val="none"/>
        </w:rPr>
        <w:t>乙方</w:t>
      </w:r>
      <w:r>
        <w:rPr>
          <w:rFonts w:hint="eastAsia" w:ascii="黑体" w:hAnsi="黑体" w:eastAsia="黑体"/>
          <w:bCs/>
          <w:color w:val="auto"/>
          <w:sz w:val="28"/>
          <w:szCs w:val="28"/>
          <w:highlight w:val="none"/>
        </w:rPr>
        <w:t>的其他</w:t>
      </w:r>
      <w:r>
        <w:rPr>
          <w:rFonts w:ascii="黑体" w:hAnsi="黑体" w:eastAsia="黑体"/>
          <w:bCs/>
          <w:color w:val="auto"/>
          <w:sz w:val="28"/>
          <w:szCs w:val="28"/>
          <w:highlight w:val="none"/>
        </w:rPr>
        <w:t>权利</w:t>
      </w:r>
      <w:r>
        <w:rPr>
          <w:rFonts w:hint="eastAsia" w:ascii="黑体" w:hAnsi="黑体" w:eastAsia="黑体"/>
          <w:bCs/>
          <w:color w:val="auto"/>
          <w:sz w:val="28"/>
          <w:szCs w:val="28"/>
          <w:highlight w:val="none"/>
        </w:rPr>
        <w:t>和</w:t>
      </w:r>
      <w:r>
        <w:rPr>
          <w:rFonts w:ascii="黑体" w:hAnsi="黑体" w:eastAsia="黑体"/>
          <w:bCs/>
          <w:color w:val="auto"/>
          <w:sz w:val="28"/>
          <w:szCs w:val="28"/>
          <w:highlight w:val="none"/>
        </w:rPr>
        <w:t>义务</w:t>
      </w:r>
    </w:p>
    <w:p>
      <w:pPr>
        <w:spacing w:line="4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、安保</w:t>
      </w:r>
      <w:r>
        <w:rPr>
          <w:rFonts w:hint="eastAsia" w:ascii="仿宋" w:hAnsi="仿宋" w:eastAsia="仿宋" w:cs="仿宋"/>
          <w:color w:val="auto"/>
          <w:sz w:val="28"/>
          <w:szCs w:val="28"/>
          <w:highlight w:val="none"/>
        </w:rPr>
        <w:t>人员应维护甲方的利益，严格履行规定的岗位职责要求，并遵守甲方各项规章制度。</w:t>
      </w:r>
    </w:p>
    <w:p>
      <w:pPr>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应按照本合同的约定以及甲方的合理要求严格履行本合同中约定的各项职责，若因乙方原因导致履行职责达不到本合同约定的要求，甲方有权要求乙方在指定时间内改正，由此给甲方带来的相应损失由乙方按照本合同约定承担；若因不可归责于乙方的原因导致履行职责达不到本合同约定的要求，乙方不承担任何责任；若因甲乙双方共同的原因导致乙方履行职责达不到本合同约定的要求，则双方按照过错程度按照本合同约定分别承担相应责任和损失。</w:t>
      </w:r>
    </w:p>
    <w:p>
      <w:pPr>
        <w:pStyle w:val="9"/>
        <w:spacing w:line="400" w:lineRule="exact"/>
        <w:ind w:firstLine="560" w:firstLineChars="200"/>
        <w:rPr>
          <w:rFonts w:hint="eastAsia" w:eastAsia="仿宋"/>
          <w:color w:val="auto"/>
          <w:highlight w:val="none"/>
          <w:lang w:val="en-US" w:eastAsia="zh-CN"/>
        </w:rPr>
      </w:pPr>
      <w:r>
        <w:rPr>
          <w:rFonts w:hint="eastAsia" w:ascii="仿宋" w:hAnsi="仿宋" w:eastAsia="仿宋" w:cs="仿宋"/>
          <w:color w:val="auto"/>
          <w:sz w:val="28"/>
          <w:szCs w:val="28"/>
          <w:highlight w:val="none"/>
          <w:lang w:val="en-US" w:eastAsia="zh-CN"/>
        </w:rPr>
        <w:t>3、甲方基于政府决策、管理需要、公共利益或维护法定权益、财政预算调整需要可以不经乙方同意单方变更、终止或解除合同且不承担违约责任。此种情形下合同被变更、终止或解除的，乙方应及时配合甲方办理交接事宜，乙方项目费用按照实际发生且经甲方验收合格的工作量核算。</w:t>
      </w:r>
    </w:p>
    <w:p>
      <w:pPr>
        <w:numPr>
          <w:ilvl w:val="0"/>
          <w:numId w:val="5"/>
        </w:numPr>
        <w:spacing w:line="400" w:lineRule="exact"/>
        <w:ind w:hanging="198"/>
        <w:rPr>
          <w:rFonts w:hint="eastAsia" w:ascii="黑体" w:hAnsi="黑体" w:eastAsia="黑体"/>
          <w:bCs/>
          <w:color w:val="auto"/>
          <w:sz w:val="28"/>
          <w:szCs w:val="28"/>
          <w:highlight w:val="none"/>
        </w:rPr>
      </w:pPr>
      <w:r>
        <w:rPr>
          <w:rFonts w:hint="eastAsia" w:ascii="黑体" w:hAnsi="黑体" w:eastAsia="黑体"/>
          <w:bCs/>
          <w:color w:val="auto"/>
          <w:sz w:val="28"/>
          <w:szCs w:val="28"/>
          <w:highlight w:val="none"/>
        </w:rPr>
        <w:t>保密义务</w:t>
      </w:r>
    </w:p>
    <w:p>
      <w:pPr>
        <w:spacing w:line="400" w:lineRule="exact"/>
        <w:ind w:firstLine="560" w:firstLineChars="200"/>
        <w:jc w:val="left"/>
        <w:rPr>
          <w:rFonts w:hint="eastAsia" w:ascii="仿宋" w:hAnsi="仿宋" w:eastAsia="仿宋"/>
          <w:bCs/>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乙方及乙方安保员应对本合同的内容、因履行本合同或在执行本项目期间获得的或收到的甲方的商务、财务、技术、</w:t>
      </w:r>
      <w:r>
        <w:rPr>
          <w:rFonts w:hint="eastAsia" w:ascii="仿宋" w:hAnsi="仿宋" w:eastAsia="仿宋" w:cs="仿宋"/>
          <w:color w:val="auto"/>
          <w:sz w:val="28"/>
          <w:szCs w:val="28"/>
          <w:highlight w:val="none"/>
        </w:rPr>
        <w:t>未披露的政策</w:t>
      </w:r>
      <w:r>
        <w:rPr>
          <w:rFonts w:hint="eastAsia" w:ascii="仿宋" w:hAnsi="仿宋" w:eastAsia="仿宋" w:cs="仿宋"/>
          <w:color w:val="auto"/>
          <w:sz w:val="28"/>
          <w:szCs w:val="28"/>
          <w:highlight w:val="none"/>
          <w:lang w:val="en-US" w:eastAsia="zh-CN"/>
        </w:rPr>
        <w:t>或其他标明保密的文件或信息的内容（简称“保密资料”）保守秘密，未经甲方书面同意，不得向本合同以外的任何第三方披露。</w:t>
      </w:r>
      <w:r>
        <w:rPr>
          <w:rFonts w:hint="eastAsia" w:ascii="仿宋" w:hAnsi="仿宋" w:eastAsia="仿宋"/>
          <w:bCs/>
          <w:color w:val="auto"/>
          <w:sz w:val="28"/>
          <w:szCs w:val="28"/>
          <w:highlight w:val="none"/>
        </w:rPr>
        <w:t>乙方</w:t>
      </w:r>
      <w:r>
        <w:rPr>
          <w:rFonts w:hint="eastAsia" w:ascii="仿宋" w:hAnsi="仿宋" w:eastAsia="仿宋"/>
          <w:bCs/>
          <w:color w:val="auto"/>
          <w:sz w:val="28"/>
          <w:szCs w:val="28"/>
          <w:highlight w:val="none"/>
          <w:lang w:eastAsia="zh-CN"/>
        </w:rPr>
        <w:t>及乙方安保员</w:t>
      </w:r>
      <w:r>
        <w:rPr>
          <w:rFonts w:hint="eastAsia" w:ascii="仿宋" w:hAnsi="仿宋" w:eastAsia="仿宋"/>
          <w:bCs/>
          <w:color w:val="auto"/>
          <w:sz w:val="28"/>
          <w:szCs w:val="28"/>
          <w:highlight w:val="none"/>
        </w:rPr>
        <w:t>对在巡查过程中知悉的甲方</w:t>
      </w:r>
      <w:r>
        <w:rPr>
          <w:rFonts w:hint="eastAsia" w:ascii="仿宋" w:hAnsi="仿宋" w:eastAsia="仿宋"/>
          <w:bCs/>
          <w:color w:val="auto"/>
          <w:sz w:val="28"/>
          <w:szCs w:val="28"/>
          <w:highlight w:val="none"/>
          <w:lang w:eastAsia="zh-CN"/>
        </w:rPr>
        <w:t>及第三方信息</w:t>
      </w:r>
      <w:r>
        <w:rPr>
          <w:rFonts w:hint="eastAsia" w:ascii="仿宋" w:hAnsi="仿宋" w:eastAsia="仿宋"/>
          <w:bCs/>
          <w:color w:val="auto"/>
          <w:sz w:val="28"/>
          <w:szCs w:val="28"/>
          <w:highlight w:val="none"/>
        </w:rPr>
        <w:t>应负有保密义务。</w:t>
      </w:r>
    </w:p>
    <w:p>
      <w:pPr>
        <w:spacing w:line="400" w:lineRule="exact"/>
        <w:ind w:firstLine="560" w:firstLineChars="200"/>
        <w:jc w:val="left"/>
        <w:rPr>
          <w:rFonts w:ascii="仿宋" w:hAnsi="仿宋" w:eastAsia="仿宋"/>
          <w:bCs/>
          <w:color w:val="auto"/>
          <w:sz w:val="28"/>
          <w:szCs w:val="28"/>
          <w:highlight w:val="none"/>
        </w:rPr>
      </w:pPr>
      <w:r>
        <w:rPr>
          <w:rFonts w:hint="eastAsia" w:ascii="仿宋" w:hAnsi="仿宋" w:eastAsia="仿宋"/>
          <w:bCs/>
          <w:color w:val="auto"/>
          <w:sz w:val="28"/>
          <w:szCs w:val="28"/>
          <w:highlight w:val="none"/>
        </w:rPr>
        <w:t>2</w:t>
      </w:r>
      <w:r>
        <w:rPr>
          <w:rFonts w:hint="eastAsia" w:ascii="仿宋" w:hAnsi="仿宋" w:eastAsia="仿宋"/>
          <w:bCs/>
          <w:color w:val="auto"/>
          <w:sz w:val="28"/>
          <w:szCs w:val="28"/>
          <w:highlight w:val="none"/>
          <w:lang w:eastAsia="zh-CN"/>
        </w:rPr>
        <w:t>、</w:t>
      </w:r>
      <w:r>
        <w:rPr>
          <w:rFonts w:hint="eastAsia" w:ascii="仿宋" w:hAnsi="仿宋" w:eastAsia="仿宋"/>
          <w:bCs/>
          <w:color w:val="auto"/>
          <w:sz w:val="28"/>
          <w:szCs w:val="28"/>
          <w:highlight w:val="none"/>
        </w:rPr>
        <w:t>合同履行完毕或者终止不视为解除保密义务，双方仍应承担保密义务。</w:t>
      </w:r>
    </w:p>
    <w:p>
      <w:pPr>
        <w:numPr>
          <w:ilvl w:val="0"/>
          <w:numId w:val="5"/>
        </w:numPr>
        <w:spacing w:line="400" w:lineRule="exact"/>
        <w:ind w:hanging="198"/>
        <w:rPr>
          <w:rFonts w:hint="eastAsia" w:ascii="黑体" w:hAnsi="黑体" w:eastAsia="黑体"/>
          <w:bCs/>
          <w:color w:val="auto"/>
          <w:sz w:val="28"/>
          <w:szCs w:val="28"/>
          <w:highlight w:val="none"/>
        </w:rPr>
      </w:pPr>
      <w:r>
        <w:rPr>
          <w:rFonts w:hint="eastAsia" w:ascii="黑体" w:hAnsi="黑体" w:eastAsia="黑体"/>
          <w:bCs/>
          <w:color w:val="auto"/>
          <w:sz w:val="28"/>
          <w:szCs w:val="28"/>
          <w:highlight w:val="none"/>
        </w:rPr>
        <w:t>违约责任</w:t>
      </w:r>
    </w:p>
    <w:p>
      <w:pPr>
        <w:spacing w:line="4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1、任何一方未履行本合同规定义务均视为违约，守约方可依照本合同约定追究违约方的违约责任。</w:t>
      </w:r>
      <w:r>
        <w:rPr>
          <w:rFonts w:hint="eastAsia" w:ascii="仿宋" w:hAnsi="仿宋" w:eastAsia="仿宋" w:cs="仿宋"/>
          <w:color w:val="auto"/>
          <w:sz w:val="28"/>
          <w:szCs w:val="28"/>
          <w:highlight w:val="none"/>
          <w:lang w:eastAsia="zh-CN"/>
        </w:rPr>
        <w:t>若造成合同解除的，</w:t>
      </w:r>
      <w:r>
        <w:rPr>
          <w:rFonts w:hint="eastAsia" w:ascii="CESI仿宋-GB2312" w:hAnsi="CESI仿宋-GB2312" w:eastAsia="CESI仿宋-GB2312" w:cs="CESI仿宋-GB2312"/>
          <w:color w:val="auto"/>
          <w:sz w:val="28"/>
          <w:szCs w:val="28"/>
          <w:highlight w:val="none"/>
          <w:lang w:val="en-US" w:eastAsia="zh-CN"/>
        </w:rPr>
        <w:t>违约方须向守约方支付合同总价10%的违约金，违约金不足以弥补守约方损失的，违约方应赔偿守约方一切损失（包括但不限于律师费、诉讼费、诉讼担保费、保全费、执行费、公证费、鉴定费、差旅费等）。</w:t>
      </w:r>
    </w:p>
    <w:p>
      <w:pPr>
        <w:spacing w:line="4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2、乙方应确保相应服务能够成功通过甲方的验收，如验收不成功，乙方应采取相应的补救措施确保服务符合甲方要求，同时甲方保留从当月费用中扣除应付费用最高不超过当月费用10%的违约金的权利。</w:t>
      </w:r>
    </w:p>
    <w:p>
      <w:pPr>
        <w:spacing w:line="4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3、乙方不履行本合同约定及招标文件中规定义务或者履行义务不符合约定或规定的，乙方应在</w:t>
      </w:r>
      <w:bookmarkStart w:id="2" w:name="_GoBack"/>
      <w:bookmarkEnd w:id="2"/>
      <w:r>
        <w:rPr>
          <w:rFonts w:hint="eastAsia" w:ascii="仿宋" w:hAnsi="仿宋" w:eastAsia="仿宋" w:cs="仿宋"/>
          <w:color w:val="auto"/>
          <w:sz w:val="28"/>
          <w:szCs w:val="28"/>
          <w:highlight w:val="none"/>
        </w:rPr>
        <w:t>收到甲方整改通知后3日内完成整改。如造成甲方损失的，应承担相应的损失赔偿责任。除法律规定外，乙方无权单方终止或解除合同。</w:t>
      </w:r>
    </w:p>
    <w:p>
      <w:pPr>
        <w:spacing w:line="40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lang w:val="en-US" w:eastAsia="zh-CN"/>
        </w:rPr>
        <w:t>4</w:t>
      </w:r>
      <w:r>
        <w:rPr>
          <w:rFonts w:hint="eastAsia" w:ascii="宋体" w:hAnsi="宋体"/>
          <w:bCs/>
          <w:color w:val="auto"/>
          <w:sz w:val="28"/>
          <w:szCs w:val="28"/>
          <w:highlight w:val="none"/>
        </w:rPr>
        <w:t>、</w:t>
      </w:r>
      <w:r>
        <w:rPr>
          <w:rFonts w:hint="eastAsia" w:ascii="仿宋" w:hAnsi="仿宋" w:eastAsia="仿宋" w:cs="仿宋"/>
          <w:color w:val="auto"/>
          <w:sz w:val="28"/>
          <w:szCs w:val="28"/>
          <w:highlight w:val="none"/>
        </w:rPr>
        <w:t>因乙方</w:t>
      </w:r>
      <w:r>
        <w:rPr>
          <w:rFonts w:hint="eastAsia" w:ascii="仿宋" w:hAnsi="仿宋" w:eastAsia="仿宋" w:cs="仿宋"/>
          <w:color w:val="auto"/>
          <w:sz w:val="28"/>
          <w:szCs w:val="28"/>
          <w:highlight w:val="none"/>
          <w:lang w:eastAsia="zh-CN"/>
        </w:rPr>
        <w:t>安保</w:t>
      </w:r>
      <w:r>
        <w:rPr>
          <w:rFonts w:hint="eastAsia" w:ascii="仿宋" w:hAnsi="仿宋" w:eastAsia="仿宋" w:cs="仿宋"/>
          <w:color w:val="auto"/>
          <w:sz w:val="28"/>
          <w:szCs w:val="28"/>
          <w:highlight w:val="none"/>
        </w:rPr>
        <w:t>员工作玩忽职守、严重失职等过失行为造成甲方经济损失，经公安机关查证属实的，甲乙双方除追究当事</w:t>
      </w:r>
      <w:r>
        <w:rPr>
          <w:rFonts w:hint="eastAsia" w:ascii="仿宋" w:hAnsi="仿宋" w:eastAsia="仿宋" w:cs="仿宋"/>
          <w:color w:val="auto"/>
          <w:sz w:val="28"/>
          <w:szCs w:val="28"/>
          <w:highlight w:val="none"/>
          <w:lang w:eastAsia="zh-CN"/>
        </w:rPr>
        <w:t>安保</w:t>
      </w:r>
      <w:r>
        <w:rPr>
          <w:rFonts w:hint="eastAsia" w:ascii="仿宋" w:hAnsi="仿宋" w:eastAsia="仿宋" w:cs="仿宋"/>
          <w:color w:val="auto"/>
          <w:sz w:val="28"/>
          <w:szCs w:val="28"/>
          <w:highlight w:val="none"/>
        </w:rPr>
        <w:t>员责任外，乙方应向甲方承担相应的补充赔偿责任</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如因乙方原因导致的由乙方承担赔偿损失（承担损失额度不超过当月服务费用的30%</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w:t>
      </w:r>
    </w:p>
    <w:p>
      <w:pPr>
        <w:spacing w:line="4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ascii="仿宋" w:hAnsi="仿宋" w:eastAsia="仿宋" w:cs="仿宋"/>
          <w:color w:val="auto"/>
          <w:sz w:val="28"/>
          <w:szCs w:val="28"/>
          <w:highlight w:val="none"/>
        </w:rPr>
        <w:t>、因</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eastAsia="zh-CN"/>
        </w:rPr>
        <w:t>安保</w:t>
      </w:r>
      <w:r>
        <w:rPr>
          <w:rFonts w:hint="eastAsia" w:ascii="仿宋" w:hAnsi="仿宋" w:eastAsia="仿宋" w:cs="仿宋"/>
          <w:color w:val="auto"/>
          <w:sz w:val="28"/>
          <w:szCs w:val="28"/>
          <w:highlight w:val="none"/>
        </w:rPr>
        <w:t>员监守自盗等故意行为造成甲方经济损失，经公安部门查证属实的，除司法机关和甲方追究当事</w:t>
      </w:r>
      <w:r>
        <w:rPr>
          <w:rFonts w:hint="eastAsia" w:ascii="仿宋" w:hAnsi="仿宋" w:eastAsia="仿宋" w:cs="仿宋"/>
          <w:color w:val="auto"/>
          <w:sz w:val="28"/>
          <w:szCs w:val="28"/>
          <w:highlight w:val="none"/>
          <w:lang w:eastAsia="zh-CN"/>
        </w:rPr>
        <w:t>安保</w:t>
      </w:r>
      <w:r>
        <w:rPr>
          <w:rFonts w:hint="eastAsia" w:ascii="仿宋" w:hAnsi="仿宋" w:eastAsia="仿宋" w:cs="仿宋"/>
          <w:color w:val="auto"/>
          <w:sz w:val="28"/>
          <w:szCs w:val="28"/>
          <w:highlight w:val="none"/>
        </w:rPr>
        <w:t>员的刑事、经济责任外，乙方应承担相应的补充赔偿责任</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如因乙方原因导致的由乙方承担赔偿损失（承担损失额度不超过当月服务费用的30%</w:t>
      </w:r>
      <w:r>
        <w:rPr>
          <w:rFonts w:hint="eastAsia" w:ascii="仿宋" w:hAnsi="仿宋" w:eastAsia="仿宋" w:cs="仿宋"/>
          <w:color w:val="auto"/>
          <w:sz w:val="28"/>
          <w:szCs w:val="28"/>
          <w:highlight w:val="none"/>
          <w:lang w:eastAsia="zh-CN"/>
        </w:rPr>
        <w:t>）。</w:t>
      </w:r>
    </w:p>
    <w:p>
      <w:pPr>
        <w:spacing w:line="4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6、乙方人员在履行该合同过程中，造成他人或自身财产损失或人身损害的，由乙方负责赔偿，同时甲方有权解除合同，并要求乙方赔偿损失。</w:t>
      </w:r>
    </w:p>
    <w:p>
      <w:pPr>
        <w:spacing w:line="4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7、在本合同履行期间及终止后，乙方所知悉的甲方机密等各种形式的信息，应当严格遵守保密义务，不得以任何形式向任何第三方泄露，给甲方造成损失的，乙方应当承担相应的赔偿责任。</w:t>
      </w:r>
    </w:p>
    <w:p>
      <w:pPr>
        <w:numPr>
          <w:ilvl w:val="0"/>
          <w:numId w:val="5"/>
        </w:numPr>
        <w:spacing w:line="400" w:lineRule="exact"/>
        <w:ind w:hanging="198"/>
        <w:rPr>
          <w:rFonts w:hint="eastAsia" w:ascii="黑体" w:hAnsi="黑体" w:eastAsia="黑体"/>
          <w:bCs/>
          <w:color w:val="auto"/>
          <w:sz w:val="28"/>
          <w:szCs w:val="28"/>
          <w:highlight w:val="none"/>
        </w:rPr>
      </w:pPr>
      <w:r>
        <w:rPr>
          <w:rFonts w:hint="eastAsia" w:ascii="黑体" w:hAnsi="黑体" w:eastAsia="黑体"/>
          <w:bCs/>
          <w:color w:val="auto"/>
          <w:sz w:val="28"/>
          <w:szCs w:val="28"/>
          <w:highlight w:val="none"/>
          <w:lang w:eastAsia="zh-CN"/>
        </w:rPr>
        <w:t>合同变更、终止或解除</w:t>
      </w:r>
    </w:p>
    <w:p>
      <w:pPr>
        <w:spacing w:line="4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TW"/>
        </w:rPr>
        <w:t>1、在合同履行过程中，若需变更合同条款，须经双方协商同意，并签订补充协议，补充协议与本合同具有同等的法律效力。</w:t>
      </w:r>
    </w:p>
    <w:p>
      <w:pPr>
        <w:spacing w:line="400" w:lineRule="exact"/>
        <w:ind w:firstLine="560" w:firstLineChars="200"/>
        <w:rPr>
          <w:rFonts w:hint="eastAsia"/>
          <w:color w:val="auto"/>
          <w:highlight w:val="none"/>
          <w:lang w:val="en-US" w:eastAsia="zh-CN"/>
        </w:rPr>
      </w:pPr>
      <w:r>
        <w:rPr>
          <w:rFonts w:hint="eastAsia" w:ascii="仿宋" w:hAnsi="仿宋" w:eastAsia="仿宋" w:cs="仿宋"/>
          <w:color w:val="auto"/>
          <w:sz w:val="28"/>
          <w:szCs w:val="28"/>
          <w:highlight w:val="none"/>
          <w:lang w:val="en-US" w:eastAsia="zh-CN"/>
        </w:rPr>
        <w:t>2、乙方在履职期内，有下列情形之一的，甲方有权解除合同，并要求乙方赔偿损失：（1）因乙方履约能力大幅度降低或丧失，致使甲方认为乙方已无能力继续正常履行本合同的；（2）在履行合同过程中，甲方发现乙方不具备或已丧失履行合同的相关资质或存在其他不符合承接本合同标的之主体应具备的条件的；（3）无正当理由，两次以上不参加安保服务工作会议或者不按时提供意见的；（4）指派的安保员无法胜任工作，又未能在接到</w:t>
      </w:r>
      <w:r>
        <w:rPr>
          <w:rFonts w:hint="default" w:ascii="仿宋" w:hAnsi="仿宋" w:eastAsia="仿宋" w:cs="仿宋"/>
          <w:color w:val="auto"/>
          <w:sz w:val="28"/>
          <w:szCs w:val="28"/>
          <w:highlight w:val="none"/>
          <w:lang w:val="en" w:eastAsia="zh-CN"/>
        </w:rPr>
        <w:t>街道纪工委</w:t>
      </w:r>
      <w:r>
        <w:rPr>
          <w:rFonts w:hint="eastAsia" w:ascii="仿宋" w:hAnsi="仿宋" w:eastAsia="仿宋" w:cs="仿宋"/>
          <w:color w:val="auto"/>
          <w:sz w:val="28"/>
          <w:szCs w:val="28"/>
          <w:highlight w:val="none"/>
          <w:lang w:val="en-US" w:eastAsia="zh-CN"/>
        </w:rPr>
        <w:t>要求更换人员的通知之日起5个工作日内更换合适人员的；（5）指派的安保员工作严重失误、失职的；（6）乙方在履行本合同服务时违反法律法规或因弄虚造假及其他不正当行为造成性质恶劣的社会影响的。</w:t>
      </w:r>
    </w:p>
    <w:p>
      <w:pPr>
        <w:numPr>
          <w:ilvl w:val="0"/>
          <w:numId w:val="5"/>
        </w:numPr>
        <w:spacing w:line="400" w:lineRule="exact"/>
        <w:ind w:hanging="198"/>
        <w:rPr>
          <w:rFonts w:hint="eastAsia" w:ascii="黑体" w:hAnsi="黑体" w:eastAsia="黑体"/>
          <w:bCs/>
          <w:color w:val="auto"/>
          <w:sz w:val="28"/>
          <w:szCs w:val="28"/>
          <w:highlight w:val="none"/>
        </w:rPr>
      </w:pPr>
      <w:r>
        <w:rPr>
          <w:rFonts w:hint="eastAsia" w:ascii="仿宋" w:hAnsi="仿宋" w:eastAsia="仿宋"/>
          <w:b/>
          <w:color w:val="auto"/>
          <w:sz w:val="28"/>
          <w:szCs w:val="28"/>
          <w:highlight w:val="none"/>
        </w:rPr>
        <w:t>争</w:t>
      </w:r>
      <w:r>
        <w:rPr>
          <w:rFonts w:hint="eastAsia" w:ascii="黑体" w:hAnsi="黑体" w:eastAsia="黑体"/>
          <w:bCs/>
          <w:color w:val="auto"/>
          <w:sz w:val="28"/>
          <w:szCs w:val="28"/>
          <w:highlight w:val="none"/>
        </w:rPr>
        <w:t>议解决</w:t>
      </w:r>
    </w:p>
    <w:p>
      <w:pPr>
        <w:spacing w:line="400" w:lineRule="exact"/>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双方因履行本合同发生争议的，可协商解决，无法协商解决的：应向甲方住所地有管辖权的人民法院提起诉讼。</w:t>
      </w:r>
    </w:p>
    <w:p>
      <w:pPr>
        <w:numPr>
          <w:ilvl w:val="0"/>
          <w:numId w:val="6"/>
        </w:numPr>
        <w:adjustRightInd w:val="0"/>
        <w:snapToGrid w:val="0"/>
        <w:spacing w:line="400" w:lineRule="exact"/>
        <w:ind w:firstLine="642"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附则</w:t>
      </w:r>
    </w:p>
    <w:p>
      <w:pPr>
        <w:spacing w:line="4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1、本合同一式陆份，甲方执肆份，乙方执两份，具有同等法律效力，本合同自双方法定代表人签字盖章之日起生效。</w:t>
      </w:r>
    </w:p>
    <w:p>
      <w:pPr>
        <w:adjustRightInd w:val="0"/>
        <w:snapToGrid w:val="0"/>
        <w:spacing w:line="3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2、本合同未尽事宜，双方应友好协商，并订立补充协议约定，补充协议经甲乙双方签字盖章之日起生效，可作为本合同的有效附件，与本合同具有同等法律效力。</w:t>
      </w:r>
    </w:p>
    <w:p>
      <w:pPr>
        <w:adjustRightInd w:val="0"/>
        <w:snapToGrid w:val="0"/>
        <w:spacing w:line="320" w:lineRule="exact"/>
        <w:rPr>
          <w:rFonts w:ascii="仿宋" w:hAnsi="仿宋" w:eastAsia="仿宋" w:cs="仿宋"/>
          <w:color w:val="auto"/>
          <w:sz w:val="28"/>
          <w:szCs w:val="28"/>
          <w:highlight w:val="none"/>
        </w:rPr>
      </w:pPr>
    </w:p>
    <w:p>
      <w:pPr>
        <w:adjustRightInd w:val="0"/>
        <w:snapToGrid w:val="0"/>
        <w:spacing w:line="32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甲方（公章）：                 乙方（公章）：</w:t>
      </w:r>
    </w:p>
    <w:p>
      <w:pPr>
        <w:adjustRightInd w:val="0"/>
        <w:snapToGrid w:val="0"/>
        <w:spacing w:line="320" w:lineRule="exact"/>
        <w:ind w:firstLine="200"/>
        <w:rPr>
          <w:rFonts w:hint="eastAsia" w:ascii="仿宋" w:hAnsi="仿宋" w:eastAsia="仿宋" w:cs="仿宋"/>
          <w:color w:val="auto"/>
          <w:sz w:val="28"/>
          <w:szCs w:val="28"/>
          <w:highlight w:val="none"/>
        </w:rPr>
      </w:pPr>
    </w:p>
    <w:p>
      <w:pPr>
        <w:adjustRightInd w:val="0"/>
        <w:snapToGrid w:val="0"/>
        <w:spacing w:line="320" w:lineRule="exact"/>
        <w:ind w:firstLine="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代表人：                      代表人：</w:t>
      </w:r>
    </w:p>
    <w:p>
      <w:pPr>
        <w:adjustRightInd w:val="0"/>
        <w:snapToGrid w:val="0"/>
        <w:spacing w:line="320" w:lineRule="exact"/>
        <w:ind w:firstLine="200"/>
        <w:rPr>
          <w:rFonts w:hint="eastAsia" w:ascii="仿宋" w:hAnsi="仿宋" w:eastAsia="仿宋" w:cs="仿宋"/>
          <w:color w:val="auto"/>
          <w:sz w:val="28"/>
          <w:szCs w:val="28"/>
          <w:highlight w:val="none"/>
          <w:lang w:eastAsia="zh-CN"/>
        </w:rPr>
      </w:pPr>
    </w:p>
    <w:p>
      <w:pPr>
        <w:adjustRightInd w:val="0"/>
        <w:snapToGrid w:val="0"/>
        <w:spacing w:line="320" w:lineRule="exact"/>
        <w:ind w:firstLine="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部门负责人：</w:t>
      </w:r>
      <w:r>
        <w:rPr>
          <w:rFonts w:hint="eastAsia" w:ascii="仿宋" w:hAnsi="仿宋" w:eastAsia="仿宋" w:cs="仿宋"/>
          <w:color w:val="auto"/>
          <w:sz w:val="28"/>
          <w:szCs w:val="28"/>
          <w:highlight w:val="none"/>
          <w:lang w:val="en-US" w:eastAsia="zh-CN"/>
        </w:rPr>
        <w:t xml:space="preserve">                  经办人：</w:t>
      </w:r>
    </w:p>
    <w:p>
      <w:pPr>
        <w:spacing w:line="320" w:lineRule="exact"/>
        <w:jc w:val="both"/>
        <w:rPr>
          <w:rFonts w:hint="eastAsia" w:ascii="仿宋" w:hAnsi="仿宋" w:eastAsia="仿宋" w:cs="仿宋"/>
          <w:color w:val="auto"/>
          <w:sz w:val="28"/>
          <w:szCs w:val="28"/>
          <w:highlight w:val="none"/>
          <w:lang w:eastAsia="zh-CN"/>
        </w:rPr>
      </w:pPr>
    </w:p>
    <w:p>
      <w:pPr>
        <w:spacing w:line="360" w:lineRule="exact"/>
        <w:jc w:val="center"/>
        <w:rPr>
          <w:rFonts w:hint="eastAsia"/>
          <w:color w:val="auto"/>
          <w:highlight w:val="none"/>
          <w:lang w:val="en-US" w:eastAsia="zh-CN"/>
        </w:rPr>
      </w:pPr>
      <w:r>
        <w:rPr>
          <w:rFonts w:hint="eastAsia" w:ascii="仿宋" w:hAnsi="仿宋" w:eastAsia="仿宋" w:cs="仿宋"/>
          <w:color w:val="auto"/>
          <w:sz w:val="28"/>
          <w:szCs w:val="28"/>
          <w:highlight w:val="none"/>
          <w:lang w:eastAsia="zh-CN"/>
        </w:rPr>
        <w:t>签订日期：</w:t>
      </w:r>
      <w:r>
        <w:rPr>
          <w:rFonts w:hint="eastAsia" w:ascii="仿宋" w:hAnsi="仿宋" w:eastAsia="仿宋" w:cs="仿宋"/>
          <w:color w:val="auto"/>
          <w:sz w:val="28"/>
          <w:szCs w:val="28"/>
          <w:highlight w:val="none"/>
          <w:lang w:val="en-US" w:eastAsia="zh-CN"/>
        </w:rPr>
        <w:t xml:space="preserve">    年   月   日</w:t>
      </w:r>
    </w:p>
    <w:sectPr>
      <w:footerReference r:id="rId4" w:type="default"/>
      <w:pgSz w:w="11906" w:h="16838"/>
      <w:pgMar w:top="1304" w:right="1474" w:bottom="130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ingLiU">
    <w:altName w:val="方正书宋_GBK"/>
    <w:panose1 w:val="02020509000000000000"/>
    <w:charset w:val="88"/>
    <w:family w:val="modern"/>
    <w:pitch w:val="default"/>
    <w:sig w:usb0="00000000" w:usb1="00000000" w:usb2="00000016" w:usb3="00000000" w:csb0="0010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jeUaPyAEAAJkDAAAOAAAAAAAA&#10;AAEAIAAAADQBAABkcnMvZTJvRG9jLnhtbFBLBQYAAAAABgAGAFkBAABuBQ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xWDnhyAEAAJkDAAAOAAAAAAAA&#10;AAEAIAAAADQBAABkcnMvZTJvRG9jLnhtbFBLBQYAAAAABgAGAFkBAABuBQ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D7056"/>
    <w:multiLevelType w:val="singleLevel"/>
    <w:tmpl w:val="98DD7056"/>
    <w:lvl w:ilvl="0" w:tentative="0">
      <w:start w:val="1"/>
      <w:numFmt w:val="chineseCounting"/>
      <w:suff w:val="nothing"/>
      <w:lvlText w:val="%1、"/>
      <w:lvlJc w:val="left"/>
      <w:rPr>
        <w:rFonts w:hint="eastAsia"/>
      </w:rPr>
    </w:lvl>
  </w:abstractNum>
  <w:abstractNum w:abstractNumId="1">
    <w:nsid w:val="DBAF1614"/>
    <w:multiLevelType w:val="singleLevel"/>
    <w:tmpl w:val="DBAF1614"/>
    <w:lvl w:ilvl="0" w:tentative="0">
      <w:start w:val="1"/>
      <w:numFmt w:val="decimal"/>
      <w:suff w:val="nothing"/>
      <w:lvlText w:val="（%1）"/>
      <w:lvlJc w:val="left"/>
    </w:lvl>
  </w:abstractNum>
  <w:abstractNum w:abstractNumId="2">
    <w:nsid w:val="2C0C7E72"/>
    <w:multiLevelType w:val="multilevel"/>
    <w:tmpl w:val="2C0C7E72"/>
    <w:lvl w:ilvl="0" w:tentative="0">
      <w:start w:val="1"/>
      <w:numFmt w:val="japaneseCounting"/>
      <w:lvlText w:val="第%1条"/>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A41628"/>
    <w:multiLevelType w:val="multilevel"/>
    <w:tmpl w:val="40A4162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F7EE53"/>
    <w:multiLevelType w:val="singleLevel"/>
    <w:tmpl w:val="40F7EE53"/>
    <w:lvl w:ilvl="0" w:tentative="0">
      <w:start w:val="10"/>
      <w:numFmt w:val="chineseCounting"/>
      <w:suff w:val="nothing"/>
      <w:lvlText w:val="第%1条、"/>
      <w:lvlJc w:val="left"/>
      <w:rPr>
        <w:rFonts w:hint="eastAsia"/>
      </w:rPr>
    </w:lvl>
  </w:abstractNum>
  <w:abstractNum w:abstractNumId="5">
    <w:nsid w:val="63B90968"/>
    <w:multiLevelType w:val="multilevel"/>
    <w:tmpl w:val="63B9096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ZTIxODZkNDdmOGY3ZDg2ZjYwMjI4ZWZiZjg2YTEifQ=="/>
  </w:docVars>
  <w:rsids>
    <w:rsidRoot w:val="0024013B"/>
    <w:rsid w:val="000116D9"/>
    <w:rsid w:val="000400EB"/>
    <w:rsid w:val="000B3887"/>
    <w:rsid w:val="000F1214"/>
    <w:rsid w:val="001417DE"/>
    <w:rsid w:val="00197D9B"/>
    <w:rsid w:val="001A749B"/>
    <w:rsid w:val="0024013B"/>
    <w:rsid w:val="002752F5"/>
    <w:rsid w:val="00282252"/>
    <w:rsid w:val="002952A5"/>
    <w:rsid w:val="003167CA"/>
    <w:rsid w:val="003E2C53"/>
    <w:rsid w:val="003F6B23"/>
    <w:rsid w:val="004448C2"/>
    <w:rsid w:val="004668D4"/>
    <w:rsid w:val="00472CAA"/>
    <w:rsid w:val="00546D2D"/>
    <w:rsid w:val="005E4923"/>
    <w:rsid w:val="005E73DE"/>
    <w:rsid w:val="006D30AC"/>
    <w:rsid w:val="00743A2A"/>
    <w:rsid w:val="00750A55"/>
    <w:rsid w:val="00781428"/>
    <w:rsid w:val="007E47C9"/>
    <w:rsid w:val="008351C4"/>
    <w:rsid w:val="008C4CFB"/>
    <w:rsid w:val="008E1859"/>
    <w:rsid w:val="00907217"/>
    <w:rsid w:val="00A21711"/>
    <w:rsid w:val="00A40A85"/>
    <w:rsid w:val="00A777F5"/>
    <w:rsid w:val="00AA6AAB"/>
    <w:rsid w:val="00B17BE3"/>
    <w:rsid w:val="00B46211"/>
    <w:rsid w:val="00B62EF3"/>
    <w:rsid w:val="00BC5D17"/>
    <w:rsid w:val="00BD08D8"/>
    <w:rsid w:val="00C36EC4"/>
    <w:rsid w:val="00DA00A1"/>
    <w:rsid w:val="00DD4895"/>
    <w:rsid w:val="00EA2AAE"/>
    <w:rsid w:val="00F04133"/>
    <w:rsid w:val="00F13051"/>
    <w:rsid w:val="00FC5F1B"/>
    <w:rsid w:val="00FF2E97"/>
    <w:rsid w:val="016D0E26"/>
    <w:rsid w:val="042D36B2"/>
    <w:rsid w:val="050E48A3"/>
    <w:rsid w:val="0734002A"/>
    <w:rsid w:val="080B59DE"/>
    <w:rsid w:val="0A546A76"/>
    <w:rsid w:val="0C5716F5"/>
    <w:rsid w:val="0E3B663C"/>
    <w:rsid w:val="0ED81463"/>
    <w:rsid w:val="0F4F06F7"/>
    <w:rsid w:val="0FE80E6D"/>
    <w:rsid w:val="111A3749"/>
    <w:rsid w:val="132F4C9D"/>
    <w:rsid w:val="13D30429"/>
    <w:rsid w:val="1571558C"/>
    <w:rsid w:val="15BA408E"/>
    <w:rsid w:val="1624685F"/>
    <w:rsid w:val="182C162A"/>
    <w:rsid w:val="198B4D72"/>
    <w:rsid w:val="1A58595B"/>
    <w:rsid w:val="1AE56206"/>
    <w:rsid w:val="1C1401DC"/>
    <w:rsid w:val="1C86202E"/>
    <w:rsid w:val="1F957EAB"/>
    <w:rsid w:val="1FE86BEB"/>
    <w:rsid w:val="1FED2081"/>
    <w:rsid w:val="209F62F4"/>
    <w:rsid w:val="21317414"/>
    <w:rsid w:val="224D2314"/>
    <w:rsid w:val="2286220D"/>
    <w:rsid w:val="22BC77FF"/>
    <w:rsid w:val="26911A0D"/>
    <w:rsid w:val="27705886"/>
    <w:rsid w:val="27CC29DB"/>
    <w:rsid w:val="27F35878"/>
    <w:rsid w:val="2A5F29AA"/>
    <w:rsid w:val="2C107871"/>
    <w:rsid w:val="2C514C06"/>
    <w:rsid w:val="2C70094D"/>
    <w:rsid w:val="2D1768F0"/>
    <w:rsid w:val="2D59E10F"/>
    <w:rsid w:val="2FAD2886"/>
    <w:rsid w:val="2FC863DC"/>
    <w:rsid w:val="316656BF"/>
    <w:rsid w:val="326C0551"/>
    <w:rsid w:val="33D040DB"/>
    <w:rsid w:val="34B044B4"/>
    <w:rsid w:val="34E27D66"/>
    <w:rsid w:val="358132DC"/>
    <w:rsid w:val="377716E0"/>
    <w:rsid w:val="3924196C"/>
    <w:rsid w:val="39F410BF"/>
    <w:rsid w:val="3DC1CC68"/>
    <w:rsid w:val="3DD9B4D5"/>
    <w:rsid w:val="3DDFBBBD"/>
    <w:rsid w:val="3FF3B371"/>
    <w:rsid w:val="3FFE7E15"/>
    <w:rsid w:val="40E15F28"/>
    <w:rsid w:val="41220617"/>
    <w:rsid w:val="41B233BD"/>
    <w:rsid w:val="45841CBA"/>
    <w:rsid w:val="481B4D2D"/>
    <w:rsid w:val="48791763"/>
    <w:rsid w:val="4AE649F0"/>
    <w:rsid w:val="4C054E6B"/>
    <w:rsid w:val="4D2E324F"/>
    <w:rsid w:val="4D714664"/>
    <w:rsid w:val="4E8020D5"/>
    <w:rsid w:val="4F070CFC"/>
    <w:rsid w:val="52E05D7F"/>
    <w:rsid w:val="54023F8B"/>
    <w:rsid w:val="5460402C"/>
    <w:rsid w:val="55AE93F3"/>
    <w:rsid w:val="569F2D7B"/>
    <w:rsid w:val="57FFAC03"/>
    <w:rsid w:val="58D87E9E"/>
    <w:rsid w:val="59745F73"/>
    <w:rsid w:val="5AE05C8C"/>
    <w:rsid w:val="5D255ED8"/>
    <w:rsid w:val="5D3F735B"/>
    <w:rsid w:val="5D6D3A4E"/>
    <w:rsid w:val="5E160B13"/>
    <w:rsid w:val="5EBF5EAC"/>
    <w:rsid w:val="5F800AB8"/>
    <w:rsid w:val="60C12241"/>
    <w:rsid w:val="613E0788"/>
    <w:rsid w:val="62A00172"/>
    <w:rsid w:val="62D22BB5"/>
    <w:rsid w:val="634333E8"/>
    <w:rsid w:val="63FA40DF"/>
    <w:rsid w:val="65401983"/>
    <w:rsid w:val="65A50382"/>
    <w:rsid w:val="65C33426"/>
    <w:rsid w:val="65DB9E27"/>
    <w:rsid w:val="65F53409"/>
    <w:rsid w:val="670C1638"/>
    <w:rsid w:val="685B68C1"/>
    <w:rsid w:val="6965272F"/>
    <w:rsid w:val="699A07D5"/>
    <w:rsid w:val="69FBFEFE"/>
    <w:rsid w:val="6AAA2520"/>
    <w:rsid w:val="6ACF4F57"/>
    <w:rsid w:val="6ADC0BF6"/>
    <w:rsid w:val="6B0E45D2"/>
    <w:rsid w:val="6B664389"/>
    <w:rsid w:val="6BCF44BF"/>
    <w:rsid w:val="6DC56210"/>
    <w:rsid w:val="6F2801C1"/>
    <w:rsid w:val="6FF59C86"/>
    <w:rsid w:val="70F8382B"/>
    <w:rsid w:val="732401E4"/>
    <w:rsid w:val="7360651B"/>
    <w:rsid w:val="73FCDEDF"/>
    <w:rsid w:val="74053F53"/>
    <w:rsid w:val="761C68DF"/>
    <w:rsid w:val="777B36EE"/>
    <w:rsid w:val="795D6AFC"/>
    <w:rsid w:val="79714693"/>
    <w:rsid w:val="798A5CF7"/>
    <w:rsid w:val="7AE2E579"/>
    <w:rsid w:val="7BA566D4"/>
    <w:rsid w:val="7BDF90E7"/>
    <w:rsid w:val="7D7F0141"/>
    <w:rsid w:val="7DADAE22"/>
    <w:rsid w:val="7DEB054F"/>
    <w:rsid w:val="7E1D004C"/>
    <w:rsid w:val="7EB759D7"/>
    <w:rsid w:val="7ECB7CCE"/>
    <w:rsid w:val="7F78D5D3"/>
    <w:rsid w:val="7F7ED681"/>
    <w:rsid w:val="8FBD8AC8"/>
    <w:rsid w:val="95CC433A"/>
    <w:rsid w:val="97B7C3B6"/>
    <w:rsid w:val="AF1E4839"/>
    <w:rsid w:val="B7FE393A"/>
    <w:rsid w:val="BEFA8786"/>
    <w:rsid w:val="C14C4B29"/>
    <w:rsid w:val="C3CF6B53"/>
    <w:rsid w:val="D7DBBEA6"/>
    <w:rsid w:val="D7FF0458"/>
    <w:rsid w:val="DDDF9410"/>
    <w:rsid w:val="E7B08C64"/>
    <w:rsid w:val="EBFE2A18"/>
    <w:rsid w:val="EDFB9C13"/>
    <w:rsid w:val="EF7D3BDA"/>
    <w:rsid w:val="EFFF8975"/>
    <w:rsid w:val="F26BACC9"/>
    <w:rsid w:val="F4D94267"/>
    <w:rsid w:val="F6EF6851"/>
    <w:rsid w:val="FBAF69EE"/>
    <w:rsid w:val="FBB666DB"/>
    <w:rsid w:val="FBCD75A1"/>
    <w:rsid w:val="FCEA08C6"/>
    <w:rsid w:val="FE3FFA1C"/>
    <w:rsid w:val="FE66BB23"/>
    <w:rsid w:val="FED3DC86"/>
    <w:rsid w:val="FEF3F071"/>
    <w:rsid w:val="FF1A7739"/>
    <w:rsid w:val="FF5B6618"/>
    <w:rsid w:val="FFB9CCF4"/>
    <w:rsid w:val="FFBE7C5A"/>
    <w:rsid w:val="FFD31D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rFonts w:eastAsia="黑体"/>
      <w:kern w:val="44"/>
      <w:szCs w:val="44"/>
    </w:rPr>
  </w:style>
  <w:style w:type="paragraph" w:styleId="5">
    <w:name w:val="heading 2"/>
    <w:basedOn w:val="1"/>
    <w:next w:val="1"/>
    <w:qFormat/>
    <w:uiPriority w:val="0"/>
    <w:pPr>
      <w:adjustRightInd w:val="0"/>
      <w:jc w:val="center"/>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6">
    <w:name w:val="Normal Indent"/>
    <w:basedOn w:val="1"/>
    <w:qFormat/>
    <w:uiPriority w:val="0"/>
    <w:pPr>
      <w:ind w:firstLine="420"/>
    </w:pPr>
    <w:rPr>
      <w:szCs w:val="20"/>
    </w:rPr>
  </w:style>
  <w:style w:type="paragraph" w:styleId="7">
    <w:name w:val="Document Map"/>
    <w:basedOn w:val="1"/>
    <w:link w:val="23"/>
    <w:qFormat/>
    <w:uiPriority w:val="0"/>
    <w:rPr>
      <w:rFonts w:ascii="宋体"/>
      <w:sz w:val="18"/>
      <w:szCs w:val="18"/>
    </w:rPr>
  </w:style>
  <w:style w:type="paragraph" w:styleId="8">
    <w:name w:val="annotation text"/>
    <w:basedOn w:val="1"/>
    <w:unhideWhenUsed/>
    <w:qFormat/>
    <w:uiPriority w:val="99"/>
    <w:pPr>
      <w:widowControl w:val="0"/>
      <w:autoSpaceDE w:val="0"/>
      <w:autoSpaceDN w:val="0"/>
      <w:adjustRightInd w:val="0"/>
      <w:textAlignment w:val="baseline"/>
    </w:pPr>
    <w:rPr>
      <w:rFonts w:ascii="宋体"/>
      <w:sz w:val="34"/>
      <w:szCs w:val="34"/>
    </w:rPr>
  </w:style>
  <w:style w:type="paragraph" w:styleId="9">
    <w:name w:val="Body Text"/>
    <w:basedOn w:val="1"/>
    <w:next w:val="1"/>
    <w:qFormat/>
    <w:uiPriority w:val="0"/>
    <w:pPr>
      <w:tabs>
        <w:tab w:val="left" w:pos="562"/>
        <w:tab w:val="left" w:pos="3372"/>
        <w:tab w:val="left" w:pos="3653"/>
      </w:tabs>
    </w:pPr>
    <w:rPr>
      <w:sz w:val="24"/>
    </w:rPr>
  </w:style>
  <w:style w:type="paragraph" w:styleId="10">
    <w:name w:val="Body Text Indent"/>
    <w:basedOn w:val="1"/>
    <w:unhideWhenUsed/>
    <w:qFormat/>
    <w:uiPriority w:val="99"/>
    <w:pPr>
      <w:spacing w:after="120"/>
      <w:ind w:left="420" w:leftChars="200"/>
    </w:pPr>
  </w:style>
  <w:style w:type="paragraph" w:styleId="11">
    <w:name w:val="Plain Text"/>
    <w:basedOn w:val="1"/>
    <w:qFormat/>
    <w:uiPriority w:val="0"/>
    <w:rPr>
      <w:rFonts w:ascii="宋体" w:hAnsi="Courier New"/>
    </w:rPr>
  </w:style>
  <w:style w:type="paragraph" w:styleId="12">
    <w:name w:val="footer"/>
    <w:basedOn w:val="1"/>
    <w:link w:val="2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99"/>
    <w:pPr>
      <w:widowControl w:val="0"/>
      <w:spacing w:before="120" w:after="120"/>
    </w:pPr>
    <w:rPr>
      <w:b/>
      <w:bCs/>
      <w:caps/>
      <w:kern w:val="2"/>
      <w:sz w:val="21"/>
      <w:szCs w:val="21"/>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10"/>
    <w:unhideWhenUsed/>
    <w:qFormat/>
    <w:uiPriority w:val="99"/>
    <w:pPr>
      <w:ind w:firstLine="420" w:firstLineChars="20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u w:val="single"/>
    </w:rPr>
  </w:style>
  <w:style w:type="character" w:customStyle="1" w:styleId="21">
    <w:name w:val="页脚 Char"/>
    <w:link w:val="12"/>
    <w:qFormat/>
    <w:uiPriority w:val="0"/>
    <w:rPr>
      <w:rFonts w:hint="default" w:ascii="Calibri" w:hAnsi="Calibri" w:eastAsia="宋体" w:cs="Calibri"/>
      <w:kern w:val="2"/>
      <w:sz w:val="18"/>
      <w:szCs w:val="18"/>
      <w:lang w:val="en-US" w:eastAsia="zh-CN"/>
    </w:rPr>
  </w:style>
  <w:style w:type="paragraph" w:customStyle="1" w:styleId="22">
    <w:name w:val="List Paragraph"/>
    <w:basedOn w:val="1"/>
    <w:unhideWhenUsed/>
    <w:qFormat/>
    <w:uiPriority w:val="99"/>
    <w:pPr>
      <w:ind w:firstLine="420" w:firstLineChars="200"/>
    </w:pPr>
  </w:style>
  <w:style w:type="character" w:customStyle="1" w:styleId="23">
    <w:name w:val="文档结构图 Char"/>
    <w:basedOn w:val="19"/>
    <w:link w:val="7"/>
    <w:qFormat/>
    <w:uiPriority w:val="0"/>
    <w:rPr>
      <w:rFonts w:ascii="宋体" w:hAnsi="Calibri"/>
      <w:kern w:val="2"/>
      <w:sz w:val="18"/>
      <w:szCs w:val="18"/>
    </w:rPr>
  </w:style>
  <w:style w:type="paragraph" w:customStyle="1" w:styleId="24">
    <w:name w:val="表格内文字"/>
    <w:basedOn w:val="1"/>
    <w:qFormat/>
    <w:uiPriority w:val="0"/>
    <w:rPr>
      <w:sz w:val="24"/>
      <w:szCs w:val="20"/>
    </w:rPr>
  </w:style>
  <w:style w:type="paragraph" w:customStyle="1" w:styleId="25">
    <w:name w:val="图"/>
    <w:basedOn w:val="1"/>
    <w:qFormat/>
    <w:uiPriority w:val="0"/>
    <w:pPr>
      <w:keepNext/>
      <w:widowControl w:val="0"/>
      <w:adjustRightInd w:val="0"/>
      <w:snapToGrid w:val="0"/>
      <w:spacing w:before="60" w:after="60" w:line="300" w:lineRule="auto"/>
      <w:jc w:val="center"/>
    </w:pPr>
    <w:rPr>
      <w:spacing w:val="20"/>
    </w:rPr>
  </w:style>
  <w:style w:type="paragraph" w:customStyle="1" w:styleId="26">
    <w:name w:val="Other|1"/>
    <w:basedOn w:val="1"/>
    <w:qFormat/>
    <w:uiPriority w:val="0"/>
    <w:pPr>
      <w:widowControl w:val="0"/>
      <w:spacing w:line="312" w:lineRule="auto"/>
      <w:jc w:val="both"/>
    </w:pPr>
    <w:rPr>
      <w:rFonts w:ascii="MingLiU" w:hAnsi="MingLiU" w:eastAsia="MingLiU" w:cs="宋体"/>
      <w:kern w:val="2"/>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2465</Words>
  <Characters>2519</Characters>
  <Lines>10</Lines>
  <Paragraphs>2</Paragraphs>
  <TotalTime>62</TotalTime>
  <ScaleCrop>false</ScaleCrop>
  <LinksUpToDate>false</LinksUpToDate>
  <CharactersWithSpaces>2534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2019-04-10T06:37:00Z</dcterms:created>
  <dc:creator>Administrator</dc:creator>
  <cp:lastModifiedBy>c-3313</cp:lastModifiedBy>
  <cp:lastPrinted>2021-12-13T19:11:00Z</cp:lastPrinted>
  <dcterms:modified xsi:type="dcterms:W3CDTF">2025-05-06T14:30:16Z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6D09B39C35554752A73C3A0B7DFCA0DE_13</vt:lpwstr>
  </property>
</Properties>
</file>