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both"/>
        <w:rPr>
          <w:rFonts w:ascii="仿宋" w:hAnsi="仿宋" w:eastAsia="仿宋" w:cs="宋体"/>
          <w:b/>
          <w:kern w:val="0"/>
          <w:sz w:val="44"/>
          <w:szCs w:val="44"/>
        </w:rPr>
      </w:pPr>
    </w:p>
    <w:p>
      <w:pPr>
        <w:widowControl/>
        <w:spacing w:line="360" w:lineRule="auto"/>
        <w:jc w:val="center"/>
        <w:rPr>
          <w:rFonts w:ascii="仿宋" w:hAnsi="仿宋" w:eastAsia="仿宋" w:cs="宋体"/>
          <w:b/>
          <w:kern w:val="0"/>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坪山区碧岭街道公共事务中心城市更新和</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土地整备部协助开展土地整备征收拆迁</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color w:val="auto"/>
          <w:sz w:val="44"/>
          <w:szCs w:val="44"/>
          <w:lang w:val="en-US" w:eastAsia="zh-CN"/>
        </w:rPr>
        <w:t>服务项目自行</w:t>
      </w:r>
      <w:r>
        <w:rPr>
          <w:rFonts w:hint="eastAsia" w:ascii="方正小标宋简体" w:hAnsi="方正小标宋简体" w:eastAsia="方正小标宋简体" w:cs="方正小标宋简体"/>
          <w:b w:val="0"/>
          <w:bCs/>
          <w:kern w:val="0"/>
          <w:sz w:val="44"/>
          <w:szCs w:val="44"/>
        </w:rPr>
        <w:t>采购需求</w:t>
      </w:r>
    </w:p>
    <w:p>
      <w:pPr>
        <w:widowControl/>
        <w:adjustRightInd w:val="0"/>
        <w:snapToGrid w:val="0"/>
        <w:spacing w:line="360" w:lineRule="atLeast"/>
        <w:ind w:firstLine="960" w:firstLineChars="200"/>
        <w:jc w:val="center"/>
        <w:rPr>
          <w:rFonts w:asciiTheme="majorEastAsia" w:hAnsiTheme="majorEastAsia" w:eastAsiaTheme="majorEastAsia" w:cstheme="majorEastAsia"/>
          <w:kern w:val="0"/>
          <w:sz w:val="48"/>
          <w:szCs w:val="48"/>
        </w:rPr>
      </w:pPr>
    </w:p>
    <w:p>
      <w:pPr>
        <w:widowControl/>
        <w:spacing w:line="360" w:lineRule="auto"/>
        <w:ind w:firstLine="960" w:firstLineChars="200"/>
        <w:jc w:val="left"/>
        <w:rPr>
          <w:rFonts w:ascii="仿宋" w:hAnsi="仿宋" w:eastAsia="仿宋" w:cs="宋体"/>
          <w:kern w:val="0"/>
          <w:sz w:val="48"/>
          <w:szCs w:val="48"/>
        </w:rPr>
      </w:pPr>
    </w:p>
    <w:p>
      <w:pPr>
        <w:widowControl/>
        <w:spacing w:line="360" w:lineRule="auto"/>
        <w:rPr>
          <w:rFonts w:ascii="仿宋" w:hAnsi="仿宋" w:eastAsia="仿宋" w:cs="楷体"/>
          <w:spacing w:val="-20"/>
          <w:kern w:val="0"/>
          <w:sz w:val="28"/>
          <w:szCs w:val="28"/>
        </w:rPr>
      </w:pPr>
    </w:p>
    <w:p>
      <w:pPr>
        <w:widowControl/>
        <w:spacing w:line="360" w:lineRule="auto"/>
        <w:rPr>
          <w:rFonts w:ascii="仿宋" w:hAnsi="仿宋" w:eastAsia="仿宋" w:cs="楷体"/>
          <w:spacing w:val="-20"/>
          <w:kern w:val="0"/>
          <w:sz w:val="28"/>
          <w:szCs w:val="28"/>
        </w:rPr>
      </w:pPr>
    </w:p>
    <w:p>
      <w:pPr>
        <w:widowControl/>
        <w:spacing w:line="360" w:lineRule="auto"/>
        <w:rPr>
          <w:rFonts w:ascii="仿宋" w:hAnsi="仿宋" w:eastAsia="仿宋" w:cs="楷体"/>
          <w:spacing w:val="-20"/>
          <w:kern w:val="0"/>
          <w:sz w:val="28"/>
          <w:szCs w:val="28"/>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宋体"/>
          <w:spacing w:val="-20"/>
          <w:kern w:val="0"/>
          <w:sz w:val="32"/>
          <w:szCs w:val="32"/>
          <w:u w:val="single"/>
          <w:lang w:val="en-US" w:eastAsia="zh-CN"/>
        </w:rPr>
      </w:pPr>
      <w:r>
        <w:rPr>
          <w:rFonts w:hint="eastAsia" w:ascii="仿宋" w:hAnsi="仿宋" w:eastAsia="仿宋" w:cs="宋体"/>
          <w:b/>
          <w:bCs/>
          <w:spacing w:val="-20"/>
          <w:kern w:val="0"/>
          <w:sz w:val="32"/>
          <w:szCs w:val="32"/>
        </w:rPr>
        <w:t>项目类型：</w:t>
      </w:r>
      <w:r>
        <w:rPr>
          <w:rFonts w:hint="eastAsia" w:ascii="仿宋" w:hAnsi="仿宋" w:eastAsia="仿宋" w:cs="宋体"/>
          <w:spacing w:val="-20"/>
          <w:kern w:val="0"/>
          <w:sz w:val="32"/>
          <w:szCs w:val="32"/>
          <w:u w:val="single"/>
        </w:rPr>
        <w:t xml:space="preserve">                    服务类                                </w:t>
      </w:r>
      <w:r>
        <w:rPr>
          <w:rFonts w:hint="eastAsia" w:ascii="仿宋" w:hAnsi="仿宋" w:eastAsia="仿宋" w:cs="宋体"/>
          <w:spacing w:val="-20"/>
          <w:kern w:val="0"/>
          <w:sz w:val="32"/>
          <w:szCs w:val="32"/>
          <w:u w:val="single"/>
          <w:lang w:val="en-US" w:eastAsia="zh-CN"/>
        </w:rPr>
        <w:t xml:space="preserve"> </w:t>
      </w:r>
    </w:p>
    <w:p>
      <w:pPr>
        <w:widowControl/>
        <w:spacing w:line="360" w:lineRule="auto"/>
        <w:ind w:left="281" w:hanging="281" w:hangingChars="100"/>
        <w:rPr>
          <w:rFonts w:hint="eastAsia" w:ascii="仿宋" w:hAnsi="仿宋" w:eastAsia="仿宋" w:cs="宋体"/>
          <w:spacing w:val="-20"/>
          <w:kern w:val="0"/>
          <w:sz w:val="32"/>
          <w:szCs w:val="32"/>
          <w:u w:val="none"/>
          <w:lang w:val="en-US" w:eastAsia="zh-CN"/>
        </w:rPr>
      </w:pPr>
      <w:r>
        <w:rPr>
          <w:rFonts w:hint="eastAsia" w:ascii="仿宋" w:hAnsi="仿宋" w:eastAsia="仿宋" w:cs="宋体"/>
          <w:b/>
          <w:bCs/>
          <w:spacing w:val="-20"/>
          <w:kern w:val="0"/>
          <w:sz w:val="32"/>
          <w:szCs w:val="32"/>
        </w:rPr>
        <w:t>项目名称：</w:t>
      </w:r>
      <w:r>
        <w:rPr>
          <w:rFonts w:hint="eastAsia" w:ascii="仿宋" w:hAnsi="仿宋" w:eastAsia="仿宋" w:cs="宋体"/>
          <w:b/>
          <w:bCs/>
          <w:spacing w:val="-20"/>
          <w:kern w:val="0"/>
          <w:sz w:val="32"/>
          <w:szCs w:val="32"/>
          <w:u w:val="single"/>
          <w:lang w:val="en-US" w:eastAsia="zh-CN"/>
        </w:rPr>
        <w:t xml:space="preserve">   </w:t>
      </w:r>
      <w:r>
        <w:rPr>
          <w:rFonts w:hint="eastAsia" w:ascii="仿宋" w:hAnsi="仿宋" w:eastAsia="仿宋" w:cs="宋体"/>
          <w:spacing w:val="-20"/>
          <w:kern w:val="0"/>
          <w:sz w:val="32"/>
          <w:szCs w:val="32"/>
          <w:u w:val="single"/>
          <w:lang w:eastAsia="zh-CN"/>
        </w:rPr>
        <w:t>坪山区碧岭街道公共事务中心城市更新和土地整备部</w:t>
      </w:r>
      <w:r>
        <w:rPr>
          <w:rFonts w:hint="eastAsia" w:ascii="仿宋" w:hAnsi="仿宋" w:eastAsia="仿宋" w:cs="宋体"/>
          <w:spacing w:val="-20"/>
          <w:kern w:val="0"/>
          <w:sz w:val="32"/>
          <w:szCs w:val="32"/>
          <w:u w:val="single"/>
          <w:lang w:val="en-US" w:eastAsia="zh-CN"/>
        </w:rPr>
        <w:tab/>
      </w:r>
      <w:r>
        <w:rPr>
          <w:rFonts w:hint="eastAsia" w:ascii="仿宋" w:hAnsi="仿宋" w:eastAsia="仿宋" w:cs="宋体"/>
          <w:spacing w:val="-20"/>
          <w:kern w:val="0"/>
          <w:sz w:val="32"/>
          <w:szCs w:val="32"/>
          <w:u w:val="single"/>
          <w:lang w:val="en-US" w:eastAsia="zh-CN"/>
        </w:rPr>
        <w:t xml:space="preserve">   </w:t>
      </w:r>
      <w:r>
        <w:rPr>
          <w:rFonts w:hint="eastAsia" w:ascii="仿宋" w:hAnsi="仿宋" w:eastAsia="仿宋" w:cs="宋体"/>
          <w:spacing w:val="-20"/>
          <w:kern w:val="0"/>
          <w:sz w:val="32"/>
          <w:szCs w:val="32"/>
          <w:u w:val="none"/>
          <w:lang w:val="en-US" w:eastAsia="zh-CN"/>
        </w:rPr>
        <w:tab/>
      </w:r>
    </w:p>
    <w:p>
      <w:pPr>
        <w:widowControl/>
        <w:spacing w:line="360" w:lineRule="auto"/>
        <w:ind w:left="281" w:hanging="280" w:hangingChars="100"/>
        <w:rPr>
          <w:rFonts w:hint="default" w:ascii="仿宋" w:hAnsi="仿宋" w:eastAsia="仿宋" w:cs="宋体"/>
          <w:b w:val="0"/>
          <w:bCs w:val="0"/>
          <w:i w:val="0"/>
          <w:iCs w:val="0"/>
          <w:spacing w:val="-20"/>
          <w:kern w:val="0"/>
          <w:sz w:val="32"/>
          <w:szCs w:val="32"/>
          <w:u w:val="single"/>
          <w:lang w:val="en-US" w:eastAsia="zh-CN"/>
        </w:rPr>
      </w:pPr>
      <w:r>
        <w:rPr>
          <w:rFonts w:hint="eastAsia" w:ascii="仿宋" w:hAnsi="仿宋" w:eastAsia="仿宋" w:cs="宋体"/>
          <w:spacing w:val="-20"/>
          <w:kern w:val="0"/>
          <w:sz w:val="32"/>
          <w:szCs w:val="32"/>
          <w:u w:val="single"/>
          <w:lang w:val="en-US" w:eastAsia="zh-CN"/>
        </w:rPr>
        <w:t xml:space="preserve">                       协助开展土地整备征收拆迁</w:t>
      </w:r>
      <w:r>
        <w:rPr>
          <w:rFonts w:hint="eastAsia" w:ascii="仿宋" w:hAnsi="仿宋" w:eastAsia="仿宋" w:cs="宋体"/>
          <w:spacing w:val="-20"/>
          <w:kern w:val="0"/>
          <w:sz w:val="32"/>
          <w:szCs w:val="32"/>
          <w:u w:val="single"/>
          <w:lang w:eastAsia="zh-CN"/>
        </w:rPr>
        <w:t>服务项目</w:t>
      </w:r>
      <w:r>
        <w:rPr>
          <w:rFonts w:hint="eastAsia" w:ascii="仿宋" w:hAnsi="仿宋" w:eastAsia="仿宋" w:cs="宋体"/>
          <w:spacing w:val="-20"/>
          <w:kern w:val="0"/>
          <w:sz w:val="32"/>
          <w:szCs w:val="32"/>
          <w:u w:val="single"/>
        </w:rPr>
        <w:t xml:space="preserve">   </w:t>
      </w:r>
      <w:r>
        <w:rPr>
          <w:rFonts w:hint="eastAsia" w:ascii="仿宋" w:hAnsi="仿宋" w:eastAsia="仿宋" w:cs="宋体"/>
          <w:spacing w:val="-20"/>
          <w:kern w:val="0"/>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pacing w:val="-20"/>
          <w:kern w:val="0"/>
          <w:sz w:val="32"/>
          <w:szCs w:val="32"/>
          <w:u w:val="single"/>
          <w:lang w:val="en-US" w:eastAsia="zh-CN"/>
        </w:rPr>
      </w:pPr>
      <w:r>
        <w:rPr>
          <w:rFonts w:hint="eastAsia" w:ascii="仿宋" w:hAnsi="仿宋" w:eastAsia="仿宋" w:cs="宋体"/>
          <w:b/>
          <w:bCs/>
          <w:spacing w:val="-20"/>
          <w:kern w:val="0"/>
          <w:sz w:val="32"/>
          <w:szCs w:val="32"/>
        </w:rPr>
        <w:t>项目编号：</w:t>
      </w:r>
      <w:r>
        <w:rPr>
          <w:rFonts w:hint="eastAsia" w:ascii="仿宋" w:hAnsi="仿宋" w:eastAsia="仿宋" w:cs="宋体"/>
          <w:spacing w:val="-20"/>
          <w:kern w:val="0"/>
          <w:sz w:val="32"/>
          <w:szCs w:val="32"/>
          <w:u w:val="single"/>
        </w:rPr>
        <w:t xml:space="preserve"> </w:t>
      </w:r>
      <w:r>
        <w:rPr>
          <w:rFonts w:hint="eastAsia" w:ascii="仿宋" w:hAnsi="仿宋" w:eastAsia="仿宋" w:cs="仿宋"/>
          <w:spacing w:val="-20"/>
          <w:kern w:val="0"/>
          <w:sz w:val="32"/>
          <w:szCs w:val="32"/>
          <w:u w:val="single"/>
        </w:rPr>
        <w:t xml:space="preserve">          </w:t>
      </w:r>
      <w:r>
        <w:rPr>
          <w:rFonts w:hint="eastAsia" w:ascii="仿宋" w:hAnsi="仿宋" w:eastAsia="仿宋" w:cs="仿宋"/>
          <w:spacing w:val="-20"/>
          <w:kern w:val="0"/>
          <w:sz w:val="32"/>
          <w:szCs w:val="32"/>
          <w:u w:val="single"/>
          <w:lang w:val="en-US" w:eastAsia="zh-CN"/>
        </w:rPr>
        <w:t xml:space="preserve">      </w:t>
      </w:r>
      <w:r>
        <w:rPr>
          <w:rFonts w:hint="eastAsia" w:ascii="仿宋" w:hAnsi="仿宋" w:eastAsia="仿宋" w:cs="仿宋"/>
          <w:spacing w:val="-20"/>
          <w:kern w:val="0"/>
          <w:sz w:val="32"/>
          <w:szCs w:val="32"/>
          <w:highlight w:val="none"/>
          <w:u w:val="single"/>
          <w:lang w:val="en-US" w:eastAsia="zh-CN"/>
        </w:rPr>
        <w:t xml:space="preserve">  PSBLTZ2024007</w:t>
      </w:r>
      <w:r>
        <w:rPr>
          <w:rFonts w:hint="eastAsia" w:ascii="仿宋" w:hAnsi="仿宋" w:eastAsia="仿宋" w:cs="仿宋"/>
          <w:spacing w:val="-20"/>
          <w:kern w:val="0"/>
          <w:sz w:val="32"/>
          <w:szCs w:val="32"/>
          <w:highlight w:val="none"/>
          <w:u w:val="single"/>
        </w:rPr>
        <w:t xml:space="preserve">  </w:t>
      </w:r>
      <w:r>
        <w:rPr>
          <w:rFonts w:hint="eastAsia" w:ascii="仿宋" w:hAnsi="仿宋" w:eastAsia="仿宋" w:cs="仿宋"/>
          <w:spacing w:val="-20"/>
          <w:kern w:val="0"/>
          <w:sz w:val="32"/>
          <w:szCs w:val="32"/>
          <w:u w:val="single"/>
        </w:rPr>
        <w:t xml:space="preserve">    </w:t>
      </w:r>
      <w:r>
        <w:rPr>
          <w:rFonts w:hint="eastAsia" w:ascii="仿宋" w:hAnsi="仿宋" w:eastAsia="仿宋" w:cs="仿宋"/>
          <w:spacing w:val="-20"/>
          <w:kern w:val="0"/>
          <w:sz w:val="32"/>
          <w:szCs w:val="32"/>
          <w:u w:val="single"/>
          <w:lang w:val="en-US" w:eastAsia="zh-CN"/>
        </w:rPr>
        <w:t xml:space="preserve">           </w:t>
      </w:r>
      <w:r>
        <w:rPr>
          <w:rFonts w:hint="eastAsia" w:ascii="仿宋" w:hAnsi="仿宋" w:eastAsia="仿宋" w:cs="仿宋"/>
          <w:spacing w:val="-20"/>
          <w:kern w:val="0"/>
          <w:sz w:val="32"/>
          <w:szCs w:val="32"/>
          <w:u w:val="single"/>
        </w:rPr>
        <w:t xml:space="preserve">         </w:t>
      </w:r>
    </w:p>
    <w:p>
      <w:pPr>
        <w:widowControl/>
        <w:spacing w:line="360" w:lineRule="auto"/>
        <w:ind w:firstLine="482" w:firstLineChars="200"/>
        <w:rPr>
          <w:rFonts w:ascii="仿宋" w:hAnsi="仿宋" w:eastAsia="仿宋" w:cs="宋体"/>
          <w:b/>
          <w:bCs/>
          <w:spacing w:val="-20"/>
          <w:kern w:val="0"/>
          <w:sz w:val="28"/>
          <w:szCs w:val="28"/>
        </w:rPr>
      </w:pPr>
    </w:p>
    <w:p>
      <w:pPr>
        <w:widowControl/>
        <w:spacing w:line="360" w:lineRule="auto"/>
        <w:jc w:val="left"/>
        <w:rPr>
          <w:rFonts w:ascii="仿宋" w:hAnsi="仿宋" w:eastAsia="仿宋" w:cs="宋体"/>
          <w:kern w:val="0"/>
          <w:sz w:val="28"/>
          <w:szCs w:val="28"/>
        </w:rPr>
      </w:pPr>
    </w:p>
    <w:p>
      <w:pPr>
        <w:widowControl/>
        <w:spacing w:line="360" w:lineRule="auto"/>
        <w:ind w:firstLine="560" w:firstLineChars="200"/>
        <w:jc w:val="left"/>
        <w:rPr>
          <w:rFonts w:ascii="仿宋" w:hAnsi="仿宋" w:eastAsia="仿宋" w:cs="宋体"/>
          <w:kern w:val="0"/>
          <w:sz w:val="28"/>
          <w:szCs w:val="28"/>
        </w:rPr>
      </w:pPr>
    </w:p>
    <w:p>
      <w:pPr>
        <w:widowControl/>
        <w:spacing w:line="360" w:lineRule="auto"/>
        <w:jc w:val="center"/>
        <w:rPr>
          <w:rFonts w:ascii="仿宋" w:hAnsi="仿宋" w:eastAsia="仿宋" w:cs="宋体"/>
          <w:spacing w:val="-20"/>
          <w:kern w:val="0"/>
          <w:sz w:val="32"/>
          <w:szCs w:val="32"/>
          <w:u w:val="single"/>
        </w:rPr>
      </w:pPr>
    </w:p>
    <w:p>
      <w:pPr>
        <w:widowControl/>
        <w:spacing w:line="360" w:lineRule="auto"/>
        <w:jc w:val="center"/>
        <w:rPr>
          <w:rFonts w:ascii="仿宋" w:hAnsi="仿宋" w:eastAsia="仿宋" w:cs="宋体"/>
          <w:spacing w:val="-20"/>
          <w:kern w:val="0"/>
          <w:sz w:val="32"/>
          <w:szCs w:val="32"/>
          <w:highlight w:val="none"/>
          <w:u w:val="single"/>
        </w:rPr>
        <w:sectPr>
          <w:pgSz w:w="11906" w:h="16838"/>
          <w:pgMar w:top="1440" w:right="1474" w:bottom="1440" w:left="1587" w:header="851" w:footer="992" w:gutter="0"/>
          <w:cols w:space="425" w:num="1"/>
          <w:docGrid w:type="lines" w:linePitch="312" w:charSpace="0"/>
        </w:sectPr>
      </w:pPr>
      <w:r>
        <w:rPr>
          <w:rFonts w:hint="eastAsia" w:ascii="仿宋" w:hAnsi="仿宋" w:eastAsia="仿宋" w:cs="宋体"/>
          <w:spacing w:val="-20"/>
          <w:kern w:val="0"/>
          <w:sz w:val="32"/>
          <w:szCs w:val="32"/>
          <w:highlight w:val="none"/>
        </w:rPr>
        <w:t>二〇二</w:t>
      </w:r>
      <w:r>
        <w:rPr>
          <w:rFonts w:hint="eastAsia" w:ascii="仿宋" w:hAnsi="仿宋" w:eastAsia="仿宋" w:cs="宋体"/>
          <w:spacing w:val="-20"/>
          <w:kern w:val="0"/>
          <w:sz w:val="32"/>
          <w:szCs w:val="32"/>
          <w:highlight w:val="none"/>
          <w:lang w:val="en-US" w:eastAsia="zh-CN"/>
        </w:rPr>
        <w:t>四</w:t>
      </w:r>
      <w:r>
        <w:rPr>
          <w:rFonts w:hint="eastAsia" w:ascii="仿宋" w:hAnsi="仿宋" w:eastAsia="仿宋" w:cs="宋体"/>
          <w:spacing w:val="-20"/>
          <w:kern w:val="0"/>
          <w:sz w:val="32"/>
          <w:szCs w:val="32"/>
          <w:highlight w:val="none"/>
        </w:rPr>
        <w:t>年</w:t>
      </w:r>
      <w:r>
        <w:rPr>
          <w:rFonts w:hint="eastAsia" w:ascii="仿宋" w:hAnsi="仿宋" w:eastAsia="仿宋" w:cs="宋体"/>
          <w:spacing w:val="-20"/>
          <w:kern w:val="0"/>
          <w:sz w:val="32"/>
          <w:szCs w:val="32"/>
          <w:highlight w:val="none"/>
          <w:lang w:eastAsia="zh-CN"/>
        </w:rPr>
        <w:t>十</w:t>
      </w:r>
      <w:r>
        <w:rPr>
          <w:rFonts w:hint="eastAsia" w:ascii="仿宋" w:hAnsi="仿宋" w:eastAsia="仿宋" w:cs="宋体"/>
          <w:spacing w:val="-20"/>
          <w:kern w:val="0"/>
          <w:sz w:val="32"/>
          <w:szCs w:val="32"/>
          <w:highlight w:val="none"/>
          <w:lang w:val="en-US" w:eastAsia="zh-CN"/>
        </w:rPr>
        <w:t>一</w:t>
      </w:r>
      <w:r>
        <w:rPr>
          <w:rFonts w:hint="eastAsia" w:ascii="仿宋" w:hAnsi="仿宋" w:eastAsia="仿宋" w:cs="宋体"/>
          <w:spacing w:val="-20"/>
          <w:kern w:val="0"/>
          <w:sz w:val="32"/>
          <w:szCs w:val="32"/>
          <w:highlight w:val="none"/>
        </w:rPr>
        <w:t>月</w:t>
      </w:r>
      <w:r>
        <w:rPr>
          <w:rFonts w:hint="eastAsia" w:ascii="仿宋" w:hAnsi="仿宋" w:eastAsia="仿宋" w:cs="宋体"/>
          <w:spacing w:val="-20"/>
          <w:kern w:val="0"/>
          <w:sz w:val="32"/>
          <w:szCs w:val="32"/>
          <w:highlight w:val="none"/>
          <w:lang w:val="en-US" w:eastAsia="zh-CN"/>
        </w:rPr>
        <w:t>二十九</w:t>
      </w:r>
      <w:r>
        <w:rPr>
          <w:rFonts w:hint="eastAsia" w:ascii="仿宋" w:hAnsi="仿宋" w:eastAsia="仿宋" w:cs="宋体"/>
          <w:spacing w:val="-20"/>
          <w:kern w:val="0"/>
          <w:sz w:val="32"/>
          <w:szCs w:val="32"/>
          <w:highlight w:val="none"/>
        </w:rPr>
        <w:t>日</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cstheme="minorEastAsia"/>
          <w:b/>
          <w:color w:val="auto"/>
          <w:sz w:val="44"/>
          <w:szCs w:val="44"/>
          <w:lang w:val="en-US" w:eastAsia="zh-CN"/>
        </w:rPr>
      </w:pPr>
      <w:r>
        <w:rPr>
          <w:rFonts w:hint="eastAsia" w:asciiTheme="minorEastAsia" w:hAnsiTheme="minorEastAsia" w:cstheme="minorEastAsia"/>
          <w:b/>
          <w:color w:val="auto"/>
          <w:sz w:val="44"/>
          <w:szCs w:val="44"/>
          <w:lang w:val="en-US" w:eastAsia="zh-CN"/>
        </w:rPr>
        <w:t>坪山区碧岭街道公共事务中心城市更新和</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cstheme="minorEastAsia"/>
          <w:b/>
          <w:color w:val="auto"/>
          <w:sz w:val="44"/>
          <w:szCs w:val="44"/>
          <w:lang w:val="en-US" w:eastAsia="zh-CN"/>
        </w:rPr>
      </w:pPr>
      <w:r>
        <w:rPr>
          <w:rFonts w:hint="eastAsia" w:asciiTheme="minorEastAsia" w:hAnsiTheme="minorEastAsia" w:cstheme="minorEastAsia"/>
          <w:b/>
          <w:color w:val="auto"/>
          <w:sz w:val="44"/>
          <w:szCs w:val="44"/>
          <w:lang w:val="en-US" w:eastAsia="zh-CN"/>
        </w:rPr>
        <w:t>土地整备部协助开展土地整备征收拆迁</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Theme="minorEastAsia" w:hAnsiTheme="minorEastAsia" w:cstheme="minorEastAsia"/>
          <w:b/>
          <w:color w:val="auto"/>
          <w:sz w:val="44"/>
          <w:szCs w:val="44"/>
          <w:lang w:val="en-US" w:eastAsia="zh-CN"/>
        </w:rPr>
        <w:t>服务项目自行</w:t>
      </w:r>
      <w:r>
        <w:rPr>
          <w:rFonts w:hint="eastAsia" w:ascii="宋体" w:hAnsi="宋体" w:cs="宋体"/>
          <w:b/>
          <w:kern w:val="0"/>
          <w:sz w:val="44"/>
          <w:szCs w:val="44"/>
        </w:rPr>
        <w:t>采购</w:t>
      </w:r>
      <w:r>
        <w:rPr>
          <w:rFonts w:hint="eastAsia" w:ascii="方正小标宋简体" w:hAnsi="方正小标宋简体" w:eastAsia="方正小标宋简体" w:cs="方正小标宋简体"/>
          <w:b w:val="0"/>
          <w:bCs/>
          <w:kern w:val="0"/>
          <w:sz w:val="44"/>
          <w:szCs w:val="44"/>
        </w:rPr>
        <w:t>需求</w:t>
      </w:r>
    </w:p>
    <w:p>
      <w:pPr>
        <w:pStyle w:val="2"/>
        <w:keepNext w:val="0"/>
        <w:keepLines w:val="0"/>
        <w:pageBreakBefore w:val="0"/>
        <w:kinsoku/>
        <w:wordWrap/>
        <w:overflowPunct/>
        <w:topLinePunct w:val="0"/>
        <w:autoSpaceDE/>
        <w:autoSpaceDN/>
        <w:bidi w:val="0"/>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一、采购项目概况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rPr>
        <w:t>（一）项目简介：</w:t>
      </w:r>
      <w:r>
        <w:rPr>
          <w:rFonts w:hint="eastAsia" w:ascii="CESI仿宋-GB2312" w:hAnsi="CESI仿宋-GB2312" w:eastAsia="CESI仿宋-GB2312" w:cs="CESI仿宋-GB2312"/>
          <w:b w:val="0"/>
          <w:bCs w:val="0"/>
          <w:sz w:val="32"/>
          <w:szCs w:val="32"/>
          <w:lang w:eastAsia="zh-CN"/>
        </w:rPr>
        <w:t>坪山区碧岭街道公共事务中心城市更新和土地整备部</w:t>
      </w:r>
      <w:r>
        <w:rPr>
          <w:rFonts w:hint="eastAsia" w:ascii="CESI仿宋-GB2312" w:hAnsi="CESI仿宋-GB2312" w:eastAsia="CESI仿宋-GB2312" w:cs="CESI仿宋-GB2312"/>
          <w:b w:val="0"/>
          <w:bCs w:val="0"/>
          <w:sz w:val="32"/>
          <w:szCs w:val="32"/>
        </w:rPr>
        <w:t>开展</w:t>
      </w:r>
      <w:r>
        <w:rPr>
          <w:rFonts w:hint="eastAsia" w:ascii="CESI仿宋-GB2312" w:hAnsi="CESI仿宋-GB2312" w:eastAsia="CESI仿宋-GB2312" w:cs="CESI仿宋-GB2312"/>
          <w:b w:val="0"/>
          <w:bCs w:val="0"/>
          <w:sz w:val="32"/>
          <w:szCs w:val="32"/>
          <w:lang w:eastAsia="zh-CN"/>
        </w:rPr>
        <w:t>土地整备</w:t>
      </w:r>
      <w:r>
        <w:rPr>
          <w:rFonts w:hint="eastAsia" w:ascii="CESI仿宋-GB2312" w:hAnsi="CESI仿宋-GB2312" w:eastAsia="CESI仿宋-GB2312" w:cs="CESI仿宋-GB2312"/>
          <w:b w:val="0"/>
          <w:bCs w:val="0"/>
          <w:sz w:val="32"/>
          <w:szCs w:val="32"/>
          <w:lang w:val="en-US" w:eastAsia="zh-CN"/>
        </w:rPr>
        <w:t>征收拆迁项目多、征收拆迁量大、时间紧迫、业务繁杂，为做好与各部门、各股份公司的沟通、衔接、配合，提高工作效率，快速梳理土地整备过程中遇到的问题，及时完成年度绩效考核任务及交办的各类重点项目，现拟购买协助开展土地整备征收拆迁工作服务，增强街道土地整备工作力量，加快土地整备项目推动进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（二）采购项目名称：坪山区碧岭街道公共事务中心城市更新和土地整备部协助开展土地整备征收拆迁服务项目（项目编号：PSBLTZ20</w:t>
      </w:r>
      <w:r>
        <w:rPr>
          <w:rFonts w:hint="eastAsia" w:ascii="CESI仿宋-GB2312" w:hAnsi="CESI仿宋-GB2312" w:eastAsia="CESI仿宋-GB2312" w:cs="CESI仿宋-GB2312"/>
          <w:b w:val="0"/>
          <w:bCs w:val="0"/>
          <w:sz w:val="32"/>
          <w:szCs w:val="32"/>
          <w:lang w:val="en-US" w:eastAsia="zh-CN"/>
        </w:rPr>
        <w:t>24007</w:t>
      </w:r>
      <w:r>
        <w:rPr>
          <w:rFonts w:hint="eastAsia" w:ascii="CESI仿宋-GB2312" w:hAnsi="CESI仿宋-GB2312" w:eastAsia="CESI仿宋-GB2312" w:cs="CESI仿宋-GB2312"/>
          <w:b w:val="0"/>
          <w:bCs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（三）采购方式：公开招标。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（四）预算金额：</w:t>
      </w:r>
      <w:r>
        <w:rPr>
          <w:rFonts w:hint="eastAsia" w:ascii="CESI仿宋-GB2312" w:hAnsi="CESI仿宋-GB2312" w:eastAsia="CESI仿宋-GB2312" w:cs="CESI仿宋-GB2312"/>
          <w:b w:val="0"/>
          <w:bCs w:val="0"/>
          <w:sz w:val="32"/>
          <w:szCs w:val="32"/>
          <w:lang w:val="en-US" w:eastAsia="zh-CN"/>
        </w:rPr>
        <w:t>25</w:t>
      </w:r>
      <w:r>
        <w:rPr>
          <w:rFonts w:hint="eastAsia" w:ascii="CESI仿宋-GB2312" w:hAnsi="CESI仿宋-GB2312" w:eastAsia="CESI仿宋-GB2312" w:cs="CESI仿宋-GB2312"/>
          <w:b w:val="0"/>
          <w:bCs w:val="0"/>
          <w:sz w:val="32"/>
          <w:szCs w:val="32"/>
        </w:rPr>
        <w:t>万元（大写人民币</w:t>
      </w:r>
      <w:r>
        <w:rPr>
          <w:rFonts w:hint="eastAsia" w:ascii="CESI仿宋-GB2312" w:hAnsi="CESI仿宋-GB2312" w:eastAsia="CESI仿宋-GB2312" w:cs="CESI仿宋-GB2312"/>
          <w:b w:val="0"/>
          <w:bCs w:val="0"/>
          <w:sz w:val="32"/>
          <w:szCs w:val="32"/>
          <w:lang w:eastAsia="zh-CN"/>
        </w:rPr>
        <w:t>贰拾</w:t>
      </w:r>
      <w:r>
        <w:rPr>
          <w:rFonts w:hint="eastAsia" w:ascii="CESI仿宋-GB2312" w:hAnsi="CESI仿宋-GB2312" w:eastAsia="CESI仿宋-GB2312" w:cs="CESI仿宋-GB2312"/>
          <w:b w:val="0"/>
          <w:bCs w:val="0"/>
          <w:sz w:val="32"/>
          <w:szCs w:val="32"/>
          <w:lang w:val="en-US" w:eastAsia="zh-CN"/>
        </w:rPr>
        <w:t>伍</w:t>
      </w:r>
      <w:r>
        <w:rPr>
          <w:rFonts w:hint="eastAsia" w:ascii="CESI仿宋-GB2312" w:hAnsi="CESI仿宋-GB2312" w:eastAsia="CESI仿宋-GB2312" w:cs="CESI仿宋-GB2312"/>
          <w:b w:val="0"/>
          <w:bCs w:val="0"/>
          <w:sz w:val="32"/>
          <w:szCs w:val="32"/>
        </w:rPr>
        <w:t>万元整）。报价应低于该预算金额，采购小组认为投标人的报价明显低于其他通过符合性审查投标人的报价，有可能影响服务质量或者不能诚信履约的，应当要求其在评标现场合理的时间内提供书面说明，必要时提交相关证明材料；投标人不能证明其报价合理性的，采购小组应当将其作为无效投标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五）推荐候选人名单和满足开标条件的数量：该项目中标候选人的数量设置为1名，采购小组将按评标总得分由高到低的排名顺序，推荐第1名投标人为中标候选人。该项目满足开标条件的投标人数量设置为不少于3家，开标前的投标人数量或经过采购小组对投标文件进行资格性、符合性审查少于此要求的，将予以废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（六）评标定标方法：根据《政府</w:t>
      </w:r>
      <w:r>
        <w:rPr>
          <w:rFonts w:hint="eastAsia" w:ascii="CESI仿宋-GB2312" w:hAnsi="CESI仿宋-GB2312" w:eastAsia="CESI仿宋-GB2312" w:cs="CESI仿宋-GB2312"/>
          <w:sz w:val="32"/>
          <w:szCs w:val="32"/>
        </w:rPr>
        <w:t>采购货物</w:t>
      </w:r>
      <w:r>
        <w:rPr>
          <w:rFonts w:hint="eastAsia" w:ascii="CESI仿宋-GB2312" w:hAnsi="CESI仿宋-GB2312" w:eastAsia="CESI仿宋-GB2312" w:cs="CESI仿宋-GB2312"/>
          <w:sz w:val="32"/>
          <w:szCs w:val="32"/>
          <w:lang w:eastAsia="zh-CN"/>
        </w:rPr>
        <w:t>和</w:t>
      </w:r>
      <w:r>
        <w:rPr>
          <w:rFonts w:hint="eastAsia" w:ascii="CESI仿宋-GB2312" w:hAnsi="CESI仿宋-GB2312" w:eastAsia="CESI仿宋-GB2312" w:cs="CESI仿宋-GB2312"/>
          <w:sz w:val="32"/>
          <w:szCs w:val="32"/>
        </w:rPr>
        <w:t>服务招标投标管理办法》（财政部令第87号）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《碧岭街道办事处政府采购管理办法（修订）》（坪碧发﹝2021﹞3号</w:t>
      </w:r>
      <w:r>
        <w:rPr>
          <w:rFonts w:hint="eastAsia" w:ascii="CESI仿宋-GB2312" w:hAnsi="CESI仿宋-GB2312" w:eastAsia="CESI仿宋-GB2312" w:cs="CESI仿宋-GB2312"/>
          <w:sz w:val="32"/>
          <w:szCs w:val="32"/>
          <w:lang w:eastAsia="zh-CN"/>
        </w:rPr>
        <w:t>）、《碧岭街道办事处土地整备采购管理办法（</w:t>
      </w:r>
      <w:r>
        <w:rPr>
          <w:rFonts w:hint="eastAsia" w:ascii="CESI仿宋-GB2312" w:hAnsi="CESI仿宋-GB2312" w:eastAsia="CESI仿宋-GB2312" w:cs="CESI仿宋-GB2312"/>
          <w:sz w:val="32"/>
          <w:szCs w:val="32"/>
          <w:lang w:val="en-US" w:eastAsia="zh-CN"/>
        </w:rPr>
        <w:t>2023</w:t>
      </w:r>
      <w:r>
        <w:rPr>
          <w:rFonts w:hint="eastAsia" w:ascii="CESI仿宋-GB2312" w:hAnsi="CESI仿宋-GB2312" w:eastAsia="CESI仿宋-GB2312" w:cs="CESI仿宋-GB2312"/>
          <w:sz w:val="32"/>
          <w:szCs w:val="32"/>
          <w:lang w:eastAsia="zh-CN"/>
        </w:rPr>
        <w:t>修正）》</w:t>
      </w:r>
      <w:r>
        <w:rPr>
          <w:rFonts w:hint="eastAsia" w:ascii="CESI仿宋-GB2312" w:hAnsi="CESI仿宋-GB2312" w:eastAsia="CESI仿宋-GB2312" w:cs="CESI仿宋-GB2312"/>
          <w:sz w:val="32"/>
          <w:szCs w:val="32"/>
        </w:rPr>
        <w:t>（坪碧发﹝202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的有关规定，采购小组按照综合评分法原则，将投标人的得分进行由高到低排序，确定候选中标人。</w:t>
      </w:r>
    </w:p>
    <w:p>
      <w:pPr>
        <w:keepNext w:val="0"/>
        <w:keepLines w:val="0"/>
        <w:pageBreakBefore w:val="0"/>
        <w:tabs>
          <w:tab w:val="left" w:pos="696"/>
        </w:tabs>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二、采购服务内容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按照采购单位的要求，</w:t>
      </w:r>
      <w:r>
        <w:rPr>
          <w:rFonts w:hint="eastAsia" w:ascii="仿宋" w:hAnsi="仿宋" w:eastAsia="仿宋" w:cs="CESI仿宋-GB2312"/>
          <w:sz w:val="32"/>
          <w:szCs w:val="32"/>
        </w:rPr>
        <w:t>协助</w:t>
      </w:r>
      <w:r>
        <w:rPr>
          <w:rFonts w:hint="eastAsia" w:ascii="仿宋" w:hAnsi="仿宋" w:eastAsia="仿宋" w:cs="CESI仿宋-GB2312"/>
          <w:sz w:val="32"/>
          <w:szCs w:val="32"/>
          <w:lang w:eastAsia="zh-CN"/>
        </w:rPr>
        <w:t>坪山区碧岭街道公共事务中心城市更新和土地整备部</w:t>
      </w:r>
      <w:r>
        <w:rPr>
          <w:rFonts w:hint="eastAsia" w:ascii="仿宋" w:hAnsi="仿宋" w:eastAsia="仿宋" w:cs="CESI仿宋-GB2312"/>
          <w:sz w:val="32"/>
          <w:szCs w:val="32"/>
        </w:rPr>
        <w:t>开展</w:t>
      </w:r>
      <w:r>
        <w:rPr>
          <w:rFonts w:hint="eastAsia" w:ascii="仿宋" w:hAnsi="仿宋" w:eastAsia="仿宋" w:cs="CESI仿宋-GB2312"/>
          <w:sz w:val="32"/>
          <w:szCs w:val="32"/>
          <w:lang w:val="en-US" w:eastAsia="zh-CN"/>
        </w:rPr>
        <w:t>项目及业务管理</w:t>
      </w:r>
      <w:r>
        <w:rPr>
          <w:rFonts w:hint="eastAsia" w:ascii="仿宋" w:hAnsi="仿宋" w:eastAsia="仿宋" w:cs="CESI仿宋-GB2312"/>
          <w:sz w:val="32"/>
          <w:szCs w:val="32"/>
        </w:rPr>
        <w:t>等工作</w:t>
      </w:r>
      <w:r>
        <w:rPr>
          <w:rFonts w:hint="eastAsia" w:ascii="仿宋" w:hAnsi="仿宋" w:eastAsia="仿宋" w:cs="CESI仿宋-GB2312"/>
          <w:sz w:val="32"/>
          <w:szCs w:val="32"/>
          <w:lang w:eastAsia="zh-CN"/>
        </w:rPr>
        <w:t>，</w:t>
      </w:r>
      <w:r>
        <w:rPr>
          <w:rFonts w:hint="eastAsia" w:ascii="仿宋" w:hAnsi="仿宋" w:eastAsia="仿宋" w:cs="CESI仿宋-GB2312"/>
          <w:sz w:val="32"/>
          <w:szCs w:val="32"/>
          <w:lang w:val="en-US" w:eastAsia="zh-CN"/>
        </w:rPr>
        <w:t>具体包括：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（一）协助开展征收拆迁一般事务性工作。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（二）协助开展征收项目测绘、确权、评估工作。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（三）协助业主的各项补偿和房屋拆迁、过渡、住房安置及产权申报的相关工作。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（四）协助相关文件的装订、传递及签收，协助征拆工作文件装订和存档，完成相关报表的统计和上报。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（五）协助处理采购单位上会议题申报、制作，会议的通知及其他综合事务。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CESI仿宋-GB2312"/>
          <w:sz w:val="32"/>
          <w:szCs w:val="32"/>
          <w:lang w:val="en-US" w:eastAsia="zh-CN"/>
        </w:rPr>
      </w:pPr>
      <w:r>
        <w:rPr>
          <w:rFonts w:hint="eastAsia" w:ascii="仿宋" w:hAnsi="仿宋" w:eastAsia="仿宋" w:cs="CESI仿宋-GB2312"/>
          <w:sz w:val="32"/>
          <w:szCs w:val="32"/>
          <w:lang w:val="en-US" w:eastAsia="zh-CN"/>
        </w:rPr>
        <w:t>（六）完成采购单位安排的其他工作。</w:t>
      </w:r>
    </w:p>
    <w:p>
      <w:pPr>
        <w:keepNext w:val="0"/>
        <w:keepLines w:val="0"/>
        <w:pageBreakBefore w:val="0"/>
        <w:tabs>
          <w:tab w:val="left" w:pos="696"/>
        </w:tabs>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三、采购工作内容及要求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lang w:val="en-US" w:eastAsia="zh-CN"/>
        </w:rPr>
        <w:t>结合实际，提供优质的综合事务服务。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2.提供的综合事务服务应当严格遵守法律法规且符合国家、省、市、区的相关法律法规及政策性规定。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3.应及时完成采购单位交办的工作内容，避免拖延。</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highlight w:val="none"/>
          <w:lang w:val="en-US" w:eastAsia="zh-CN"/>
        </w:rPr>
      </w:pPr>
      <w:r>
        <w:rPr>
          <w:rFonts w:hint="eastAsia" w:ascii="CESI仿宋-GB2312" w:hAnsi="CESI仿宋-GB2312" w:eastAsia="CESI仿宋-GB2312" w:cs="CESI仿宋-GB2312"/>
          <w:b w:val="0"/>
          <w:bCs w:val="0"/>
          <w:sz w:val="32"/>
          <w:szCs w:val="32"/>
          <w:highlight w:val="none"/>
          <w:lang w:val="en-US" w:eastAsia="zh-CN"/>
        </w:rPr>
        <w:t>4.为保障项目进度，服务质量，中标方需配备若干大专及以上学历的服务人员，专项负责采购单位交办的工作。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5.为采购单位提供征收拆迁服务的服务人员应遵守采购单位工作纪律，服从工作安排，且不得泄露工作中接触的采购单位及第三方的秘密。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6.服务人员的住宿由中标单位自行解决。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7.服务人员需无条件服从采购单位的工作管理安排，遵守采购单位制定的考勤制度。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sz w:val="32"/>
          <w:szCs w:val="32"/>
        </w:rPr>
        <w:t>）项目其他要求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中标单位擅自将服务合同转包第三方将被终止合同，经济损失和法律责任由中标单位承担</w:t>
      </w:r>
      <w:r>
        <w:rPr>
          <w:rFonts w:hint="eastAsia" w:ascii="CESI仿宋-GB2312" w:hAnsi="CESI仿宋-GB2312" w:eastAsia="CESI仿宋-GB2312" w:cs="CESI仿宋-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rPr>
        <w:t>2.有弄虚作假及其他不当行为的，将终止合同，经济损失和法律责任由中标单位承担</w:t>
      </w:r>
      <w:r>
        <w:rPr>
          <w:rFonts w:hint="eastAsia" w:ascii="CESI仿宋-GB2312" w:hAnsi="CESI仿宋-GB2312" w:eastAsia="CESI仿宋-GB2312" w:cs="CESI仿宋-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3.违反劳动法或其他相关法律法规，造成恶劣影响的，将终止合同，经济损失和法律责任由中标单位承担。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三</w:t>
      </w:r>
      <w:r>
        <w:rPr>
          <w:rFonts w:hint="eastAsia" w:ascii="方正楷体_GBK" w:hAnsi="方正楷体_GBK" w:eastAsia="方正楷体_GBK" w:cs="方正楷体_GBK"/>
          <w:b w:val="0"/>
          <w:bCs w:val="0"/>
          <w:sz w:val="32"/>
          <w:szCs w:val="32"/>
        </w:rPr>
        <w:t>）管理及责任承担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供应商有下列行为之一的，将取消其供应商资格：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1.弄虚作假、隐瞒真实情况骗取入围供应商资格的。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2.因行贿、受贿、串通投标、转包、挂靠受到处罚的。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3.中标后无正当理由不与采购单位签订合同的。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4.擅自变更或者</w:t>
      </w:r>
      <w:r>
        <w:rPr>
          <w:rFonts w:hint="eastAsia" w:ascii="CESI仿宋-GB2312" w:hAnsi="CESI仿宋-GB2312" w:eastAsia="CESI仿宋-GB2312" w:cs="CESI仿宋-GB2312"/>
          <w:b w:val="0"/>
          <w:bCs w:val="0"/>
          <w:sz w:val="32"/>
          <w:szCs w:val="32"/>
          <w:lang w:eastAsia="zh-CN"/>
        </w:rPr>
        <w:t>终止</w:t>
      </w:r>
      <w:r>
        <w:rPr>
          <w:rFonts w:hint="eastAsia" w:ascii="CESI仿宋-GB2312" w:hAnsi="CESI仿宋-GB2312" w:eastAsia="CESI仿宋-GB2312" w:cs="CESI仿宋-GB2312"/>
          <w:b w:val="0"/>
          <w:bCs w:val="0"/>
          <w:sz w:val="32"/>
          <w:szCs w:val="32"/>
        </w:rPr>
        <w:t>服务合同的。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5.拖欠工人工资，经劳动或其他政府部门催告或通报仍不清偿的。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6.拒绝有关部门检查或者不如实反映情况、提供材料的。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7.不按采购需求、投标文件以及服务合同要求全面真实履约，履约情况评价不合格的。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8.因其公司资质降低达不到供应商资质条件的。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9.</w:t>
      </w:r>
      <w:r>
        <w:rPr>
          <w:rFonts w:hint="default" w:ascii="CESI仿宋-GB2312" w:hAnsi="CESI仿宋-GB2312" w:eastAsia="CESI仿宋-GB2312" w:cs="CESI仿宋-GB2312"/>
          <w:b w:val="0"/>
          <w:bCs w:val="0"/>
          <w:sz w:val="32"/>
          <w:szCs w:val="32"/>
          <w:lang w:val="en"/>
        </w:rPr>
        <w:t>其他</w:t>
      </w:r>
      <w:r>
        <w:rPr>
          <w:rFonts w:hint="eastAsia" w:ascii="CESI仿宋-GB2312" w:hAnsi="CESI仿宋-GB2312" w:eastAsia="CESI仿宋-GB2312" w:cs="CESI仿宋-GB2312"/>
          <w:b w:val="0"/>
          <w:bCs w:val="0"/>
          <w:sz w:val="32"/>
          <w:szCs w:val="32"/>
        </w:rPr>
        <w:t>造成严重后果或恶劣影响的行为。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四</w:t>
      </w:r>
      <w:r>
        <w:rPr>
          <w:rFonts w:hint="eastAsia" w:ascii="方正楷体_GBK" w:hAnsi="方正楷体_GBK" w:eastAsia="方正楷体_GBK" w:cs="方正楷体_GBK"/>
          <w:b w:val="0"/>
          <w:bCs w:val="0"/>
          <w:sz w:val="32"/>
          <w:szCs w:val="32"/>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本项目预算金额为25万元，投标报价以人民币报价，投标人报价应包括服务成本、法定税费和企业利润等费用。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五</w:t>
      </w:r>
      <w:r>
        <w:rPr>
          <w:rFonts w:hint="eastAsia" w:ascii="方正楷体_GBK" w:hAnsi="方正楷体_GBK" w:eastAsia="方正楷体_GBK" w:cs="方正楷体_GBK"/>
          <w:b w:val="0"/>
          <w:bCs w:val="0"/>
          <w:sz w:val="32"/>
          <w:szCs w:val="32"/>
        </w:rPr>
        <w:t>）投标人资格要求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符合《中华人民共和国政府采购法》第二十一条和第二十二条</w:t>
      </w:r>
      <w:r>
        <w:rPr>
          <w:rFonts w:hint="eastAsia" w:ascii="CESI仿宋-GB2312" w:hAnsi="CESI仿宋-GB2312" w:eastAsia="CESI仿宋-GB2312" w:cs="CESI仿宋-GB2312"/>
          <w:sz w:val="32"/>
          <w:szCs w:val="32"/>
          <w:lang w:val="en-US" w:eastAsia="zh-CN"/>
        </w:rPr>
        <w:t>的规定</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符合《中华人民共和国政府采购法实施条例》第十八条和</w:t>
      </w:r>
      <w:r>
        <w:rPr>
          <w:rFonts w:hint="eastAsia" w:ascii="CESI仿宋-GB2312" w:hAnsi="CESI仿宋-GB2312" w:eastAsia="CESI仿宋-GB2312" w:cs="CESI仿宋-GB2312"/>
          <w:sz w:val="32"/>
          <w:szCs w:val="32"/>
          <w:lang w:val="en-US" w:eastAsia="zh-CN"/>
        </w:rPr>
        <w:t>第</w:t>
      </w:r>
      <w:r>
        <w:rPr>
          <w:rFonts w:hint="eastAsia" w:ascii="CESI仿宋-GB2312" w:hAnsi="CESI仿宋-GB2312" w:eastAsia="CESI仿宋-GB2312" w:cs="CESI仿宋-GB2312"/>
          <w:sz w:val="32"/>
          <w:szCs w:val="32"/>
        </w:rPr>
        <w:t>二十二条的规定</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投标单位声明在参与政府采购活动前三年未有重大违法记录、没有不良信用记录、无行贿犯罪记录，并按照采购文件要求提供了相关证明材料（提供书面声明函，格式自拟）</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投标单位必须是在中华人民共和国境内注册的法人企业，必须持有合法有效的营业执照。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六</w:t>
      </w:r>
      <w:r>
        <w:rPr>
          <w:rFonts w:hint="eastAsia" w:ascii="方正楷体_GBK" w:hAnsi="方正楷体_GBK" w:eastAsia="方正楷体_GBK" w:cs="方正楷体_GBK"/>
          <w:b w:val="0"/>
          <w:bCs w:val="0"/>
          <w:sz w:val="32"/>
          <w:szCs w:val="32"/>
        </w:rPr>
        <w:t>）服务期限</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自合同签订之日起一年，具体约定以合同为准。</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评标细则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本次采用综合评分法进行评审，采购小组将对各投标单位的投标方案、各项报价、综合实力等方面进行综合评审，对实质上响应招标文件的投标单位，由评委进行综合打分（结算结果按四舍五入取小数点后二位）。具体评分细则详见下表：</w:t>
      </w:r>
    </w:p>
    <w:tbl>
      <w:tblPr>
        <w:tblStyle w:val="17"/>
        <w:tblW w:w="930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53"/>
        <w:gridCol w:w="668"/>
        <w:gridCol w:w="1675"/>
        <w:gridCol w:w="1280"/>
        <w:gridCol w:w="50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3"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362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评分项</w:t>
            </w:r>
          </w:p>
        </w:tc>
        <w:tc>
          <w:tcPr>
            <w:tcW w:w="5025"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eastAsia" w:ascii="Times New Roman" w:hAnsi="Times New Roman" w:cs="Times New Roman" w:eastAsiaTheme="minorEastAsia"/>
                <w:b/>
                <w:bCs/>
                <w:color w:val="auto"/>
                <w:szCs w:val="21"/>
                <w:highlight w:val="none"/>
                <w:lang w:eastAsia="zh-CN"/>
              </w:rPr>
            </w:pPr>
            <w:r>
              <w:rPr>
                <w:rFonts w:hint="eastAsia" w:ascii="Times New Roman" w:hAnsi="Times New Roman" w:cs="Times New Roman"/>
                <w:b/>
                <w:bCs/>
                <w:color w:val="auto"/>
                <w:szCs w:val="21"/>
                <w:highlight w:val="none"/>
                <w:lang w:val="en-US" w:eastAsia="zh-CN"/>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12" w:hRule="atLeast"/>
          <w:jc w:val="center"/>
        </w:trPr>
        <w:tc>
          <w:tcPr>
            <w:tcW w:w="653" w:type="dxa"/>
            <w:vMerge w:val="restart"/>
            <w:tcBorders>
              <w:top w:val="single" w:color="000000" w:sz="8" w:space="0"/>
              <w:left w:val="single" w:color="000000" w:sz="8" w:space="0"/>
              <w:right w:val="single" w:color="000000" w:sz="8" w:space="0"/>
            </w:tcBorders>
            <w:shd w:val="clear" w:color="auto" w:fill="auto"/>
            <w:vAlign w:val="center"/>
          </w:tcPr>
          <w:p>
            <w:pPr>
              <w:tabs>
                <w:tab w:val="left" w:pos="426"/>
              </w:tabs>
              <w:wordWrap w:val="0"/>
              <w:spacing w:after="60"/>
              <w:jc w:val="center"/>
              <w:rPr>
                <w:rFonts w:hint="eastAsia" w:ascii="CESI仿宋-GB2312" w:hAnsi="CESI仿宋-GB2312" w:eastAsia="CESI仿宋-GB2312" w:cs="CESI仿宋-GB2312"/>
                <w:b/>
                <w:bCs/>
                <w:color w:val="auto"/>
                <w:szCs w:val="21"/>
                <w:highlight w:val="none"/>
              </w:rPr>
            </w:pPr>
            <w:r>
              <w:rPr>
                <w:rFonts w:hint="eastAsia" w:ascii="CESI仿宋-GB2312" w:hAnsi="CESI仿宋-GB2312" w:eastAsia="CESI仿宋-GB2312" w:cs="CESI仿宋-GB2312"/>
                <w:b/>
                <w:bCs/>
                <w:color w:val="auto"/>
                <w:szCs w:val="21"/>
                <w:highlight w:val="none"/>
              </w:rPr>
              <w:t>1</w:t>
            </w:r>
          </w:p>
        </w:tc>
        <w:tc>
          <w:tcPr>
            <w:tcW w:w="3623" w:type="dxa"/>
            <w:gridSpan w:val="3"/>
            <w:vMerge w:val="restart"/>
            <w:tcBorders>
              <w:top w:val="single" w:color="000000" w:sz="8" w:space="0"/>
              <w:left w:val="single" w:color="000000" w:sz="8" w:space="0"/>
              <w:right w:val="single" w:color="000000" w:sz="8" w:space="0"/>
            </w:tcBorders>
            <w:shd w:val="clear" w:color="auto" w:fill="auto"/>
            <w:vAlign w:val="center"/>
          </w:tcPr>
          <w:p>
            <w:pPr>
              <w:tabs>
                <w:tab w:val="left" w:pos="426"/>
              </w:tabs>
              <w:wordWrap w:val="0"/>
              <w:spacing w:after="60"/>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价格</w:t>
            </w:r>
          </w:p>
        </w:tc>
        <w:tc>
          <w:tcPr>
            <w:tcW w:w="5025"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3" w:type="dxa"/>
            <w:vMerge w:val="continue"/>
            <w:tcBorders>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eastAsia" w:ascii="CESI仿宋-GB2312" w:hAnsi="CESI仿宋-GB2312" w:eastAsia="CESI仿宋-GB2312" w:cs="CESI仿宋-GB2312"/>
                <w:b/>
                <w:bCs/>
                <w:color w:val="auto"/>
                <w:szCs w:val="21"/>
                <w:highlight w:val="none"/>
              </w:rPr>
            </w:pPr>
          </w:p>
        </w:tc>
        <w:tc>
          <w:tcPr>
            <w:tcW w:w="3623" w:type="dxa"/>
            <w:gridSpan w:val="3"/>
            <w:vMerge w:val="continue"/>
            <w:tcBorders>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eastAsia" w:asciiTheme="minorEastAsia" w:hAnsiTheme="minorEastAsia" w:eastAsiaTheme="minorEastAsia" w:cstheme="minorEastAsia"/>
                <w:b/>
                <w:bCs/>
                <w:color w:val="auto"/>
                <w:szCs w:val="21"/>
                <w:highlight w:val="none"/>
              </w:rPr>
            </w:pPr>
          </w:p>
        </w:tc>
        <w:tc>
          <w:tcPr>
            <w:tcW w:w="50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tabs>
                <w:tab w:val="left" w:pos="426"/>
              </w:tabs>
              <w:kinsoku/>
              <w:wordWrap w:val="0"/>
              <w:overflowPunct/>
              <w:topLinePunct w:val="0"/>
              <w:autoSpaceDE/>
              <w:autoSpaceDN/>
              <w:bidi w:val="0"/>
              <w:adjustRightInd/>
              <w:snapToGrid/>
              <w:spacing w:after="60"/>
              <w:jc w:val="both"/>
              <w:textAlignment w:val="auto"/>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根据《政府采购促进中小企业发展管理办法》（财库〔2020〕46号），服务由中小企业承接的，即提供服务的人员为中小企业依照《中华人民共和国劳动合同法》订立劳动合同的从业人员，可享受本办法规定的中小企业扶持政策。</w:t>
            </w:r>
          </w:p>
          <w:p>
            <w:pPr>
              <w:keepNext w:val="0"/>
              <w:keepLines w:val="0"/>
              <w:pageBreakBefore w:val="0"/>
              <w:widowControl w:val="0"/>
              <w:tabs>
                <w:tab w:val="left" w:pos="426"/>
              </w:tabs>
              <w:kinsoku/>
              <w:wordWrap w:val="0"/>
              <w:overflowPunct/>
              <w:topLinePunct w:val="0"/>
              <w:autoSpaceDE/>
              <w:autoSpaceDN/>
              <w:bidi w:val="0"/>
              <w:adjustRightInd/>
              <w:snapToGrid/>
              <w:spacing w:after="60"/>
              <w:jc w:val="both"/>
              <w:textAlignment w:val="auto"/>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（1）服务由小微企业承接的，可享受对其投标报价扣除10%的价格评审优惠，用扣除后的价格参加评审。</w:t>
            </w:r>
          </w:p>
          <w:p>
            <w:pPr>
              <w:keepNext w:val="0"/>
              <w:keepLines w:val="0"/>
              <w:pageBreakBefore w:val="0"/>
              <w:widowControl w:val="0"/>
              <w:tabs>
                <w:tab w:val="left" w:pos="426"/>
              </w:tabs>
              <w:kinsoku/>
              <w:wordWrap w:val="0"/>
              <w:overflowPunct/>
              <w:topLinePunct w:val="0"/>
              <w:autoSpaceDE/>
              <w:autoSpaceDN/>
              <w:bidi w:val="0"/>
              <w:adjustRightInd/>
              <w:snapToGrid/>
              <w:spacing w:after="60"/>
              <w:jc w:val="both"/>
              <w:textAlignment w:val="auto"/>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（2）监狱企业、残疾人福利性单位视为小微企业，享受扶持政策。</w:t>
            </w:r>
          </w:p>
          <w:p>
            <w:pPr>
              <w:keepNext w:val="0"/>
              <w:keepLines w:val="0"/>
              <w:pageBreakBefore w:val="0"/>
              <w:widowControl w:val="0"/>
              <w:tabs>
                <w:tab w:val="left" w:pos="426"/>
              </w:tabs>
              <w:kinsoku/>
              <w:wordWrap w:val="0"/>
              <w:overflowPunct/>
              <w:topLinePunct w:val="0"/>
              <w:autoSpaceDE/>
              <w:autoSpaceDN/>
              <w:bidi w:val="0"/>
              <w:adjustRightInd/>
              <w:snapToGrid/>
              <w:spacing w:after="60"/>
              <w:jc w:val="both"/>
              <w:textAlignment w:val="auto"/>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3）享受中小企业扶持政策的供应商应如实填写《中小企业声明函》《残疾人福利性单位声明函》《监狱企业声明函》等承诺性质的资料（声明函样式见本招标文件第三部分“格式及附件”中第二章节提供的格式）；监狱企业或者代理提供监狱企业货物的供应商如</w:t>
            </w:r>
            <w:r>
              <w:rPr>
                <w:rFonts w:hint="eastAsia" w:asciiTheme="minorEastAsia" w:hAnsiTheme="minorEastAsia" w:cstheme="minorEastAsia"/>
                <w:b w:val="0"/>
                <w:bCs w:val="0"/>
                <w:color w:val="auto"/>
                <w:szCs w:val="21"/>
                <w:highlight w:val="none"/>
                <w:lang w:val="en-US" w:eastAsia="zh-CN"/>
              </w:rPr>
              <w:t>需</w:t>
            </w:r>
            <w:r>
              <w:rPr>
                <w:rFonts w:hint="eastAsia" w:asciiTheme="minorEastAsia" w:hAnsiTheme="minorEastAsia" w:eastAsiaTheme="minorEastAsia" w:cstheme="minorEastAsia"/>
                <w:b w:val="0"/>
                <w:bCs w:val="0"/>
                <w:color w:val="auto"/>
                <w:szCs w:val="21"/>
                <w:highlight w:val="none"/>
                <w:lang w:val="en-US" w:eastAsia="zh-CN"/>
              </w:rPr>
              <w:t>享受中小企业扶持政策的，除上述资料外，还须提供省级以上监狱管理局、戒毒管理局（含新疆生产建设兵团）出具的监狱企业证明文件。</w:t>
            </w:r>
          </w:p>
          <w:p>
            <w:pPr>
              <w:keepNext w:val="0"/>
              <w:keepLines w:val="0"/>
              <w:pageBreakBefore w:val="0"/>
              <w:widowControl w:val="0"/>
              <w:tabs>
                <w:tab w:val="left" w:pos="426"/>
              </w:tabs>
              <w:kinsoku/>
              <w:wordWrap w:val="0"/>
              <w:overflowPunct/>
              <w:topLinePunct w:val="0"/>
              <w:autoSpaceDE/>
              <w:autoSpaceDN/>
              <w:bidi w:val="0"/>
              <w:adjustRightInd/>
              <w:snapToGrid/>
              <w:spacing w:after="60"/>
              <w:jc w:val="both"/>
              <w:textAlignment w:val="auto"/>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（4）供应商不重复享受多项价格评审优惠政策。</w:t>
            </w:r>
          </w:p>
          <w:p>
            <w:pPr>
              <w:keepNext w:val="0"/>
              <w:keepLines w:val="0"/>
              <w:pageBreakBefore w:val="0"/>
              <w:widowControl w:val="0"/>
              <w:tabs>
                <w:tab w:val="left" w:pos="426"/>
              </w:tabs>
              <w:kinsoku/>
              <w:wordWrap w:val="0"/>
              <w:overflowPunct/>
              <w:topLinePunct w:val="0"/>
              <w:autoSpaceDE/>
              <w:autoSpaceDN/>
              <w:bidi w:val="0"/>
              <w:adjustRightInd/>
              <w:snapToGrid/>
              <w:spacing w:after="60"/>
              <w:jc w:val="both"/>
              <w:textAlignment w:val="auto"/>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相关中小企业扶持政策具体以《政府采购促进中小企业发展管理办法》（财库〔2020〕46号）等最新规定为准。</w:t>
            </w:r>
          </w:p>
          <w:p>
            <w:pPr>
              <w:keepNext w:val="0"/>
              <w:keepLines w:val="0"/>
              <w:pageBreakBefore w:val="0"/>
              <w:widowControl w:val="0"/>
              <w:tabs>
                <w:tab w:val="left" w:pos="426"/>
              </w:tabs>
              <w:kinsoku/>
              <w:wordWrap w:val="0"/>
              <w:overflowPunct/>
              <w:topLinePunct w:val="0"/>
              <w:autoSpaceDE/>
              <w:autoSpaceDN/>
              <w:bidi w:val="0"/>
              <w:adjustRightInd/>
              <w:snapToGrid/>
              <w:spacing w:after="60"/>
              <w:jc w:val="both"/>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价格分计算方法：采用低价优先法计算，即满足招标文件要求且投标价格最低的投标报价为评标基准价，其价格分为满分。其他投标人的价格分统一按照下列公式计算：投标报价得分=</w:t>
            </w:r>
            <w:r>
              <w:rPr>
                <w:rFonts w:hint="eastAsia" w:asciiTheme="minorEastAsia" w:hAnsi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lang w:val="en-US" w:eastAsia="zh-CN"/>
              </w:rPr>
              <w:t>评标基准价／投标报价</w:t>
            </w:r>
            <w:r>
              <w:rPr>
                <w:rFonts w:hint="eastAsia" w:asciiTheme="minorEastAsia" w:hAnsi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w:t>
            </w:r>
          </w:p>
        </w:tc>
        <w:tc>
          <w:tcPr>
            <w:tcW w:w="362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技术部分</w:t>
            </w:r>
          </w:p>
        </w:tc>
        <w:tc>
          <w:tcPr>
            <w:tcW w:w="5025"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3" w:type="dxa"/>
            <w:vMerge w:val="continue"/>
            <w:tcBorders>
              <w:left w:val="single" w:color="000000" w:sz="8" w:space="0"/>
              <w:right w:val="single" w:color="000000" w:sz="8" w:space="0"/>
            </w:tcBorders>
            <w:shd w:val="clear" w:color="auto" w:fill="auto"/>
            <w:vAlign w:val="center"/>
          </w:tcPr>
          <w:p>
            <w:pPr>
              <w:tabs>
                <w:tab w:val="left" w:pos="426"/>
              </w:tabs>
              <w:spacing w:after="60"/>
              <w:jc w:val="center"/>
              <w:rPr>
                <w:rFonts w:hint="default" w:ascii="Times New Roman" w:hAnsi="Times New Roman" w:cs="Times New Roman"/>
                <w:b/>
                <w:bCs/>
                <w:color w:val="auto"/>
                <w:szCs w:val="21"/>
                <w:highlight w:val="none"/>
              </w:rPr>
            </w:pPr>
          </w:p>
        </w:tc>
        <w:tc>
          <w:tcPr>
            <w:tcW w:w="668" w:type="dxa"/>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675" w:type="dxa"/>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评分因素</w:t>
            </w:r>
          </w:p>
        </w:tc>
        <w:tc>
          <w:tcPr>
            <w:tcW w:w="1280" w:type="dxa"/>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权重</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w:t>
            </w:r>
          </w:p>
        </w:tc>
        <w:tc>
          <w:tcPr>
            <w:tcW w:w="5025" w:type="dxa"/>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3" w:type="dxa"/>
            <w:vMerge w:val="continue"/>
            <w:tcBorders>
              <w:left w:val="single" w:color="000000" w:sz="8" w:space="0"/>
              <w:right w:val="single" w:color="000000" w:sz="8" w:space="0"/>
            </w:tcBorders>
            <w:shd w:val="clear" w:color="auto" w:fill="auto"/>
            <w:vAlign w:val="center"/>
          </w:tcPr>
          <w:p>
            <w:pPr>
              <w:tabs>
                <w:tab w:val="left" w:pos="426"/>
              </w:tabs>
              <w:spacing w:after="60"/>
              <w:rPr>
                <w:rFonts w:hint="default" w:ascii="Times New Roman" w:hAnsi="Times New Roman" w:cs="Times New Roman"/>
                <w:b/>
                <w:bCs/>
                <w:color w:val="auto"/>
                <w:szCs w:val="21"/>
                <w:highlight w:val="none"/>
              </w:rPr>
            </w:pPr>
          </w:p>
        </w:tc>
        <w:tc>
          <w:tcPr>
            <w:tcW w:w="66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napToGrid w:val="0"/>
              <w:spacing w:line="360" w:lineRule="auto"/>
              <w:jc w:val="center"/>
              <w:rPr>
                <w:rFonts w:hint="default" w:ascii="Times New Roman" w:hAnsi="Times New Roman" w:cs="Times New Roman"/>
                <w:color w:val="auto"/>
                <w:szCs w:val="21"/>
                <w:highlight w:val="none"/>
              </w:rPr>
            </w:pPr>
            <w:r>
              <w:rPr>
                <w:rFonts w:hint="eastAsia" w:ascii="宋体" w:hAnsi="宋体" w:cs="宋体"/>
                <w:color w:val="000000"/>
                <w:kern w:val="0"/>
                <w:szCs w:val="21"/>
              </w:rPr>
              <w:t>1</w:t>
            </w:r>
          </w:p>
        </w:tc>
        <w:tc>
          <w:tcPr>
            <w:tcW w:w="1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napToGrid w:val="0"/>
              <w:spacing w:line="360" w:lineRule="auto"/>
              <w:jc w:val="center"/>
              <w:rPr>
                <w:rFonts w:hint="default" w:ascii="Times New Roman" w:hAnsi="Times New Roman" w:cs="Times New Roman" w:eastAsiaTheme="minorEastAsia"/>
                <w:color w:val="auto"/>
                <w:szCs w:val="21"/>
                <w:highlight w:val="none"/>
                <w:lang w:val="en-US" w:eastAsia="zh-CN"/>
              </w:rPr>
            </w:pPr>
            <w:r>
              <w:rPr>
                <w:rFonts w:hint="eastAsia" w:ascii="宋体" w:hAnsi="宋体" w:cs="宋体"/>
                <w:color w:val="000000"/>
                <w:kern w:val="0"/>
                <w:szCs w:val="21"/>
                <w:lang w:val="en-US" w:eastAsia="zh-CN"/>
              </w:rPr>
              <w:t>项目服务方案</w:t>
            </w:r>
          </w:p>
        </w:tc>
        <w:tc>
          <w:tcPr>
            <w:tcW w:w="128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napToGrid w:val="0"/>
              <w:spacing w:line="360" w:lineRule="auto"/>
              <w:jc w:val="center"/>
              <w:rPr>
                <w:rFonts w:hint="default" w:ascii="Times New Roman" w:hAnsi="Times New Roman" w:cs="Times New Roman" w:eastAsiaTheme="minorEastAsia"/>
                <w:color w:val="auto"/>
                <w:szCs w:val="21"/>
                <w:highlight w:val="none"/>
                <w:lang w:val="en-US" w:eastAsia="zh-CN"/>
              </w:rPr>
            </w:pPr>
            <w:r>
              <w:rPr>
                <w:rFonts w:hint="eastAsia" w:ascii="宋体" w:hAnsi="宋体" w:cs="宋体"/>
                <w:color w:val="000000"/>
                <w:kern w:val="0"/>
                <w:szCs w:val="21"/>
                <w:lang w:val="en-US" w:eastAsia="zh-CN"/>
              </w:rPr>
              <w:t>15</w:t>
            </w:r>
          </w:p>
        </w:tc>
        <w:tc>
          <w:tcPr>
            <w:tcW w:w="50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auto"/>
              <w:jc w:val="left"/>
              <w:rPr>
                <w:rFonts w:hint="eastAsia" w:ascii="宋体" w:hAnsi="宋体" w:eastAsiaTheme="minorEastAsia" w:cstheme="minorBidi"/>
                <w:color w:val="000000"/>
                <w:sz w:val="21"/>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一</w:t>
            </w:r>
            <w:r>
              <w:rPr>
                <w:rFonts w:hint="eastAsia" w:ascii="宋体" w:hAnsi="宋体"/>
                <w:b/>
                <w:bCs/>
                <w:color w:val="000000"/>
                <w:szCs w:val="21"/>
                <w:lang w:eastAsia="zh-CN"/>
              </w:rPr>
              <w:t>）</w:t>
            </w:r>
            <w:r>
              <w:rPr>
                <w:rFonts w:hint="eastAsia" w:ascii="宋体" w:hAnsi="宋体"/>
                <w:b/>
                <w:bCs/>
                <w:color w:val="000000"/>
                <w:szCs w:val="21"/>
              </w:rPr>
              <w:t>评分内容：</w:t>
            </w:r>
            <w:r>
              <w:rPr>
                <w:rFonts w:hint="eastAsia" w:ascii="宋体" w:hAnsi="宋体"/>
                <w:color w:val="000000"/>
                <w:szCs w:val="21"/>
              </w:rPr>
              <w:t>根据招标文件的需求</w:t>
            </w:r>
            <w:r>
              <w:rPr>
                <w:rFonts w:hint="eastAsia" w:ascii="宋体" w:hAnsi="宋体"/>
                <w:color w:val="000000"/>
                <w:szCs w:val="21"/>
                <w:lang w:val="en-US" w:eastAsia="zh-CN"/>
              </w:rPr>
              <w:t>提供项目服务方案</w:t>
            </w:r>
            <w:r>
              <w:rPr>
                <w:rFonts w:hint="eastAsia" w:ascii="宋体" w:hAnsi="宋体"/>
                <w:color w:val="000000"/>
                <w:szCs w:val="21"/>
              </w:rPr>
              <w:t>，</w:t>
            </w:r>
            <w:r>
              <w:rPr>
                <w:rFonts w:hint="eastAsia" w:ascii="宋体" w:hAnsi="宋体"/>
                <w:color w:val="000000"/>
                <w:szCs w:val="21"/>
                <w:lang w:val="en-US" w:eastAsia="zh-CN"/>
              </w:rPr>
              <w:t>其中</w:t>
            </w:r>
            <w:r>
              <w:rPr>
                <w:rFonts w:hint="eastAsia" w:ascii="宋体" w:hAnsi="宋体"/>
                <w:color w:val="000000"/>
                <w:szCs w:val="21"/>
              </w:rPr>
              <w:t>内容包括</w:t>
            </w:r>
            <w:r>
              <w:rPr>
                <w:rFonts w:hint="eastAsia" w:ascii="宋体" w:hAnsi="宋体" w:eastAsiaTheme="minorEastAsia" w:cstheme="minorBidi"/>
                <w:color w:val="000000"/>
                <w:sz w:val="21"/>
                <w:szCs w:val="21"/>
              </w:rPr>
              <w:t>但不限于：</w:t>
            </w:r>
          </w:p>
          <w:p>
            <w:pPr>
              <w:spacing w:line="240" w:lineRule="auto"/>
              <w:jc w:val="left"/>
              <w:rPr>
                <w:rFonts w:hint="eastAsia" w:ascii="宋体" w:hAnsi="宋体" w:eastAsiaTheme="minorEastAsia" w:cstheme="minorBidi"/>
                <w:color w:val="auto"/>
                <w:sz w:val="21"/>
                <w:szCs w:val="21"/>
                <w:lang w:eastAsia="zh-CN"/>
              </w:rPr>
            </w:pPr>
            <w:r>
              <w:rPr>
                <w:rFonts w:hint="eastAsia" w:ascii="宋体" w:hAnsi="宋体" w:eastAsiaTheme="minorEastAsia" w:cstheme="minorBidi"/>
                <w:color w:val="auto"/>
                <w:sz w:val="21"/>
                <w:szCs w:val="21"/>
              </w:rPr>
              <w:t>1.</w:t>
            </w:r>
            <w:r>
              <w:rPr>
                <w:rFonts w:hint="eastAsia" w:ascii="宋体" w:hAnsi="宋体" w:cstheme="minorBidi"/>
                <w:color w:val="auto"/>
                <w:sz w:val="21"/>
                <w:szCs w:val="21"/>
                <w:lang w:val="en-US" w:eastAsia="zh-CN"/>
              </w:rPr>
              <w:t>本</w:t>
            </w:r>
            <w:r>
              <w:rPr>
                <w:rFonts w:hint="eastAsia" w:ascii="宋体" w:hAnsi="宋体" w:eastAsiaTheme="minorEastAsia" w:cstheme="minorBidi"/>
                <w:color w:val="auto"/>
                <w:sz w:val="21"/>
                <w:szCs w:val="21"/>
              </w:rPr>
              <w:t>项目整体设想及规划</w:t>
            </w:r>
            <w:r>
              <w:rPr>
                <w:rFonts w:hint="eastAsia" w:ascii="宋体" w:hAnsi="宋体" w:cstheme="minorBidi"/>
                <w:color w:val="auto"/>
                <w:sz w:val="21"/>
                <w:szCs w:val="21"/>
                <w:lang w:val="en-US" w:eastAsia="zh-CN"/>
              </w:rPr>
              <w:t>；</w:t>
            </w:r>
          </w:p>
          <w:p>
            <w:pPr>
              <w:snapToGrid/>
              <w:spacing w:line="240" w:lineRule="auto"/>
              <w:jc w:val="left"/>
              <w:rPr>
                <w:rFonts w:hint="eastAsia" w:ascii="宋体" w:hAnsi="宋体" w:cstheme="minorBidi"/>
                <w:color w:val="auto"/>
                <w:sz w:val="21"/>
                <w:szCs w:val="21"/>
                <w:lang w:val="en-US" w:eastAsia="zh-CN"/>
              </w:rPr>
            </w:pPr>
            <w:r>
              <w:rPr>
                <w:rFonts w:hint="eastAsia" w:ascii="宋体" w:hAnsi="宋体" w:eastAsiaTheme="minorEastAsia" w:cstheme="minorBidi"/>
                <w:color w:val="auto"/>
                <w:sz w:val="21"/>
                <w:szCs w:val="21"/>
              </w:rPr>
              <w:t>2.</w:t>
            </w:r>
            <w:r>
              <w:rPr>
                <w:rFonts w:hint="eastAsia" w:ascii="宋体" w:hAnsi="宋体" w:cstheme="minorBidi"/>
                <w:color w:val="auto"/>
                <w:sz w:val="21"/>
                <w:szCs w:val="21"/>
                <w:lang w:val="en-US" w:eastAsia="zh-CN"/>
              </w:rPr>
              <w:t>本项目工作措施；</w:t>
            </w:r>
          </w:p>
          <w:p>
            <w:pPr>
              <w:pStyle w:val="2"/>
              <w:jc w:val="both"/>
              <w:rPr>
                <w:rFonts w:hint="eastAsia"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3.本项目工作方法</w:t>
            </w:r>
            <w:r>
              <w:rPr>
                <w:rFonts w:hint="eastAsia" w:hAnsi="宋体" w:eastAsiaTheme="minorEastAsia" w:cstheme="minorBidi"/>
                <w:color w:val="auto"/>
                <w:kern w:val="2"/>
                <w:sz w:val="21"/>
                <w:szCs w:val="21"/>
                <w:lang w:val="en-US" w:eastAsia="zh-CN" w:bidi="ar-SA"/>
              </w:rPr>
              <w:t>；</w:t>
            </w:r>
          </w:p>
          <w:p>
            <w:pPr>
              <w:rPr>
                <w:rFonts w:hint="default"/>
                <w:color w:val="auto"/>
                <w:lang w:val="en-US" w:eastAsia="zh-CN"/>
              </w:rPr>
            </w:pPr>
            <w:r>
              <w:rPr>
                <w:rFonts w:hint="eastAsia" w:ascii="宋体" w:hAnsi="宋体" w:cstheme="minorBidi"/>
                <w:color w:val="auto"/>
                <w:kern w:val="2"/>
                <w:sz w:val="21"/>
                <w:szCs w:val="21"/>
                <w:lang w:val="en-US" w:eastAsia="zh-CN" w:bidi="ar-SA"/>
              </w:rPr>
              <w:t>4</w:t>
            </w:r>
            <w:r>
              <w:rPr>
                <w:rFonts w:hint="eastAsia" w:ascii="宋体" w:hAnsi="宋体" w:eastAsiaTheme="minorEastAsia" w:cstheme="minorBidi"/>
                <w:color w:val="auto"/>
                <w:kern w:val="2"/>
                <w:sz w:val="21"/>
                <w:szCs w:val="21"/>
                <w:lang w:val="en-US" w:eastAsia="zh-CN" w:bidi="ar-SA"/>
              </w:rPr>
              <w:t>.</w:t>
            </w:r>
            <w:r>
              <w:rPr>
                <w:rFonts w:hint="eastAsia" w:hAnsi="宋体" w:cstheme="minorBidi"/>
                <w:color w:val="auto"/>
                <w:kern w:val="2"/>
                <w:sz w:val="21"/>
                <w:szCs w:val="21"/>
                <w:lang w:val="en-US" w:eastAsia="zh-CN" w:bidi="ar-SA"/>
              </w:rPr>
              <w:t>本项目工作流程。</w:t>
            </w:r>
          </w:p>
          <w:p>
            <w:pPr>
              <w:tabs>
                <w:tab w:val="left" w:pos="312"/>
              </w:tabs>
              <w:spacing w:line="240" w:lineRule="auto"/>
              <w:jc w:val="left"/>
              <w:rPr>
                <w:rFonts w:hint="eastAsia" w:ascii="宋体" w:hAnsi="宋体"/>
                <w:b/>
                <w:bCs/>
                <w:color w:val="000000"/>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二</w:t>
            </w:r>
            <w:r>
              <w:rPr>
                <w:rFonts w:hint="eastAsia" w:ascii="宋体" w:hAnsi="宋体"/>
                <w:b/>
                <w:bCs/>
                <w:color w:val="000000"/>
                <w:szCs w:val="21"/>
                <w:lang w:eastAsia="zh-CN"/>
              </w:rPr>
              <w:t>）</w:t>
            </w:r>
            <w:r>
              <w:rPr>
                <w:rFonts w:hint="eastAsia" w:ascii="宋体" w:hAnsi="宋体"/>
                <w:b/>
                <w:bCs/>
                <w:color w:val="000000"/>
                <w:szCs w:val="21"/>
              </w:rPr>
              <w:t>评分依据：</w:t>
            </w:r>
          </w:p>
          <w:p>
            <w:pPr>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1.提供上述</w:t>
            </w:r>
            <w:r>
              <w:rPr>
                <w:rFonts w:hint="eastAsia" w:ascii="宋体" w:hAnsi="宋体" w:cstheme="minorBidi"/>
                <w:color w:val="000000"/>
                <w:sz w:val="21"/>
                <w:szCs w:val="21"/>
                <w:lang w:val="en-US" w:eastAsia="zh-CN"/>
              </w:rPr>
              <w:t>4</w:t>
            </w:r>
            <w:r>
              <w:rPr>
                <w:rFonts w:hint="eastAsia" w:ascii="宋体" w:hAnsi="宋体" w:eastAsiaTheme="minorEastAsia" w:cstheme="minorBidi"/>
                <w:color w:val="000000"/>
                <w:sz w:val="21"/>
                <w:szCs w:val="21"/>
              </w:rPr>
              <w:t>项内容的得</w:t>
            </w:r>
            <w:r>
              <w:rPr>
                <w:rFonts w:hint="eastAsia" w:ascii="宋体" w:hAnsi="宋体" w:cstheme="minorBidi"/>
                <w:color w:val="000000"/>
                <w:sz w:val="21"/>
                <w:szCs w:val="21"/>
                <w:lang w:val="en-US" w:eastAsia="zh-CN"/>
              </w:rPr>
              <w:t>8</w:t>
            </w:r>
            <w:r>
              <w:rPr>
                <w:rFonts w:hint="eastAsia" w:ascii="宋体" w:hAnsi="宋体" w:eastAsiaTheme="minorEastAsia" w:cstheme="minorBidi"/>
                <w:color w:val="000000"/>
                <w:sz w:val="21"/>
                <w:szCs w:val="21"/>
              </w:rPr>
              <w:t>分；每缺一项扣</w:t>
            </w:r>
            <w:r>
              <w:rPr>
                <w:rFonts w:hint="eastAsia" w:ascii="宋体" w:hAnsi="宋体" w:cstheme="minorBidi"/>
                <w:color w:val="000000"/>
                <w:sz w:val="21"/>
                <w:szCs w:val="21"/>
                <w:lang w:val="en-US" w:eastAsia="zh-CN"/>
              </w:rPr>
              <w:t>2</w:t>
            </w:r>
            <w:r>
              <w:rPr>
                <w:rFonts w:hint="eastAsia" w:ascii="宋体" w:hAnsi="宋体" w:eastAsiaTheme="minorEastAsia" w:cstheme="minorBidi"/>
                <w:color w:val="000000"/>
                <w:sz w:val="21"/>
                <w:szCs w:val="21"/>
              </w:rPr>
              <w:t>分。</w:t>
            </w:r>
          </w:p>
          <w:p>
            <w:pPr>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2.在此基础上，由评审委员进行评价：</w:t>
            </w:r>
          </w:p>
          <w:p>
            <w:pPr>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（1）方案整体科学合理、针对性强、可操作性强，评审为优加</w:t>
            </w:r>
            <w:r>
              <w:rPr>
                <w:rFonts w:hint="eastAsia" w:ascii="宋体" w:hAnsi="宋体" w:cstheme="minorBidi"/>
                <w:color w:val="000000"/>
                <w:sz w:val="21"/>
                <w:szCs w:val="21"/>
                <w:lang w:val="en-US" w:eastAsia="zh-CN"/>
              </w:rPr>
              <w:t>7</w:t>
            </w:r>
            <w:r>
              <w:rPr>
                <w:rFonts w:hint="eastAsia" w:ascii="宋体" w:hAnsi="宋体" w:eastAsiaTheme="minorEastAsia" w:cstheme="minorBidi"/>
                <w:color w:val="000000"/>
                <w:sz w:val="21"/>
                <w:szCs w:val="21"/>
              </w:rPr>
              <w:t>分；</w:t>
            </w:r>
          </w:p>
          <w:p>
            <w:pPr>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（2）方案较合理、有一定针对性、一定可操作性，评审为良加</w:t>
            </w:r>
            <w:r>
              <w:rPr>
                <w:rFonts w:hint="eastAsia" w:ascii="宋体" w:hAnsi="宋体" w:cstheme="minorBidi"/>
                <w:color w:val="000000"/>
                <w:sz w:val="21"/>
                <w:szCs w:val="21"/>
                <w:lang w:val="en-US" w:eastAsia="zh-CN"/>
              </w:rPr>
              <w:t>5</w:t>
            </w:r>
            <w:r>
              <w:rPr>
                <w:rFonts w:hint="eastAsia" w:ascii="宋体" w:hAnsi="宋体" w:eastAsiaTheme="minorEastAsia" w:cstheme="minorBidi"/>
                <w:color w:val="000000"/>
                <w:sz w:val="21"/>
                <w:szCs w:val="21"/>
              </w:rPr>
              <w:t>分；</w:t>
            </w:r>
          </w:p>
          <w:p>
            <w:pPr>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（3）方案不尽合理、针对性一般、可操作性一般，评审为中加</w:t>
            </w:r>
            <w:r>
              <w:rPr>
                <w:rFonts w:hint="eastAsia" w:ascii="宋体" w:hAnsi="宋体" w:eastAsiaTheme="minorEastAsia" w:cstheme="minorBidi"/>
                <w:color w:val="000000"/>
                <w:sz w:val="21"/>
                <w:szCs w:val="21"/>
                <w:lang w:val="en-US" w:eastAsia="zh-CN"/>
              </w:rPr>
              <w:t>3</w:t>
            </w:r>
            <w:r>
              <w:rPr>
                <w:rFonts w:hint="eastAsia" w:ascii="宋体" w:hAnsi="宋体" w:eastAsiaTheme="minorEastAsia" w:cstheme="minorBidi"/>
                <w:color w:val="000000"/>
                <w:sz w:val="21"/>
                <w:szCs w:val="21"/>
              </w:rPr>
              <w:t>分；</w:t>
            </w:r>
          </w:p>
          <w:p>
            <w:pPr>
              <w:tabs>
                <w:tab w:val="left" w:pos="426"/>
              </w:tabs>
              <w:spacing w:line="240" w:lineRule="auto"/>
              <w:rPr>
                <w:rFonts w:hint="default" w:ascii="Times New Roman" w:hAnsi="Times New Roman" w:cs="Times New Roman"/>
                <w:color w:val="auto"/>
                <w:sz w:val="21"/>
                <w:szCs w:val="21"/>
                <w:highlight w:val="none"/>
              </w:rPr>
            </w:pPr>
            <w:r>
              <w:rPr>
                <w:rFonts w:hint="eastAsia" w:ascii="宋体" w:hAnsi="宋体" w:eastAsiaTheme="minorEastAsia" w:cstheme="minorBidi"/>
                <w:color w:val="000000"/>
                <w:sz w:val="21"/>
                <w:szCs w:val="21"/>
              </w:rPr>
              <w:t>（4）方案不合理、无针对性、无可操作性，评审为差得0。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3" w:type="dxa"/>
            <w:vMerge w:val="continue"/>
            <w:tcBorders>
              <w:left w:val="single" w:color="000000" w:sz="8" w:space="0"/>
              <w:right w:val="single" w:color="000000" w:sz="8" w:space="0"/>
            </w:tcBorders>
            <w:shd w:val="clear" w:color="auto" w:fill="auto"/>
            <w:vAlign w:val="center"/>
          </w:tcPr>
          <w:p>
            <w:pPr>
              <w:tabs>
                <w:tab w:val="left" w:pos="426"/>
              </w:tabs>
              <w:spacing w:after="60"/>
              <w:rPr>
                <w:rFonts w:hint="default" w:ascii="Times New Roman" w:hAnsi="Times New Roman" w:cs="Times New Roman"/>
                <w:b/>
                <w:bCs/>
                <w:color w:val="auto"/>
                <w:szCs w:val="21"/>
                <w:highlight w:val="none"/>
              </w:rPr>
            </w:pPr>
          </w:p>
        </w:tc>
        <w:tc>
          <w:tcPr>
            <w:tcW w:w="66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spacing w:line="360" w:lineRule="auto"/>
              <w:jc w:val="center"/>
              <w:rPr>
                <w:rFonts w:hint="default" w:ascii="Times New Roman" w:hAnsi="Times New Roman" w:cs="Times New Roman"/>
                <w:color w:val="auto"/>
                <w:szCs w:val="21"/>
                <w:highlight w:val="none"/>
                <w:lang w:val="en-US" w:eastAsia="zh-CN"/>
              </w:rPr>
            </w:pPr>
            <w:r>
              <w:rPr>
                <w:rFonts w:hint="eastAsia" w:ascii="宋体" w:hAnsi="宋体" w:cs="宋体"/>
                <w:color w:val="000000"/>
                <w:kern w:val="0"/>
                <w:szCs w:val="21"/>
              </w:rPr>
              <w:t>2</w:t>
            </w:r>
          </w:p>
        </w:tc>
        <w:tc>
          <w:tcPr>
            <w:tcW w:w="16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spacing w:line="240" w:lineRule="auto"/>
              <w:jc w:val="center"/>
              <w:rPr>
                <w:rFonts w:hint="default" w:ascii="Times New Roman" w:hAnsi="Times New Roman" w:cs="Times New Roman"/>
                <w:color w:val="auto"/>
                <w:szCs w:val="21"/>
                <w:highlight w:val="none"/>
              </w:rPr>
            </w:pPr>
            <w:r>
              <w:rPr>
                <w:rFonts w:hint="eastAsia" w:ascii="宋体" w:hAnsi="宋体" w:cs="宋体"/>
                <w:color w:val="000000"/>
                <w:kern w:val="0"/>
                <w:szCs w:val="21"/>
              </w:rPr>
              <w:t>项目重点难点分析、应对措施及相关的合理化建议</w:t>
            </w:r>
          </w:p>
        </w:tc>
        <w:tc>
          <w:tcPr>
            <w:tcW w:w="12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spacing w:line="360" w:lineRule="auto"/>
              <w:jc w:val="center"/>
              <w:rPr>
                <w:rFonts w:hint="default" w:ascii="Times New Roman" w:hAnsi="Times New Roman" w:cs="Times New Roman"/>
                <w:color w:val="auto"/>
                <w:szCs w:val="21"/>
                <w:highlight w:val="none"/>
                <w:lang w:val="en-US" w:eastAsia="zh-CN" w:bidi="ar"/>
              </w:rPr>
            </w:pPr>
            <w:r>
              <w:rPr>
                <w:rFonts w:ascii="宋体" w:hAnsi="宋体" w:cs="宋体"/>
                <w:color w:val="000000"/>
                <w:kern w:val="0"/>
                <w:szCs w:val="21"/>
              </w:rPr>
              <w:t>1</w:t>
            </w:r>
            <w:r>
              <w:rPr>
                <w:rFonts w:hint="eastAsia" w:ascii="宋体" w:hAnsi="宋体" w:cs="宋体"/>
                <w:color w:val="000000"/>
                <w:kern w:val="0"/>
                <w:szCs w:val="21"/>
                <w:lang w:val="en-US" w:eastAsia="zh-CN"/>
              </w:rPr>
              <w:t>0</w:t>
            </w:r>
          </w:p>
        </w:tc>
        <w:tc>
          <w:tcPr>
            <w:tcW w:w="5025"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1"/>
                <w:numId w:val="0"/>
              </w:numPr>
              <w:snapToGrid w:val="0"/>
              <w:spacing w:line="240" w:lineRule="auto"/>
              <w:jc w:val="left"/>
              <w:rPr>
                <w:rFonts w:hint="eastAsia" w:ascii="宋体" w:hAnsi="宋体" w:eastAsiaTheme="minorEastAsia" w:cstheme="minorBidi"/>
                <w:color w:val="000000"/>
                <w:sz w:val="21"/>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一</w:t>
            </w:r>
            <w:r>
              <w:rPr>
                <w:rFonts w:hint="eastAsia" w:ascii="宋体" w:hAnsi="宋体"/>
                <w:b/>
                <w:bCs/>
                <w:color w:val="000000"/>
                <w:szCs w:val="21"/>
                <w:lang w:eastAsia="zh-CN"/>
              </w:rPr>
              <w:t>）</w:t>
            </w:r>
            <w:r>
              <w:rPr>
                <w:rFonts w:hint="eastAsia" w:ascii="宋体" w:hAnsi="宋体"/>
                <w:b/>
                <w:bCs/>
                <w:color w:val="000000"/>
                <w:szCs w:val="21"/>
              </w:rPr>
              <w:t>评分内容：</w:t>
            </w:r>
            <w:r>
              <w:rPr>
                <w:rFonts w:hint="eastAsia" w:ascii="宋体" w:hAnsi="宋体"/>
                <w:color w:val="000000"/>
                <w:szCs w:val="21"/>
              </w:rPr>
              <w:t>根据采购文件的需求</w:t>
            </w:r>
            <w:r>
              <w:rPr>
                <w:rFonts w:ascii="Times New Roman" w:hAnsi="Times New Roman" w:eastAsia="宋体" w:cs="Times New Roman"/>
                <w:szCs w:val="21"/>
              </w:rPr>
              <w:t>提供</w:t>
            </w:r>
            <w:r>
              <w:rPr>
                <w:rFonts w:hint="eastAsia" w:ascii="Times New Roman" w:hAnsi="Times New Roman" w:eastAsia="宋体" w:cs="Times New Roman"/>
                <w:szCs w:val="21"/>
              </w:rPr>
              <w:t>项目重点难点分析、应对措施及相关的合理化建议</w:t>
            </w:r>
            <w:r>
              <w:rPr>
                <w:rFonts w:hint="eastAsia" w:ascii="宋体" w:hAnsi="宋体"/>
                <w:color w:val="000000"/>
                <w:szCs w:val="21"/>
              </w:rPr>
              <w:t>，</w:t>
            </w:r>
            <w:r>
              <w:rPr>
                <w:rFonts w:hint="eastAsia" w:ascii="宋体" w:hAnsi="宋体"/>
                <w:color w:val="000000"/>
                <w:szCs w:val="21"/>
                <w:lang w:val="en-US" w:eastAsia="zh-CN"/>
              </w:rPr>
              <w:t>其中</w:t>
            </w:r>
            <w:r>
              <w:rPr>
                <w:rFonts w:hint="eastAsia" w:ascii="宋体" w:hAnsi="宋体"/>
                <w:color w:val="000000"/>
                <w:szCs w:val="21"/>
              </w:rPr>
              <w:t>内容包括</w:t>
            </w:r>
            <w:r>
              <w:rPr>
                <w:rFonts w:hint="eastAsia" w:ascii="宋体" w:hAnsi="宋体" w:eastAsiaTheme="minorEastAsia" w:cstheme="minorBidi"/>
                <w:color w:val="000000"/>
                <w:sz w:val="21"/>
                <w:szCs w:val="21"/>
              </w:rPr>
              <w:t>但不限于：</w:t>
            </w:r>
          </w:p>
          <w:p>
            <w:pPr>
              <w:snapToGrid w:val="0"/>
              <w:spacing w:line="240" w:lineRule="auto"/>
              <w:jc w:val="left"/>
              <w:rPr>
                <w:rFonts w:hint="eastAsia" w:ascii="Times New Roman" w:hAnsi="Times New Roman" w:eastAsia="宋体" w:cs="Times New Roman"/>
                <w:szCs w:val="21"/>
              </w:rPr>
            </w:pPr>
            <w:r>
              <w:rPr>
                <w:rFonts w:hint="eastAsia" w:ascii="宋体" w:hAnsi="宋体"/>
                <w:color w:val="000000"/>
                <w:szCs w:val="21"/>
                <w:lang w:val="en-US" w:eastAsia="zh-CN"/>
              </w:rPr>
              <w:t>1.</w:t>
            </w:r>
            <w:r>
              <w:rPr>
                <w:rFonts w:hint="eastAsia" w:ascii="Times New Roman" w:hAnsi="Times New Roman" w:eastAsia="宋体" w:cs="Times New Roman"/>
                <w:szCs w:val="21"/>
              </w:rPr>
              <w:t>提供符合本项目服务特点的重点难点分析；</w:t>
            </w:r>
          </w:p>
          <w:p>
            <w:pPr>
              <w:snapToGrid w:val="0"/>
              <w:spacing w:line="240" w:lineRule="auto"/>
              <w:jc w:val="left"/>
              <w:rPr>
                <w:rFonts w:hint="eastAsia" w:ascii="宋体" w:hAnsi="宋体"/>
                <w:color w:val="000000"/>
                <w:szCs w:val="21"/>
              </w:rPr>
            </w:pPr>
            <w:r>
              <w:rPr>
                <w:rFonts w:hint="eastAsia" w:ascii="宋体" w:hAnsi="宋体"/>
                <w:color w:val="000000"/>
                <w:szCs w:val="21"/>
                <w:lang w:val="en-US" w:eastAsia="zh-CN"/>
              </w:rPr>
              <w:t>2.</w:t>
            </w:r>
            <w:r>
              <w:rPr>
                <w:rFonts w:hint="eastAsia" w:ascii="Times New Roman" w:hAnsi="Times New Roman" w:eastAsia="宋体" w:cs="Times New Roman"/>
                <w:szCs w:val="21"/>
              </w:rPr>
              <w:t>针对重难点分析提出应对措施</w:t>
            </w:r>
            <w:r>
              <w:rPr>
                <w:rFonts w:hint="eastAsia" w:ascii="宋体" w:hAnsi="宋体"/>
                <w:color w:val="000000"/>
                <w:szCs w:val="21"/>
                <w:lang w:eastAsia="zh-CN"/>
              </w:rPr>
              <w:t>；</w:t>
            </w:r>
          </w:p>
          <w:p>
            <w:pPr>
              <w:snapToGrid w:val="0"/>
              <w:spacing w:line="240" w:lineRule="auto"/>
              <w:jc w:val="left"/>
              <w:rPr>
                <w:rFonts w:hint="eastAsia" w:ascii="宋体" w:hAnsi="宋体"/>
                <w:color w:val="000000"/>
                <w:szCs w:val="21"/>
              </w:rPr>
            </w:pPr>
            <w:r>
              <w:rPr>
                <w:rFonts w:hint="eastAsia" w:ascii="宋体" w:hAnsi="宋体"/>
                <w:color w:val="000000"/>
                <w:szCs w:val="21"/>
                <w:lang w:val="en-US" w:eastAsia="zh-CN"/>
              </w:rPr>
              <w:t>3.</w:t>
            </w:r>
            <w:r>
              <w:rPr>
                <w:rFonts w:hint="eastAsia" w:ascii="Times New Roman" w:hAnsi="Times New Roman" w:eastAsia="宋体" w:cs="Times New Roman"/>
                <w:szCs w:val="21"/>
              </w:rPr>
              <w:t>结合上述内容提出相关的合理化建议</w:t>
            </w:r>
            <w:r>
              <w:rPr>
                <w:rFonts w:hint="eastAsia" w:ascii="宋体" w:hAnsi="宋体"/>
                <w:color w:val="000000"/>
                <w:szCs w:val="21"/>
              </w:rPr>
              <w:t>。</w:t>
            </w:r>
          </w:p>
          <w:p>
            <w:pPr>
              <w:snapToGrid w:val="0"/>
              <w:spacing w:line="240" w:lineRule="auto"/>
              <w:jc w:val="left"/>
              <w:rPr>
                <w:rFonts w:hint="eastAsia" w:ascii="宋体" w:hAnsi="宋体"/>
                <w:b/>
                <w:bCs/>
                <w:color w:val="000000"/>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二</w:t>
            </w:r>
            <w:r>
              <w:rPr>
                <w:rFonts w:hint="eastAsia" w:ascii="宋体" w:hAnsi="宋体"/>
                <w:b/>
                <w:bCs/>
                <w:color w:val="000000"/>
                <w:szCs w:val="21"/>
                <w:lang w:eastAsia="zh-CN"/>
              </w:rPr>
              <w:t>）</w:t>
            </w:r>
            <w:r>
              <w:rPr>
                <w:rFonts w:hint="eastAsia" w:ascii="宋体" w:hAnsi="宋体"/>
                <w:b/>
                <w:bCs/>
                <w:color w:val="000000"/>
                <w:szCs w:val="21"/>
              </w:rPr>
              <w:t>评分依据：</w:t>
            </w:r>
          </w:p>
          <w:p>
            <w:pPr>
              <w:snapToGrid w:val="0"/>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1.提供上述</w:t>
            </w:r>
            <w:r>
              <w:rPr>
                <w:rFonts w:hint="eastAsia" w:ascii="宋体" w:hAnsi="宋体" w:cstheme="minorBidi"/>
                <w:color w:val="000000"/>
                <w:sz w:val="21"/>
                <w:szCs w:val="21"/>
                <w:lang w:val="en-US" w:eastAsia="zh-CN"/>
              </w:rPr>
              <w:t>3</w:t>
            </w:r>
            <w:r>
              <w:rPr>
                <w:rFonts w:hint="eastAsia" w:ascii="宋体" w:hAnsi="宋体" w:eastAsiaTheme="minorEastAsia" w:cstheme="minorBidi"/>
                <w:color w:val="000000"/>
                <w:sz w:val="21"/>
                <w:szCs w:val="21"/>
              </w:rPr>
              <w:t>项内容的得</w:t>
            </w:r>
            <w:r>
              <w:rPr>
                <w:rFonts w:hint="eastAsia" w:ascii="宋体" w:hAnsi="宋体" w:eastAsiaTheme="minorEastAsia" w:cstheme="minorBidi"/>
                <w:color w:val="000000"/>
                <w:sz w:val="21"/>
                <w:szCs w:val="21"/>
                <w:lang w:val="en-US" w:eastAsia="zh-CN"/>
              </w:rPr>
              <w:t>6</w:t>
            </w:r>
            <w:r>
              <w:rPr>
                <w:rFonts w:hint="eastAsia" w:ascii="宋体" w:hAnsi="宋体" w:eastAsiaTheme="minorEastAsia" w:cstheme="minorBidi"/>
                <w:color w:val="000000"/>
                <w:sz w:val="21"/>
                <w:szCs w:val="21"/>
              </w:rPr>
              <w:t>分；每缺一项扣</w:t>
            </w:r>
            <w:r>
              <w:rPr>
                <w:rFonts w:hint="eastAsia" w:ascii="宋体" w:hAnsi="宋体" w:cstheme="minorBidi"/>
                <w:color w:val="000000"/>
                <w:sz w:val="21"/>
                <w:szCs w:val="21"/>
                <w:lang w:val="en-US" w:eastAsia="zh-CN"/>
              </w:rPr>
              <w:t>2</w:t>
            </w:r>
            <w:r>
              <w:rPr>
                <w:rFonts w:hint="eastAsia" w:ascii="宋体" w:hAnsi="宋体" w:eastAsiaTheme="minorEastAsia" w:cstheme="minorBidi"/>
                <w:color w:val="000000"/>
                <w:sz w:val="21"/>
                <w:szCs w:val="21"/>
              </w:rPr>
              <w:t>分。</w:t>
            </w:r>
          </w:p>
          <w:p>
            <w:pPr>
              <w:snapToGrid w:val="0"/>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2.在此基础上，由评审委员进行评价：</w:t>
            </w:r>
          </w:p>
          <w:p>
            <w:pPr>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（1）方案整体科学合理、针对性强、可操作性强，评审为优加</w:t>
            </w:r>
            <w:r>
              <w:rPr>
                <w:rFonts w:hint="eastAsia" w:ascii="宋体" w:hAnsi="宋体" w:cstheme="minorBidi"/>
                <w:color w:val="000000"/>
                <w:sz w:val="21"/>
                <w:szCs w:val="21"/>
                <w:lang w:val="en-US" w:eastAsia="zh-CN"/>
              </w:rPr>
              <w:t>4</w:t>
            </w:r>
            <w:r>
              <w:rPr>
                <w:rFonts w:hint="eastAsia" w:ascii="宋体" w:hAnsi="宋体" w:eastAsiaTheme="minorEastAsia" w:cstheme="minorBidi"/>
                <w:color w:val="000000"/>
                <w:sz w:val="21"/>
                <w:szCs w:val="21"/>
              </w:rPr>
              <w:t>分；</w:t>
            </w:r>
          </w:p>
          <w:p>
            <w:pPr>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（2）方案较合理、有一定针对性、一定可操作性，评审为良加</w:t>
            </w:r>
            <w:r>
              <w:rPr>
                <w:rFonts w:hint="eastAsia" w:ascii="宋体" w:hAnsi="宋体" w:cstheme="minorBidi"/>
                <w:color w:val="000000"/>
                <w:sz w:val="21"/>
                <w:szCs w:val="21"/>
                <w:lang w:val="en-US" w:eastAsia="zh-CN"/>
              </w:rPr>
              <w:t>3</w:t>
            </w:r>
            <w:r>
              <w:rPr>
                <w:rFonts w:hint="eastAsia" w:ascii="宋体" w:hAnsi="宋体" w:eastAsiaTheme="minorEastAsia" w:cstheme="minorBidi"/>
                <w:color w:val="000000"/>
                <w:sz w:val="21"/>
                <w:szCs w:val="21"/>
              </w:rPr>
              <w:t>分；</w:t>
            </w:r>
          </w:p>
          <w:p>
            <w:pPr>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（3）方案不尽合理、针对性一般、可操作性一般，评审为中加</w:t>
            </w:r>
            <w:r>
              <w:rPr>
                <w:rFonts w:hint="eastAsia" w:ascii="宋体" w:hAnsi="宋体" w:cstheme="minorBidi"/>
                <w:color w:val="000000"/>
                <w:sz w:val="21"/>
                <w:szCs w:val="21"/>
                <w:lang w:val="en-US" w:eastAsia="zh-CN"/>
              </w:rPr>
              <w:t>2</w:t>
            </w:r>
            <w:r>
              <w:rPr>
                <w:rFonts w:hint="eastAsia" w:ascii="宋体" w:hAnsi="宋体" w:eastAsiaTheme="minorEastAsia" w:cstheme="minorBidi"/>
                <w:color w:val="000000"/>
                <w:sz w:val="21"/>
                <w:szCs w:val="21"/>
              </w:rPr>
              <w:t>分；</w:t>
            </w:r>
          </w:p>
          <w:p>
            <w:pPr>
              <w:snapToGrid w:val="0"/>
              <w:spacing w:line="240" w:lineRule="auto"/>
              <w:jc w:val="left"/>
              <w:rPr>
                <w:rFonts w:hint="default" w:ascii="Times New Roman" w:hAnsi="Times New Roman" w:cs="Times New Roman"/>
                <w:color w:val="auto"/>
                <w:sz w:val="21"/>
                <w:szCs w:val="21"/>
                <w:highlight w:val="none"/>
              </w:rPr>
            </w:pPr>
            <w:r>
              <w:rPr>
                <w:rFonts w:hint="eastAsia" w:ascii="宋体" w:hAnsi="宋体" w:eastAsiaTheme="minorEastAsia" w:cstheme="minorBidi"/>
                <w:color w:val="000000"/>
                <w:sz w:val="21"/>
                <w:szCs w:val="21"/>
              </w:rPr>
              <w:t>（4）方案不合理、无针对性、无可操作性，评审为差得0。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546" w:hRule="atLeast"/>
          <w:jc w:val="center"/>
        </w:trPr>
        <w:tc>
          <w:tcPr>
            <w:tcW w:w="653" w:type="dxa"/>
            <w:vMerge w:val="continue"/>
            <w:tcBorders>
              <w:left w:val="single" w:color="000000" w:sz="8" w:space="0"/>
              <w:right w:val="single" w:color="000000" w:sz="8" w:space="0"/>
            </w:tcBorders>
            <w:shd w:val="clear" w:color="auto" w:fill="auto"/>
            <w:vAlign w:val="center"/>
          </w:tcPr>
          <w:p>
            <w:pPr>
              <w:tabs>
                <w:tab w:val="left" w:pos="426"/>
              </w:tabs>
              <w:spacing w:after="60"/>
              <w:rPr>
                <w:rFonts w:hint="default" w:ascii="Times New Roman" w:hAnsi="Times New Roman" w:cs="Times New Roman"/>
                <w:b/>
                <w:bCs/>
                <w:color w:val="auto"/>
                <w:szCs w:val="21"/>
                <w:highlight w:val="none"/>
              </w:rPr>
            </w:pPr>
          </w:p>
        </w:tc>
        <w:tc>
          <w:tcPr>
            <w:tcW w:w="668"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3</w:t>
            </w:r>
          </w:p>
        </w:tc>
        <w:tc>
          <w:tcPr>
            <w:tcW w:w="16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spacing w:line="240" w:lineRule="auto"/>
              <w:jc w:val="center"/>
              <w:rPr>
                <w:rFonts w:hint="eastAsia" w:ascii="宋体" w:hAnsi="宋体"/>
                <w:color w:val="000000"/>
                <w:szCs w:val="21"/>
                <w:lang w:val="en-US" w:eastAsia="zh-CN"/>
              </w:rPr>
            </w:pPr>
            <w:r>
              <w:rPr>
                <w:rFonts w:hint="eastAsia" w:ascii="宋体" w:hAnsi="宋体"/>
                <w:color w:val="000000"/>
                <w:szCs w:val="21"/>
                <w:lang w:val="en-US" w:eastAsia="zh-CN"/>
              </w:rPr>
              <w:t>保障措施及</w:t>
            </w:r>
          </w:p>
          <w:p>
            <w:pPr>
              <w:widowControl/>
              <w:snapToGrid w:val="0"/>
              <w:spacing w:line="24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管理制度</w:t>
            </w:r>
          </w:p>
        </w:tc>
        <w:tc>
          <w:tcPr>
            <w:tcW w:w="12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spacing w:line="360" w:lineRule="auto"/>
              <w:jc w:val="center"/>
              <w:rPr>
                <w:rFonts w:hint="default" w:ascii="宋体" w:hAnsi="宋体" w:cs="宋体" w:eastAsiaTheme="minorEastAsia"/>
                <w:color w:val="000000"/>
                <w:kern w:val="0"/>
                <w:sz w:val="21"/>
                <w:szCs w:val="21"/>
                <w:lang w:val="en-US" w:eastAsia="zh-CN" w:bidi="ar-SA"/>
              </w:rPr>
            </w:pPr>
            <w:r>
              <w:rPr>
                <w:rFonts w:ascii="宋体" w:hAnsi="宋体" w:cs="宋体"/>
                <w:color w:val="000000"/>
                <w:kern w:val="0"/>
                <w:szCs w:val="21"/>
              </w:rPr>
              <w:t>10</w:t>
            </w:r>
          </w:p>
        </w:tc>
        <w:tc>
          <w:tcPr>
            <w:tcW w:w="502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line="240" w:lineRule="auto"/>
              <w:rPr>
                <w:rFonts w:hint="eastAsia" w:ascii="宋体" w:hAnsi="宋体"/>
                <w:color w:val="000000"/>
                <w:szCs w:val="21"/>
                <w:lang w:eastAsia="zh-CN"/>
              </w:rPr>
            </w:pPr>
            <w:r>
              <w:rPr>
                <w:rFonts w:hint="eastAsia" w:ascii="宋体" w:hAnsi="宋体"/>
                <w:b/>
                <w:bCs/>
                <w:color w:val="000000"/>
                <w:szCs w:val="21"/>
                <w:lang w:eastAsia="zh-CN"/>
              </w:rPr>
              <w:t>（</w:t>
            </w:r>
            <w:r>
              <w:rPr>
                <w:rFonts w:hint="eastAsia" w:ascii="宋体" w:hAnsi="宋体"/>
                <w:b/>
                <w:bCs/>
                <w:color w:val="000000"/>
                <w:szCs w:val="21"/>
                <w:lang w:val="en-US" w:eastAsia="zh-CN"/>
              </w:rPr>
              <w:t>一</w:t>
            </w:r>
            <w:r>
              <w:rPr>
                <w:rFonts w:hint="eastAsia" w:ascii="宋体" w:hAnsi="宋体"/>
                <w:b/>
                <w:bCs/>
                <w:color w:val="000000"/>
                <w:szCs w:val="21"/>
                <w:lang w:eastAsia="zh-CN"/>
              </w:rPr>
              <w:t>）</w:t>
            </w:r>
            <w:r>
              <w:rPr>
                <w:rFonts w:hint="eastAsia" w:ascii="宋体" w:hAnsi="宋体"/>
                <w:b/>
                <w:bCs/>
                <w:color w:val="000000"/>
                <w:szCs w:val="21"/>
              </w:rPr>
              <w:t>评分内容：</w:t>
            </w:r>
            <w:r>
              <w:rPr>
                <w:rFonts w:hint="eastAsia" w:ascii="宋体" w:hAnsi="宋体"/>
                <w:color w:val="000000"/>
                <w:szCs w:val="21"/>
              </w:rPr>
              <w:t>根据采购文件的需求，制定贴切本项目的服务质量保障措施方案</w:t>
            </w:r>
            <w:r>
              <w:rPr>
                <w:rFonts w:hint="eastAsia" w:ascii="宋体" w:hAnsi="宋体"/>
                <w:color w:val="000000"/>
                <w:szCs w:val="21"/>
                <w:lang w:val="en-US" w:eastAsia="zh-CN"/>
              </w:rPr>
              <w:t>及人员管理制度</w:t>
            </w:r>
            <w:r>
              <w:rPr>
                <w:rFonts w:hint="eastAsia" w:ascii="宋体" w:hAnsi="宋体"/>
                <w:color w:val="000000"/>
                <w:szCs w:val="21"/>
              </w:rPr>
              <w:t>，方案内容包括但不限于</w:t>
            </w:r>
            <w:r>
              <w:rPr>
                <w:rFonts w:hint="eastAsia" w:ascii="宋体" w:hAnsi="宋体"/>
                <w:color w:val="000000"/>
                <w:szCs w:val="21"/>
                <w:lang w:eastAsia="zh-CN"/>
              </w:rPr>
              <w:t>：</w:t>
            </w:r>
          </w:p>
          <w:p>
            <w:pPr>
              <w:snapToGrid/>
              <w:spacing w:line="240" w:lineRule="auto"/>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rPr>
              <w:t>人员储备</w:t>
            </w:r>
            <w:r>
              <w:rPr>
                <w:rFonts w:hint="eastAsia" w:ascii="宋体" w:hAnsi="宋体"/>
                <w:color w:val="000000"/>
                <w:szCs w:val="21"/>
                <w:lang w:eastAsia="zh-CN"/>
              </w:rPr>
              <w:t>、</w:t>
            </w:r>
            <w:r>
              <w:rPr>
                <w:rFonts w:hint="eastAsia" w:ascii="宋体" w:hAnsi="宋体"/>
                <w:color w:val="000000"/>
                <w:szCs w:val="21"/>
              </w:rPr>
              <w:t>素质保障</w:t>
            </w:r>
            <w:r>
              <w:rPr>
                <w:rFonts w:hint="eastAsia" w:ascii="宋体" w:hAnsi="宋体"/>
                <w:color w:val="000000"/>
                <w:szCs w:val="21"/>
                <w:lang w:eastAsia="zh-CN"/>
              </w:rPr>
              <w:t>；</w:t>
            </w:r>
          </w:p>
          <w:p>
            <w:pPr>
              <w:snapToGrid/>
              <w:spacing w:line="240" w:lineRule="auto"/>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人员培训保障</w:t>
            </w:r>
            <w:r>
              <w:rPr>
                <w:rFonts w:hint="eastAsia" w:ascii="宋体" w:hAnsi="宋体"/>
                <w:color w:val="000000"/>
                <w:szCs w:val="21"/>
                <w:lang w:eastAsia="zh-CN"/>
              </w:rPr>
              <w:t>；</w:t>
            </w:r>
          </w:p>
          <w:p>
            <w:pPr>
              <w:snapToGrid/>
              <w:spacing w:line="240" w:lineRule="auto"/>
              <w:rPr>
                <w:rFonts w:hint="eastAsia" w:ascii="宋体" w:hAnsi="宋体"/>
                <w:color w:val="000000"/>
                <w:szCs w:val="21"/>
              </w:rPr>
            </w:pPr>
            <w:r>
              <w:rPr>
                <w:rFonts w:hint="eastAsia" w:ascii="宋体" w:hAnsi="宋体" w:cstheme="minorBidi"/>
                <w:color w:val="000000"/>
                <w:sz w:val="21"/>
                <w:szCs w:val="21"/>
                <w:lang w:val="en-US" w:eastAsia="zh-CN"/>
              </w:rPr>
              <w:t>3.外派</w:t>
            </w:r>
            <w:r>
              <w:rPr>
                <w:rFonts w:hint="eastAsia" w:ascii="宋体" w:hAnsi="宋体" w:eastAsiaTheme="minorEastAsia" w:cstheme="minorBidi"/>
                <w:color w:val="000000"/>
                <w:sz w:val="21"/>
                <w:szCs w:val="21"/>
                <w:lang w:val="en-US" w:eastAsia="zh-CN"/>
              </w:rPr>
              <w:t>人员</w:t>
            </w:r>
            <w:r>
              <w:rPr>
                <w:rFonts w:hint="eastAsia" w:ascii="宋体" w:hAnsi="宋体" w:eastAsiaTheme="minorEastAsia" w:cstheme="minorBidi"/>
                <w:color w:val="000000"/>
                <w:sz w:val="21"/>
                <w:szCs w:val="21"/>
              </w:rPr>
              <w:t>管理制度</w:t>
            </w:r>
            <w:r>
              <w:rPr>
                <w:rFonts w:hint="eastAsia" w:ascii="宋体" w:hAnsi="宋体" w:eastAsiaTheme="minorEastAsia" w:cstheme="minorBidi"/>
                <w:color w:val="000000"/>
                <w:sz w:val="21"/>
                <w:szCs w:val="21"/>
                <w:lang w:eastAsia="zh-CN"/>
              </w:rPr>
              <w:t>。</w:t>
            </w:r>
          </w:p>
          <w:p>
            <w:pPr>
              <w:snapToGrid/>
              <w:spacing w:line="240" w:lineRule="auto"/>
              <w:rPr>
                <w:rFonts w:hint="eastAsia" w:ascii="宋体" w:hAnsi="宋体"/>
                <w:b/>
                <w:bCs/>
                <w:color w:val="000000"/>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二</w:t>
            </w:r>
            <w:r>
              <w:rPr>
                <w:rFonts w:hint="eastAsia" w:ascii="宋体" w:hAnsi="宋体"/>
                <w:b/>
                <w:bCs/>
                <w:color w:val="000000"/>
                <w:szCs w:val="21"/>
                <w:lang w:eastAsia="zh-CN"/>
              </w:rPr>
              <w:t>）</w:t>
            </w:r>
            <w:r>
              <w:rPr>
                <w:rFonts w:hint="eastAsia" w:ascii="宋体" w:hAnsi="宋体"/>
                <w:b/>
                <w:bCs/>
                <w:color w:val="000000"/>
                <w:szCs w:val="21"/>
              </w:rPr>
              <w:t>评分依据：</w:t>
            </w:r>
          </w:p>
          <w:p>
            <w:pPr>
              <w:snapToGrid/>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1.提供上述</w:t>
            </w:r>
            <w:r>
              <w:rPr>
                <w:rFonts w:hint="eastAsia" w:ascii="宋体" w:hAnsi="宋体" w:cstheme="minorBidi"/>
                <w:color w:val="000000"/>
                <w:sz w:val="21"/>
                <w:szCs w:val="21"/>
                <w:lang w:val="en-US" w:eastAsia="zh-CN"/>
              </w:rPr>
              <w:t>3</w:t>
            </w:r>
            <w:r>
              <w:rPr>
                <w:rFonts w:hint="eastAsia" w:ascii="宋体" w:hAnsi="宋体" w:eastAsiaTheme="minorEastAsia" w:cstheme="minorBidi"/>
                <w:color w:val="000000"/>
                <w:sz w:val="21"/>
                <w:szCs w:val="21"/>
              </w:rPr>
              <w:t>项内容的得</w:t>
            </w:r>
            <w:r>
              <w:rPr>
                <w:rFonts w:hint="eastAsia" w:ascii="宋体" w:hAnsi="宋体" w:eastAsiaTheme="minorEastAsia" w:cstheme="minorBidi"/>
                <w:color w:val="000000"/>
                <w:sz w:val="21"/>
                <w:szCs w:val="21"/>
                <w:lang w:val="en-US" w:eastAsia="zh-CN"/>
              </w:rPr>
              <w:t>6</w:t>
            </w:r>
            <w:r>
              <w:rPr>
                <w:rFonts w:hint="eastAsia" w:ascii="宋体" w:hAnsi="宋体" w:eastAsiaTheme="minorEastAsia" w:cstheme="minorBidi"/>
                <w:color w:val="000000"/>
                <w:sz w:val="21"/>
                <w:szCs w:val="21"/>
              </w:rPr>
              <w:t>分；每缺一项扣</w:t>
            </w:r>
            <w:r>
              <w:rPr>
                <w:rFonts w:hint="eastAsia" w:ascii="宋体" w:hAnsi="宋体" w:cstheme="minorBidi"/>
                <w:color w:val="000000"/>
                <w:sz w:val="21"/>
                <w:szCs w:val="21"/>
                <w:lang w:val="en-US" w:eastAsia="zh-CN"/>
              </w:rPr>
              <w:t>2</w:t>
            </w:r>
            <w:r>
              <w:rPr>
                <w:rFonts w:hint="eastAsia" w:ascii="宋体" w:hAnsi="宋体" w:eastAsiaTheme="minorEastAsia" w:cstheme="minorBidi"/>
                <w:color w:val="000000"/>
                <w:sz w:val="21"/>
                <w:szCs w:val="21"/>
              </w:rPr>
              <w:t>分。</w:t>
            </w:r>
          </w:p>
          <w:p>
            <w:pPr>
              <w:snapToGrid/>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2.在此基础上，由评审委员进行评价：</w:t>
            </w:r>
          </w:p>
          <w:p>
            <w:pPr>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（1）方案整体科学合理、针对性强、可操作性强，评审为优加</w:t>
            </w:r>
            <w:r>
              <w:rPr>
                <w:rFonts w:hint="eastAsia" w:ascii="宋体" w:hAnsi="宋体" w:cstheme="minorBidi"/>
                <w:color w:val="000000"/>
                <w:sz w:val="21"/>
                <w:szCs w:val="21"/>
                <w:lang w:val="en-US" w:eastAsia="zh-CN"/>
              </w:rPr>
              <w:t>4</w:t>
            </w:r>
            <w:r>
              <w:rPr>
                <w:rFonts w:hint="eastAsia" w:ascii="宋体" w:hAnsi="宋体" w:eastAsiaTheme="minorEastAsia" w:cstheme="minorBidi"/>
                <w:color w:val="000000"/>
                <w:sz w:val="21"/>
                <w:szCs w:val="21"/>
              </w:rPr>
              <w:t>分；</w:t>
            </w:r>
          </w:p>
          <w:p>
            <w:pPr>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（2）方案较合理、有一定针对性、一定可操作性，评审为良加</w:t>
            </w:r>
            <w:r>
              <w:rPr>
                <w:rFonts w:hint="eastAsia" w:ascii="宋体" w:hAnsi="宋体" w:cstheme="minorBidi"/>
                <w:color w:val="000000"/>
                <w:sz w:val="21"/>
                <w:szCs w:val="21"/>
                <w:lang w:val="en-US" w:eastAsia="zh-CN"/>
              </w:rPr>
              <w:t>3</w:t>
            </w:r>
            <w:r>
              <w:rPr>
                <w:rFonts w:hint="eastAsia" w:ascii="宋体" w:hAnsi="宋体" w:eastAsiaTheme="minorEastAsia" w:cstheme="minorBidi"/>
                <w:color w:val="000000"/>
                <w:sz w:val="21"/>
                <w:szCs w:val="21"/>
              </w:rPr>
              <w:t>分；</w:t>
            </w:r>
          </w:p>
          <w:p>
            <w:pPr>
              <w:spacing w:line="240" w:lineRule="auto"/>
              <w:jc w:val="left"/>
              <w:rPr>
                <w:rFonts w:hint="eastAsia" w:ascii="宋体" w:hAnsi="宋体" w:eastAsiaTheme="minorEastAsia" w:cstheme="minorBidi"/>
                <w:color w:val="000000"/>
                <w:sz w:val="21"/>
                <w:szCs w:val="21"/>
              </w:rPr>
            </w:pPr>
            <w:r>
              <w:rPr>
                <w:rFonts w:hint="eastAsia" w:ascii="宋体" w:hAnsi="宋体" w:eastAsiaTheme="minorEastAsia" w:cstheme="minorBidi"/>
                <w:color w:val="000000"/>
                <w:sz w:val="21"/>
                <w:szCs w:val="21"/>
              </w:rPr>
              <w:t>（3）方案不尽合理、针对性一般、可操作性一般，评审为中加</w:t>
            </w:r>
            <w:r>
              <w:rPr>
                <w:rFonts w:hint="eastAsia" w:ascii="宋体" w:hAnsi="宋体" w:cstheme="minorBidi"/>
                <w:color w:val="000000"/>
                <w:sz w:val="21"/>
                <w:szCs w:val="21"/>
                <w:lang w:val="en-US" w:eastAsia="zh-CN"/>
              </w:rPr>
              <w:t>2</w:t>
            </w:r>
            <w:r>
              <w:rPr>
                <w:rFonts w:hint="eastAsia" w:ascii="宋体" w:hAnsi="宋体" w:eastAsiaTheme="minorEastAsia" w:cstheme="minorBidi"/>
                <w:color w:val="000000"/>
                <w:sz w:val="21"/>
                <w:szCs w:val="21"/>
              </w:rPr>
              <w:t>分；</w:t>
            </w:r>
          </w:p>
          <w:p>
            <w:pPr>
              <w:spacing w:line="240" w:lineRule="auto"/>
              <w:rPr>
                <w:rFonts w:hint="default" w:ascii="Times New Roman" w:hAnsi="Times New Roman" w:cs="Times New Roman"/>
                <w:color w:val="auto"/>
                <w:sz w:val="21"/>
                <w:szCs w:val="21"/>
                <w:highlight w:val="none"/>
              </w:rPr>
            </w:pPr>
            <w:r>
              <w:rPr>
                <w:rFonts w:hint="eastAsia" w:ascii="宋体" w:hAnsi="宋体" w:eastAsiaTheme="minorEastAsia" w:cstheme="minorBidi"/>
                <w:color w:val="000000"/>
                <w:sz w:val="21"/>
                <w:szCs w:val="21"/>
              </w:rPr>
              <w:t>（4）方案不合理、无针对性、无可操作性，评审为差得0。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3" w:type="dxa"/>
            <w:vMerge w:val="restart"/>
            <w:tcBorders>
              <w:top w:val="single" w:color="000000" w:sz="8" w:space="0"/>
              <w:left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eastAsia="宋体" w:cs="Times New Roman"/>
                <w:b/>
                <w:bCs/>
                <w:color w:val="auto"/>
                <w:szCs w:val="21"/>
                <w:highlight w:val="none"/>
                <w:lang w:eastAsia="zh-CN"/>
              </w:rPr>
            </w:pPr>
            <w:r>
              <w:rPr>
                <w:rFonts w:hint="eastAsia" w:ascii="Times New Roman" w:hAnsi="Times New Roman" w:cs="Times New Roman"/>
                <w:b/>
                <w:bCs/>
                <w:color w:val="auto"/>
                <w:szCs w:val="21"/>
                <w:highlight w:val="none"/>
                <w:lang w:val="en-US" w:eastAsia="zh-CN"/>
              </w:rPr>
              <w:t>3</w:t>
            </w:r>
          </w:p>
        </w:tc>
        <w:tc>
          <w:tcPr>
            <w:tcW w:w="3623" w:type="dxa"/>
            <w:gridSpan w:val="3"/>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商务部分</w:t>
            </w:r>
          </w:p>
        </w:tc>
        <w:tc>
          <w:tcPr>
            <w:tcW w:w="5025" w:type="dxa"/>
            <w:tcBorders>
              <w:top w:val="single" w:color="000000" w:sz="8" w:space="0"/>
              <w:left w:val="single" w:color="000000" w:sz="8" w:space="0"/>
              <w:bottom w:val="single" w:color="000000" w:sz="8" w:space="0"/>
              <w:right w:val="single" w:color="000000" w:sz="8" w:space="0"/>
            </w:tcBorders>
          </w:tcPr>
          <w:p>
            <w:pPr>
              <w:tabs>
                <w:tab w:val="left" w:pos="426"/>
              </w:tabs>
              <w:wordWrap w:val="0"/>
              <w:spacing w:after="60"/>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3" w:type="dxa"/>
            <w:vMerge w:val="continue"/>
            <w:tcBorders>
              <w:left w:val="single" w:color="000000" w:sz="8" w:space="0"/>
              <w:right w:val="single" w:color="000000" w:sz="8" w:space="0"/>
            </w:tcBorders>
            <w:shd w:val="clear" w:color="auto" w:fill="E6EFFA"/>
            <w:vAlign w:val="center"/>
          </w:tcPr>
          <w:p>
            <w:pPr>
              <w:tabs>
                <w:tab w:val="left" w:pos="426"/>
              </w:tabs>
              <w:spacing w:after="60"/>
              <w:rPr>
                <w:rFonts w:hint="default" w:ascii="Times New Roman" w:hAnsi="Times New Roman" w:cs="Times New Roman"/>
                <w:b/>
                <w:bCs/>
                <w:color w:val="auto"/>
                <w:szCs w:val="21"/>
                <w:highlight w:val="none"/>
              </w:rPr>
            </w:pPr>
          </w:p>
        </w:tc>
        <w:tc>
          <w:tcPr>
            <w:tcW w:w="668" w:type="dxa"/>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675" w:type="dxa"/>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评分因素</w:t>
            </w:r>
          </w:p>
        </w:tc>
        <w:tc>
          <w:tcPr>
            <w:tcW w:w="1280" w:type="dxa"/>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权重</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w:t>
            </w:r>
          </w:p>
        </w:tc>
        <w:tc>
          <w:tcPr>
            <w:tcW w:w="5025" w:type="dxa"/>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38" w:hRule="atLeast"/>
          <w:jc w:val="center"/>
        </w:trPr>
        <w:tc>
          <w:tcPr>
            <w:tcW w:w="653" w:type="dxa"/>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none"/>
              </w:rPr>
            </w:pPr>
          </w:p>
        </w:tc>
        <w:tc>
          <w:tcPr>
            <w:tcW w:w="668" w:type="dxa"/>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675" w:type="dxa"/>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投标人同类</w:t>
            </w:r>
          </w:p>
          <w:p>
            <w:pPr>
              <w:tabs>
                <w:tab w:val="left" w:pos="426"/>
              </w:tabs>
              <w:wordWrap w:val="0"/>
              <w:jc w:val="center"/>
              <w:rPr>
                <w:rFonts w:hint="default" w:ascii="Times New Roman" w:hAnsi="Times New Roman" w:eastAsia="宋体" w:cs="Times New Roman"/>
                <w:color w:val="auto"/>
                <w:szCs w:val="21"/>
                <w:highlight w:val="none"/>
                <w:lang w:bidi="ar"/>
              </w:rPr>
            </w:pPr>
            <w:r>
              <w:rPr>
                <w:rFonts w:hint="eastAsia" w:ascii="宋体" w:hAnsi="宋体" w:cs="宋体"/>
                <w:color w:val="000000"/>
                <w:kern w:val="0"/>
                <w:szCs w:val="21"/>
                <w:highlight w:val="none"/>
              </w:rPr>
              <w:t>项目业绩情况</w:t>
            </w:r>
          </w:p>
        </w:tc>
        <w:tc>
          <w:tcPr>
            <w:tcW w:w="1280" w:type="dxa"/>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jc w:val="center"/>
              <w:rPr>
                <w:rFonts w:hint="default" w:ascii="Times New Roman" w:hAnsi="Times New Roman" w:eastAsia="宋体" w:cs="Times New Roman"/>
                <w:color w:val="auto"/>
                <w:szCs w:val="21"/>
                <w:highlight w:val="none"/>
                <w:lang w:val="en-US" w:eastAsia="zh-CN" w:bidi="ar"/>
              </w:rPr>
            </w:pPr>
            <w:r>
              <w:rPr>
                <w:rFonts w:hint="eastAsia" w:ascii="宋体" w:hAnsi="宋体" w:cs="宋体"/>
                <w:color w:val="000000"/>
                <w:kern w:val="0"/>
                <w:szCs w:val="21"/>
                <w:lang w:val="en-US" w:eastAsia="zh-CN"/>
              </w:rPr>
              <w:t>10</w:t>
            </w:r>
          </w:p>
        </w:tc>
        <w:tc>
          <w:tcPr>
            <w:tcW w:w="5025" w:type="dxa"/>
            <w:tcBorders>
              <w:top w:val="single" w:color="000000" w:sz="8" w:space="0"/>
              <w:left w:val="single" w:color="000000" w:sz="8" w:space="0"/>
              <w:bottom w:val="single" w:color="000000" w:sz="8" w:space="0"/>
              <w:right w:val="single" w:color="000000" w:sz="8" w:space="0"/>
            </w:tcBorders>
            <w:vAlign w:val="top"/>
          </w:tcPr>
          <w:p>
            <w:pPr>
              <w:widowControl/>
              <w:tabs>
                <w:tab w:val="left" w:pos="426"/>
              </w:tabs>
              <w:spacing w:line="240" w:lineRule="auto"/>
              <w:jc w:val="left"/>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lang w:val="en-US" w:eastAsia="zh-CN"/>
              </w:rPr>
              <w:t>一</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评分内容：</w:t>
            </w:r>
          </w:p>
          <w:p>
            <w:pPr>
              <w:pStyle w:val="6"/>
              <w:spacing w:line="240" w:lineRule="auto"/>
              <w:ind w:left="0" w:leftChars="0" w:firstLine="0" w:firstLineChars="0"/>
              <w:rPr>
                <w:rFonts w:hint="eastAsia" w:ascii="宋体" w:hAnsi="宋体"/>
                <w:color w:val="000000"/>
                <w:szCs w:val="21"/>
                <w:highlight w:val="none"/>
              </w:rPr>
            </w:pPr>
            <w:r>
              <w:rPr>
                <w:rFonts w:hint="eastAsia" w:ascii="宋体" w:hAnsi="宋体"/>
                <w:color w:val="000000"/>
                <w:szCs w:val="21"/>
                <w:highlight w:val="none"/>
              </w:rPr>
              <w:t>投标人202</w:t>
            </w:r>
            <w:r>
              <w:rPr>
                <w:rFonts w:hint="eastAsia" w:ascii="宋体" w:hAnsi="宋体"/>
                <w:color w:val="000000"/>
                <w:szCs w:val="21"/>
                <w:highlight w:val="none"/>
                <w:lang w:val="en-US" w:eastAsia="zh-CN"/>
              </w:rPr>
              <w:t>1</w:t>
            </w:r>
            <w:r>
              <w:rPr>
                <w:rFonts w:hint="eastAsia" w:ascii="宋体" w:hAnsi="宋体"/>
                <w:color w:val="000000"/>
                <w:szCs w:val="21"/>
                <w:highlight w:val="none"/>
              </w:rPr>
              <w:t>年1月1日至</w:t>
            </w:r>
            <w:r>
              <w:rPr>
                <w:rFonts w:hint="eastAsia" w:ascii="宋体" w:hAnsi="宋体"/>
                <w:szCs w:val="21"/>
                <w:highlight w:val="none"/>
              </w:rPr>
              <w:t>投标文件截止递交时间</w:t>
            </w:r>
            <w:r>
              <w:rPr>
                <w:rFonts w:hint="eastAsia" w:ascii="宋体" w:hAnsi="宋体"/>
                <w:color w:val="000000"/>
                <w:szCs w:val="21"/>
                <w:highlight w:val="none"/>
              </w:rPr>
              <w:t>（以合同签订日期为准），具有</w:t>
            </w:r>
            <w:r>
              <w:rPr>
                <w:rFonts w:hint="eastAsia" w:ascii="宋体" w:hAnsi="宋体"/>
                <w:color w:val="000000"/>
                <w:szCs w:val="21"/>
                <w:highlight w:val="none"/>
                <w:lang w:val="en-US" w:eastAsia="zh-CN"/>
              </w:rPr>
              <w:t>政府机关或事业单位签订的</w:t>
            </w:r>
            <w:r>
              <w:rPr>
                <w:rFonts w:hint="eastAsia" w:ascii="宋体" w:hAnsi="宋体"/>
                <w:color w:val="000000"/>
                <w:szCs w:val="21"/>
                <w:highlight w:val="none"/>
                <w:lang w:eastAsia="zh-CN"/>
              </w:rPr>
              <w:t>购买服务</w:t>
            </w:r>
            <w:r>
              <w:rPr>
                <w:rFonts w:hint="eastAsia" w:ascii="宋体" w:hAnsi="宋体"/>
                <w:color w:val="000000"/>
                <w:szCs w:val="21"/>
                <w:highlight w:val="none"/>
              </w:rPr>
              <w:t>类</w:t>
            </w:r>
            <w:r>
              <w:rPr>
                <w:rFonts w:hint="eastAsia" w:ascii="宋体" w:hAnsi="宋体"/>
                <w:color w:val="000000"/>
                <w:szCs w:val="21"/>
                <w:highlight w:val="none"/>
                <w:lang w:eastAsia="zh-CN"/>
              </w:rPr>
              <w:t>项目</w:t>
            </w:r>
            <w:r>
              <w:rPr>
                <w:rFonts w:hint="eastAsia" w:ascii="宋体" w:hAnsi="宋体"/>
                <w:color w:val="000000"/>
                <w:szCs w:val="21"/>
                <w:highlight w:val="none"/>
              </w:rPr>
              <w:t>相关</w:t>
            </w:r>
            <w:r>
              <w:rPr>
                <w:rFonts w:hint="eastAsia" w:ascii="宋体" w:hAnsi="宋体"/>
                <w:color w:val="000000"/>
                <w:szCs w:val="21"/>
                <w:highlight w:val="none"/>
                <w:lang w:val="en-US" w:eastAsia="zh-CN"/>
              </w:rPr>
              <w:t>业绩</w:t>
            </w:r>
            <w:r>
              <w:rPr>
                <w:rFonts w:hint="eastAsia" w:ascii="宋体" w:hAnsi="宋体"/>
                <w:color w:val="000000"/>
                <w:szCs w:val="21"/>
                <w:highlight w:val="none"/>
              </w:rPr>
              <w:t>。每提供</w:t>
            </w:r>
            <w:r>
              <w:rPr>
                <w:rFonts w:hint="eastAsia" w:ascii="宋体" w:hAnsi="宋体"/>
                <w:color w:val="000000"/>
                <w:szCs w:val="21"/>
                <w:highlight w:val="none"/>
                <w:lang w:val="en-US" w:eastAsia="zh-CN"/>
              </w:rPr>
              <w:t>1项</w:t>
            </w:r>
            <w:r>
              <w:rPr>
                <w:rFonts w:hint="eastAsia" w:ascii="宋体" w:hAnsi="宋体"/>
                <w:color w:val="000000"/>
                <w:szCs w:val="21"/>
                <w:highlight w:val="none"/>
              </w:rPr>
              <w:t>得2分，最高得10分。</w:t>
            </w:r>
            <w:r>
              <w:rPr>
                <w:rFonts w:hint="eastAsia" w:ascii="宋体" w:hAnsi="宋体" w:cs="宋体"/>
                <w:szCs w:val="21"/>
                <w:highlight w:val="none"/>
              </w:rPr>
              <w:t>续签项目不重复计分。</w:t>
            </w:r>
          </w:p>
          <w:p>
            <w:pPr>
              <w:widowControl/>
              <w:tabs>
                <w:tab w:val="left" w:pos="426"/>
              </w:tabs>
              <w:spacing w:line="240" w:lineRule="auto"/>
              <w:jc w:val="left"/>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lang w:val="en-US" w:eastAsia="zh-CN"/>
              </w:rPr>
              <w:t>二</w:t>
            </w:r>
            <w:r>
              <w:rPr>
                <w:rFonts w:hint="eastAsia"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评分依据：</w:t>
            </w:r>
          </w:p>
          <w:p>
            <w:pPr>
              <w:pStyle w:val="6"/>
              <w:spacing w:line="240" w:lineRule="auto"/>
              <w:ind w:left="0" w:leftChars="0" w:firstLine="0" w:firstLineChars="0"/>
              <w:rPr>
                <w:rFonts w:hint="eastAsia" w:ascii="宋体" w:hAnsi="宋体"/>
                <w:color w:val="000000"/>
                <w:szCs w:val="21"/>
                <w:highlight w:val="none"/>
              </w:rPr>
            </w:pPr>
            <w:r>
              <w:rPr>
                <w:rFonts w:hint="eastAsia" w:ascii="宋体" w:hAnsi="宋体"/>
                <w:color w:val="000000"/>
                <w:szCs w:val="21"/>
                <w:highlight w:val="none"/>
              </w:rPr>
              <w:t>要求同时提供合同关键信息（通过合同关键信息无法判断是否得分的，也可同时提供能证明得分的</w:t>
            </w:r>
            <w:r>
              <w:rPr>
                <w:rFonts w:hint="default" w:ascii="宋体" w:hAnsi="宋体"/>
                <w:color w:val="000000"/>
                <w:szCs w:val="21"/>
                <w:highlight w:val="none"/>
                <w:lang w:val="en"/>
              </w:rPr>
              <w:t>其他</w:t>
            </w:r>
            <w:r>
              <w:rPr>
                <w:rFonts w:hint="eastAsia" w:ascii="宋体" w:hAnsi="宋体"/>
                <w:color w:val="000000"/>
                <w:szCs w:val="21"/>
                <w:highlight w:val="none"/>
              </w:rPr>
              <w:t>证明资料，如项目报告或合同甲方出具的证明文件等）</w:t>
            </w:r>
            <w:r>
              <w:rPr>
                <w:rFonts w:hint="eastAsia" w:ascii="宋体" w:hAnsi="宋体"/>
                <w:color w:val="000000"/>
                <w:szCs w:val="21"/>
                <w:highlight w:val="none"/>
                <w:lang w:eastAsia="zh-CN"/>
              </w:rPr>
              <w:t>，</w:t>
            </w:r>
            <w:r>
              <w:rPr>
                <w:rFonts w:hint="eastAsia" w:ascii="宋体" w:hAnsi="宋体"/>
                <w:color w:val="000000"/>
                <w:szCs w:val="21"/>
                <w:highlight w:val="none"/>
              </w:rPr>
              <w:t>清晰证明文件作为得分依据，原件备查。</w:t>
            </w:r>
          </w:p>
          <w:p>
            <w:pPr>
              <w:widowControl/>
              <w:tabs>
                <w:tab w:val="left" w:pos="426"/>
              </w:tabs>
              <w:spacing w:line="240" w:lineRule="auto"/>
              <w:jc w:val="left"/>
              <w:rPr>
                <w:rFonts w:hint="default" w:ascii="Times New Roman" w:hAnsi="Times New Roman" w:eastAsia="宋体" w:cs="Times New Roman"/>
                <w:b/>
                <w:color w:val="auto"/>
                <w:sz w:val="21"/>
                <w:szCs w:val="21"/>
                <w:highlight w:val="none"/>
              </w:rPr>
            </w:pPr>
            <w:r>
              <w:rPr>
                <w:rFonts w:hint="eastAsia" w:ascii="宋体" w:hAnsi="宋体"/>
                <w:color w:val="000000"/>
                <w:szCs w:val="21"/>
                <w:highlight w:val="none"/>
              </w:rPr>
              <w:t>备注：未提供有效证明材料的或者提供的证明材料不符合要求的或者提供的证明材料不清晰导致评审专家无法辨认的，不得分。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915" w:hRule="atLeast"/>
          <w:jc w:val="center"/>
        </w:trPr>
        <w:tc>
          <w:tcPr>
            <w:tcW w:w="653" w:type="dxa"/>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none"/>
              </w:rPr>
            </w:pPr>
          </w:p>
        </w:tc>
        <w:tc>
          <w:tcPr>
            <w:tcW w:w="668" w:type="dxa"/>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2</w:t>
            </w:r>
          </w:p>
        </w:tc>
        <w:tc>
          <w:tcPr>
            <w:tcW w:w="1675" w:type="dxa"/>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jc w:val="center"/>
              <w:rPr>
                <w:rFonts w:hint="default" w:ascii="宋体" w:hAnsi="宋体" w:cs="宋体" w:eastAsiaTheme="minorEastAsia"/>
                <w:color w:val="000000"/>
                <w:kern w:val="0"/>
                <w:szCs w:val="21"/>
                <w:highlight w:val="none"/>
                <w:lang w:val="en-US" w:eastAsia="zh-CN"/>
              </w:rPr>
            </w:pPr>
            <w:r>
              <w:rPr>
                <w:rFonts w:hint="eastAsia" w:ascii="宋体" w:hAnsi="宋体" w:cs="宋体"/>
                <w:color w:val="000000"/>
                <w:kern w:val="0"/>
                <w:szCs w:val="21"/>
                <w:highlight w:val="none"/>
                <w:lang w:val="en-US" w:eastAsia="zh-CN"/>
              </w:rPr>
              <w:t>履约评价</w:t>
            </w:r>
          </w:p>
        </w:tc>
        <w:tc>
          <w:tcPr>
            <w:tcW w:w="1280" w:type="dxa"/>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jc w:val="center"/>
              <w:rPr>
                <w:rFonts w:hint="default" w:ascii="Times New Roman" w:hAnsi="Times New Roman" w:eastAsia="宋体" w:cs="Times New Roman"/>
                <w:color w:val="auto"/>
                <w:szCs w:val="21"/>
                <w:highlight w:val="none"/>
                <w:lang w:val="en-US" w:eastAsia="zh-CN"/>
              </w:rPr>
            </w:pPr>
            <w:r>
              <w:rPr>
                <w:rFonts w:hint="eastAsia" w:ascii="宋体" w:hAnsi="宋体" w:cs="宋体"/>
                <w:color w:val="000000"/>
                <w:kern w:val="0"/>
                <w:szCs w:val="21"/>
                <w:lang w:val="en-US" w:eastAsia="zh-CN"/>
              </w:rPr>
              <w:t>10</w:t>
            </w:r>
          </w:p>
        </w:tc>
        <w:tc>
          <w:tcPr>
            <w:tcW w:w="5025" w:type="dxa"/>
            <w:tcBorders>
              <w:top w:val="single" w:color="000000" w:sz="8" w:space="0"/>
              <w:left w:val="single" w:color="000000" w:sz="8" w:space="0"/>
              <w:bottom w:val="single" w:color="000000" w:sz="8" w:space="0"/>
              <w:right w:val="single" w:color="000000" w:sz="8" w:space="0"/>
            </w:tcBorders>
            <w:vAlign w:val="top"/>
          </w:tcPr>
          <w:p>
            <w:pPr>
              <w:widowControl/>
              <w:tabs>
                <w:tab w:val="left" w:pos="426"/>
              </w:tabs>
              <w:spacing w:line="240" w:lineRule="auto"/>
              <w:ind w:firstLine="0" w:firstLineChars="0"/>
              <w:jc w:val="left"/>
              <w:rPr>
                <w:rFonts w:hint="eastAsia" w:ascii="宋体" w:hAnsi="宋体"/>
                <w:color w:val="000000"/>
                <w:szCs w:val="21"/>
                <w:highlight w:val="none"/>
              </w:rPr>
            </w:pPr>
            <w:r>
              <w:rPr>
                <w:rFonts w:hint="eastAsia" w:ascii="宋体" w:hAnsi="宋体" w:eastAsia="宋体" w:cs="Times New Roman"/>
                <w:b/>
                <w:bCs/>
                <w:color w:val="000000"/>
                <w:sz w:val="21"/>
                <w:szCs w:val="21"/>
                <w:highlight w:val="none"/>
              </w:rPr>
              <w:t>（一）评分内容：</w:t>
            </w:r>
            <w:r>
              <w:rPr>
                <w:rFonts w:hint="eastAsia" w:ascii="宋体" w:hAnsi="宋体" w:eastAsia="宋体" w:cs="Times New Roman"/>
                <w:b w:val="0"/>
                <w:bCs w:val="0"/>
                <w:color w:val="000000"/>
                <w:sz w:val="21"/>
                <w:szCs w:val="21"/>
                <w:highlight w:val="none"/>
              </w:rPr>
              <w:br w:type="textWrapping"/>
            </w:r>
            <w:r>
              <w:rPr>
                <w:rFonts w:hint="eastAsia" w:ascii="宋体" w:hAnsi="宋体" w:eastAsia="宋体" w:cs="Times New Roman"/>
                <w:b w:val="0"/>
                <w:bCs w:val="0"/>
                <w:color w:val="000000"/>
                <w:sz w:val="21"/>
                <w:szCs w:val="21"/>
                <w:highlight w:val="none"/>
              </w:rPr>
              <w:t>投标人在上述“</w:t>
            </w:r>
            <w:r>
              <w:rPr>
                <w:rFonts w:hint="eastAsia" w:ascii="宋体" w:hAnsi="宋体" w:eastAsia="宋体" w:cs="Times New Roman"/>
                <w:b w:val="0"/>
                <w:bCs w:val="0"/>
                <w:color w:val="000000"/>
                <w:sz w:val="21"/>
                <w:szCs w:val="21"/>
                <w:highlight w:val="none"/>
                <w:lang w:val="en-US" w:eastAsia="zh-CN"/>
              </w:rPr>
              <w:t>同类项目业绩</w:t>
            </w:r>
            <w:r>
              <w:rPr>
                <w:rFonts w:hint="eastAsia" w:ascii="宋体" w:hAnsi="宋体" w:eastAsia="宋体" w:cs="Times New Roman"/>
                <w:b w:val="0"/>
                <w:bCs w:val="0"/>
                <w:color w:val="000000"/>
                <w:sz w:val="21"/>
                <w:szCs w:val="21"/>
                <w:highlight w:val="none"/>
              </w:rPr>
              <w:t>”评审项中参加评审并被认定有效的业绩（且获得评分），能够提供用户出具的履约评价书，且总体评价为优或者合格的，每份评价书得</w:t>
            </w:r>
            <w:r>
              <w:rPr>
                <w:rFonts w:hint="eastAsia" w:ascii="宋体" w:hAnsi="宋体" w:eastAsia="宋体" w:cs="Times New Roman"/>
                <w:b w:val="0"/>
                <w:bCs w:val="0"/>
                <w:color w:val="000000"/>
                <w:sz w:val="21"/>
                <w:szCs w:val="21"/>
                <w:highlight w:val="none"/>
                <w:lang w:val="en-US" w:eastAsia="zh-CN"/>
              </w:rPr>
              <w:t>2</w:t>
            </w:r>
            <w:r>
              <w:rPr>
                <w:rFonts w:hint="eastAsia" w:ascii="宋体" w:hAnsi="宋体" w:eastAsia="宋体" w:cs="Times New Roman"/>
                <w:b w:val="0"/>
                <w:bCs w:val="0"/>
                <w:color w:val="000000"/>
                <w:sz w:val="21"/>
                <w:szCs w:val="21"/>
                <w:highlight w:val="none"/>
              </w:rPr>
              <w:t>分，其他情况得0分；最高得</w:t>
            </w:r>
            <w:r>
              <w:rPr>
                <w:rFonts w:hint="eastAsia" w:ascii="宋体" w:hAnsi="宋体" w:eastAsia="宋体" w:cs="Times New Roman"/>
                <w:b w:val="0"/>
                <w:bCs w:val="0"/>
                <w:color w:val="000000"/>
                <w:sz w:val="21"/>
                <w:szCs w:val="21"/>
                <w:highlight w:val="none"/>
                <w:lang w:val="en-US" w:eastAsia="zh-CN"/>
              </w:rPr>
              <w:t>10</w:t>
            </w:r>
            <w:r>
              <w:rPr>
                <w:rFonts w:hint="eastAsia" w:ascii="宋体" w:hAnsi="宋体" w:eastAsia="宋体" w:cs="Times New Roman"/>
                <w:b w:val="0"/>
                <w:bCs w:val="0"/>
                <w:color w:val="000000"/>
                <w:sz w:val="21"/>
                <w:szCs w:val="21"/>
                <w:highlight w:val="none"/>
              </w:rPr>
              <w:t>分。</w:t>
            </w:r>
            <w:r>
              <w:rPr>
                <w:rFonts w:hint="eastAsia" w:ascii="宋体" w:hAnsi="宋体" w:eastAsia="宋体" w:cs="Times New Roman"/>
                <w:b w:val="0"/>
                <w:bCs w:val="0"/>
                <w:color w:val="000000"/>
                <w:sz w:val="21"/>
                <w:szCs w:val="21"/>
                <w:highlight w:val="none"/>
              </w:rPr>
              <w:br w:type="textWrapping"/>
            </w:r>
            <w:r>
              <w:rPr>
                <w:rFonts w:hint="eastAsia" w:ascii="宋体" w:hAnsi="宋体" w:eastAsia="宋体" w:cs="Times New Roman"/>
                <w:b w:val="0"/>
                <w:bCs w:val="0"/>
                <w:color w:val="000000"/>
                <w:sz w:val="21"/>
                <w:szCs w:val="21"/>
                <w:highlight w:val="none"/>
              </w:rPr>
              <w:t>不提供或者不能有效证明的，得0分。</w:t>
            </w:r>
            <w:r>
              <w:rPr>
                <w:rFonts w:hint="eastAsia" w:ascii="宋体" w:hAnsi="宋体" w:eastAsia="宋体" w:cs="Times New Roman"/>
                <w:b w:val="0"/>
                <w:bCs w:val="0"/>
                <w:color w:val="000000"/>
                <w:sz w:val="21"/>
                <w:szCs w:val="21"/>
                <w:highlight w:val="none"/>
              </w:rPr>
              <w:br w:type="textWrapping"/>
            </w:r>
            <w:r>
              <w:rPr>
                <w:rFonts w:hint="eastAsia" w:ascii="宋体" w:hAnsi="宋体" w:eastAsia="宋体" w:cs="Times New Roman"/>
                <w:b/>
                <w:bCs/>
                <w:color w:val="000000"/>
                <w:sz w:val="21"/>
                <w:szCs w:val="21"/>
                <w:highlight w:val="none"/>
              </w:rPr>
              <w:t>（二）评分依据：</w:t>
            </w:r>
            <w:r>
              <w:rPr>
                <w:rFonts w:hint="eastAsia" w:ascii="宋体" w:hAnsi="宋体" w:eastAsia="宋体" w:cs="Times New Roman"/>
                <w:b w:val="0"/>
                <w:bCs w:val="0"/>
                <w:color w:val="000000"/>
                <w:sz w:val="21"/>
                <w:szCs w:val="21"/>
                <w:highlight w:val="none"/>
              </w:rPr>
              <w:br w:type="textWrapping"/>
            </w:r>
            <w:r>
              <w:rPr>
                <w:rFonts w:hint="eastAsia" w:ascii="宋体" w:hAnsi="宋体" w:eastAsia="宋体" w:cs="Times New Roman"/>
                <w:b w:val="0"/>
                <w:bCs w:val="0"/>
                <w:color w:val="000000"/>
                <w:sz w:val="21"/>
                <w:szCs w:val="21"/>
                <w:highlight w:val="none"/>
              </w:rPr>
              <w:t>投标人须提供用户出具的履约评价书扫描件（评价书需有甲方公章或业务章）。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67" w:hRule="atLeast"/>
          <w:jc w:val="center"/>
        </w:trPr>
        <w:tc>
          <w:tcPr>
            <w:tcW w:w="653" w:type="dxa"/>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yellow"/>
              </w:rPr>
            </w:pPr>
          </w:p>
        </w:tc>
        <w:tc>
          <w:tcPr>
            <w:tcW w:w="668" w:type="dxa"/>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3</w:t>
            </w:r>
          </w:p>
        </w:tc>
        <w:tc>
          <w:tcPr>
            <w:tcW w:w="1675" w:type="dxa"/>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拟安排的项目负责人情况（仅限一人）</w:t>
            </w:r>
          </w:p>
        </w:tc>
        <w:tc>
          <w:tcPr>
            <w:tcW w:w="1280" w:type="dxa"/>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10</w:t>
            </w:r>
          </w:p>
        </w:tc>
        <w:tc>
          <w:tcPr>
            <w:tcW w:w="5025" w:type="dxa"/>
            <w:tcBorders>
              <w:top w:val="single" w:color="000000" w:sz="8" w:space="0"/>
              <w:left w:val="single" w:color="000000" w:sz="8" w:space="0"/>
              <w:bottom w:val="single" w:color="000000" w:sz="8" w:space="0"/>
              <w:right w:val="single" w:color="000000" w:sz="8" w:space="0"/>
            </w:tcBorders>
            <w:vAlign w:val="center"/>
          </w:tcPr>
          <w:p>
            <w:pPr>
              <w:tabs>
                <w:tab w:val="left" w:pos="426"/>
              </w:tabs>
              <w:adjustRightInd w:val="0"/>
              <w:snapToGrid w:val="0"/>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（一）</w:t>
            </w:r>
            <w:r>
              <w:rPr>
                <w:rFonts w:hint="eastAsia" w:asciiTheme="minorEastAsia" w:hAnsiTheme="minorEastAsia" w:eastAsiaTheme="minorEastAsia" w:cstheme="minorEastAsia"/>
                <w:b/>
                <w:bCs/>
                <w:color w:val="auto"/>
                <w:sz w:val="21"/>
                <w:szCs w:val="21"/>
                <w:highlight w:val="none"/>
              </w:rPr>
              <w:t>评分内容：</w:t>
            </w:r>
          </w:p>
          <w:p>
            <w:pP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1.具备管理类或法学类专业研究生（或以上）学历的且具有硕士（或以上）学位的，得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分；具备管理类或法学类专业</w:t>
            </w:r>
            <w:r>
              <w:rPr>
                <w:rFonts w:hint="eastAsia" w:asciiTheme="minorEastAsia" w:hAnsiTheme="minorEastAsia" w:eastAsiaTheme="minorEastAsia" w:cstheme="minorEastAsia"/>
                <w:color w:val="auto"/>
                <w:sz w:val="21"/>
                <w:szCs w:val="21"/>
                <w:highlight w:val="none"/>
                <w:lang w:eastAsia="zh-CN"/>
              </w:rPr>
              <w:t>本科</w:t>
            </w:r>
            <w:r>
              <w:rPr>
                <w:rFonts w:hint="eastAsia" w:asciiTheme="minorEastAsia" w:hAnsiTheme="minorEastAsia" w:eastAsiaTheme="minorEastAsia" w:cstheme="minorEastAsia"/>
                <w:color w:val="auto"/>
                <w:sz w:val="21"/>
                <w:szCs w:val="21"/>
                <w:highlight w:val="none"/>
              </w:rPr>
              <w:t>学历的且具有</w:t>
            </w:r>
            <w:r>
              <w:rPr>
                <w:rFonts w:hint="eastAsia" w:asciiTheme="minorEastAsia" w:hAnsiTheme="minorEastAsia" w:eastAsiaTheme="minorEastAsia" w:cstheme="minorEastAsia"/>
                <w:color w:val="auto"/>
                <w:sz w:val="21"/>
                <w:szCs w:val="21"/>
                <w:highlight w:val="none"/>
                <w:lang w:eastAsia="zh-CN"/>
              </w:rPr>
              <w:t>学士</w:t>
            </w:r>
            <w:r>
              <w:rPr>
                <w:rFonts w:hint="eastAsia" w:asciiTheme="minorEastAsia" w:hAnsiTheme="minorEastAsia" w:eastAsiaTheme="minorEastAsia" w:cstheme="minorEastAsia"/>
                <w:color w:val="auto"/>
                <w:sz w:val="21"/>
                <w:szCs w:val="21"/>
                <w:highlight w:val="none"/>
              </w:rPr>
              <w:t>学位的，得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最高得</w:t>
            </w:r>
            <w:r>
              <w:rPr>
                <w:rFonts w:hint="eastAsia" w:asciiTheme="minorEastAsia" w:hAnsiTheme="minorEastAsia" w:eastAsiaTheme="minorEastAsia" w:cstheme="minorEastAsia"/>
                <w:color w:val="auto"/>
                <w:sz w:val="21"/>
                <w:szCs w:val="21"/>
                <w:highlight w:val="none"/>
                <w:lang w:val="en-US" w:eastAsia="zh-CN"/>
              </w:rPr>
              <w:t>5分。</w:t>
            </w:r>
          </w:p>
          <w:p>
            <w:pPr>
              <w:tabs>
                <w:tab w:val="left" w:pos="426"/>
              </w:tabs>
              <w:spacing w:line="24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2.具备二级及以上企业人力资源管理师证书的，得</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分；</w:t>
            </w:r>
          </w:p>
          <w:p>
            <w:pPr>
              <w:tabs>
                <w:tab w:val="left" w:pos="426"/>
              </w:tabs>
              <w:spacing w:line="24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本小项累计得分，最高分</w:t>
            </w:r>
            <w:r>
              <w:rPr>
                <w:rFonts w:hint="eastAsia" w:asciiTheme="minorEastAsia" w:hAnsiTheme="minorEastAsia" w:eastAsiaTheme="minorEastAsia" w:cstheme="minorEastAsia"/>
                <w:color w:val="000000"/>
                <w:sz w:val="21"/>
                <w:szCs w:val="21"/>
                <w:highlight w:val="none"/>
                <w:lang w:val="en-US" w:eastAsia="zh-CN"/>
              </w:rPr>
              <w:t>10</w:t>
            </w:r>
            <w:r>
              <w:rPr>
                <w:rFonts w:hint="eastAsia" w:asciiTheme="minorEastAsia" w:hAnsiTheme="minorEastAsia" w:eastAsiaTheme="minorEastAsia" w:cstheme="minorEastAsia"/>
                <w:color w:val="000000"/>
                <w:sz w:val="21"/>
                <w:szCs w:val="21"/>
                <w:highlight w:val="none"/>
              </w:rPr>
              <w:t>分。</w:t>
            </w:r>
          </w:p>
          <w:p>
            <w:pPr>
              <w:tabs>
                <w:tab w:val="left" w:pos="426"/>
              </w:tabs>
              <w:adjustRightInd w:val="0"/>
              <w:snapToGrid w:val="0"/>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（二）</w:t>
            </w:r>
            <w:r>
              <w:rPr>
                <w:rFonts w:hint="eastAsia" w:asciiTheme="minorEastAsia" w:hAnsiTheme="minorEastAsia" w:eastAsiaTheme="minorEastAsia" w:cstheme="minorEastAsia"/>
                <w:b/>
                <w:bCs/>
                <w:color w:val="auto"/>
                <w:sz w:val="21"/>
                <w:szCs w:val="21"/>
                <w:highlight w:val="none"/>
              </w:rPr>
              <w:t>评分依据：</w:t>
            </w:r>
          </w:p>
          <w:p>
            <w:pPr>
              <w:widowControl/>
              <w:tabs>
                <w:tab w:val="left" w:pos="426"/>
              </w:tabs>
              <w:spacing w:line="240" w:lineRule="auto"/>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1.需提供项目负责人学历和学位证书、资格证书。</w:t>
            </w:r>
          </w:p>
          <w:p>
            <w:pPr>
              <w:widowControl/>
              <w:tabs>
                <w:tab w:val="left" w:pos="426"/>
              </w:tabs>
              <w:spacing w:line="240" w:lineRule="auto"/>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2.项目负责人必须为投标人自有员工，需提供由投标人为项目负责人缴纳的近三个月的社保证明文件</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2024年10月-2024年12月</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，如开标上一个月的社保材料由于社保部门原因暂时无法取得，可以往前顺延一个月；如投标人为新成立企业且成立时间不足三个月提供情况说明或劳动合同</w:t>
            </w:r>
            <w:r>
              <w:rPr>
                <w:rFonts w:hint="eastAsia" w:asciiTheme="minorEastAsia" w:hAnsiTheme="minorEastAsia" w:eastAsiaTheme="minorEastAsia" w:cstheme="minorEastAsia"/>
                <w:color w:val="000000"/>
                <w:sz w:val="21"/>
                <w:szCs w:val="21"/>
                <w:highlight w:val="none"/>
                <w:lang w:val="en-US" w:eastAsia="zh-CN"/>
              </w:rPr>
              <w:t>等</w:t>
            </w:r>
            <w:r>
              <w:rPr>
                <w:rFonts w:hint="eastAsia" w:asciiTheme="minorEastAsia" w:hAnsiTheme="minorEastAsia" w:eastAsiaTheme="minorEastAsia" w:cstheme="minorEastAsia"/>
                <w:color w:val="000000"/>
                <w:sz w:val="21"/>
                <w:szCs w:val="21"/>
                <w:highlight w:val="none"/>
              </w:rPr>
              <w:t>证明材料亦视为符合。</w:t>
            </w:r>
          </w:p>
          <w:p>
            <w:pPr>
              <w:tabs>
                <w:tab w:val="left" w:pos="426"/>
              </w:tabs>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rPr>
              <w:t>备注：未提供有效证明材料的或者提供的证明材料不符合要求的或者提供的证明材料不清晰导致评审专家无法辨认的，不得分。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3" w:hRule="atLeast"/>
          <w:jc w:val="center"/>
        </w:trPr>
        <w:tc>
          <w:tcPr>
            <w:tcW w:w="653" w:type="dxa"/>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yellow"/>
              </w:rPr>
            </w:pPr>
          </w:p>
        </w:tc>
        <w:tc>
          <w:tcPr>
            <w:tcW w:w="668" w:type="dxa"/>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4</w:t>
            </w:r>
          </w:p>
        </w:tc>
        <w:tc>
          <w:tcPr>
            <w:tcW w:w="1675" w:type="dxa"/>
            <w:tcBorders>
              <w:top w:val="single" w:color="000000" w:sz="8" w:space="0"/>
              <w:left w:val="single" w:color="000000" w:sz="8" w:space="0"/>
              <w:bottom w:val="single" w:color="000000" w:sz="8" w:space="0"/>
              <w:right w:val="single" w:color="000000" w:sz="8" w:space="0"/>
            </w:tcBorders>
            <w:vAlign w:val="center"/>
          </w:tcPr>
          <w:p>
            <w:pPr>
              <w:tabs>
                <w:tab w:val="left" w:pos="426"/>
              </w:tabs>
              <w:spacing w:line="36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lang w:val="en-US" w:eastAsia="zh-CN"/>
              </w:rPr>
              <w:t>认证情况</w:t>
            </w:r>
          </w:p>
        </w:tc>
        <w:tc>
          <w:tcPr>
            <w:tcW w:w="1280" w:type="dxa"/>
            <w:tcBorders>
              <w:top w:val="single" w:color="000000" w:sz="8" w:space="0"/>
              <w:left w:val="single" w:color="000000" w:sz="8" w:space="0"/>
              <w:bottom w:val="single" w:color="000000" w:sz="8" w:space="0"/>
              <w:right w:val="single" w:color="000000" w:sz="8" w:space="0"/>
            </w:tcBorders>
            <w:vAlign w:val="center"/>
          </w:tcPr>
          <w:p>
            <w:pPr>
              <w:tabs>
                <w:tab w:val="left" w:pos="426"/>
              </w:tabs>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5025" w:type="dxa"/>
            <w:tcBorders>
              <w:top w:val="single" w:color="000000" w:sz="8" w:space="0"/>
              <w:left w:val="single" w:color="000000" w:sz="8" w:space="0"/>
              <w:bottom w:val="single" w:color="000000" w:sz="8" w:space="0"/>
              <w:right w:val="single" w:color="000000" w:sz="8" w:space="0"/>
            </w:tcBorders>
            <w:vAlign w:val="top"/>
          </w:tcPr>
          <w:p>
            <w:pPr>
              <w:spacing w:line="240" w:lineRule="auto"/>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（一）评分内容：</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投标人具有有效期内的质量管理体系认证、环境管理体系认证、职业健康安全管理体系认证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每提供1项得2分，最高</w:t>
            </w:r>
            <w:r>
              <w:rPr>
                <w:rFonts w:hint="eastAsia" w:asciiTheme="minorEastAsia" w:hAnsiTheme="minorEastAsia" w:eastAsiaTheme="minorEastAsia" w:cstheme="minorEastAsia"/>
                <w:sz w:val="21"/>
                <w:szCs w:val="21"/>
              </w:rPr>
              <w:t>得</w:t>
            </w:r>
            <w:r>
              <w:rPr>
                <w:rFonts w:hint="eastAsia" w:asciiTheme="minorEastAsia" w:hAnsiTheme="minorEastAsia" w:eastAsiaTheme="minorEastAsia" w:cstheme="minorEastAsia"/>
                <w:sz w:val="21"/>
                <w:szCs w:val="21"/>
                <w:lang w:val="en-US" w:eastAsia="zh-CN"/>
              </w:rPr>
              <w:t>6分。</w:t>
            </w:r>
          </w:p>
          <w:p>
            <w:pPr>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（二）评分依据：</w:t>
            </w:r>
          </w:p>
          <w:p>
            <w:pPr>
              <w:keepNext w:val="0"/>
              <w:keepLines w:val="0"/>
              <w:pageBreakBefore w:val="0"/>
              <w:widowControl w:val="0"/>
              <w:tabs>
                <w:tab w:val="left" w:pos="426"/>
              </w:tabs>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sz w:val="21"/>
                <w:szCs w:val="21"/>
                <w:lang w:eastAsia="zh-CN"/>
              </w:rPr>
              <w:t>需</w:t>
            </w:r>
            <w:r>
              <w:rPr>
                <w:rFonts w:hint="eastAsia" w:asciiTheme="minorEastAsia" w:hAnsiTheme="minorEastAsia" w:eastAsiaTheme="minorEastAsia" w:cstheme="minorEastAsia"/>
                <w:sz w:val="21"/>
                <w:szCs w:val="21"/>
              </w:rPr>
              <w:t>提供上述</w:t>
            </w:r>
            <w:r>
              <w:rPr>
                <w:rFonts w:hint="eastAsia" w:asciiTheme="minorEastAsia" w:hAnsiTheme="minorEastAsia" w:cstheme="minorEastAsia"/>
                <w:sz w:val="21"/>
                <w:szCs w:val="21"/>
                <w:lang w:val="en-US" w:eastAsia="zh-CN"/>
              </w:rPr>
              <w:t>认证证书</w:t>
            </w:r>
            <w:r>
              <w:rPr>
                <w:rFonts w:hint="eastAsia" w:asciiTheme="minorEastAsia" w:hAnsiTheme="minorEastAsia" w:eastAsiaTheme="minorEastAsia" w:cstheme="minorEastAsia"/>
                <w:sz w:val="21"/>
                <w:szCs w:val="21"/>
              </w:rPr>
              <w:t>扫描件</w:t>
            </w:r>
            <w:r>
              <w:rPr>
                <w:rFonts w:hint="eastAsia" w:ascii="宋体" w:hAnsi="宋体" w:cs="宋体"/>
                <w:kern w:val="0"/>
                <w:szCs w:val="21"/>
              </w:rPr>
              <w:t>及在全国认证认可信息公共服务平台或相关证书网站查询有效的截图</w:t>
            </w:r>
            <w:r>
              <w:rPr>
                <w:rFonts w:hint="eastAsia" w:asciiTheme="minorEastAsia" w:hAnsiTheme="minorEastAsia" w:eastAsiaTheme="minorEastAsia" w:cstheme="minorEastAsia"/>
                <w:sz w:val="21"/>
                <w:szCs w:val="21"/>
              </w:rPr>
              <w:t>，加盖投标人公章，原件备查。</w:t>
            </w:r>
            <w:r>
              <w:rPr>
                <w:rFonts w:hint="eastAsia" w:ascii="宋体" w:hAnsi="宋体" w:cs="宋体"/>
                <w:kern w:val="0"/>
                <w:szCs w:val="21"/>
              </w:rPr>
              <w:t>未按要求提供相关材料或无法凭所提供资料判断是否得分的或证明材料不清晰导致无法识别的，均不得相应分数。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67" w:hRule="atLeast"/>
          <w:jc w:val="center"/>
        </w:trPr>
        <w:tc>
          <w:tcPr>
            <w:tcW w:w="653" w:type="dxa"/>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yellow"/>
              </w:rPr>
            </w:pPr>
          </w:p>
        </w:tc>
        <w:tc>
          <w:tcPr>
            <w:tcW w:w="668" w:type="dxa"/>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5</w:t>
            </w:r>
          </w:p>
        </w:tc>
        <w:tc>
          <w:tcPr>
            <w:tcW w:w="1675" w:type="dxa"/>
            <w:tcBorders>
              <w:top w:val="single" w:color="000000" w:sz="8" w:space="0"/>
              <w:left w:val="single" w:color="000000" w:sz="8" w:space="0"/>
              <w:bottom w:val="single" w:color="000000" w:sz="8" w:space="0"/>
              <w:right w:val="single" w:color="000000" w:sz="8" w:space="0"/>
            </w:tcBorders>
            <w:vAlign w:val="center"/>
          </w:tcPr>
          <w:p>
            <w:pPr>
              <w:tabs>
                <w:tab w:val="left" w:pos="426"/>
              </w:tabs>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kern w:val="0"/>
                <w:sz w:val="21"/>
                <w:szCs w:val="21"/>
                <w:highlight w:val="none"/>
              </w:rPr>
              <w:t>现场服务响应时间</w:t>
            </w:r>
          </w:p>
        </w:tc>
        <w:tc>
          <w:tcPr>
            <w:tcW w:w="1280" w:type="dxa"/>
            <w:tcBorders>
              <w:top w:val="single" w:color="000000" w:sz="8" w:space="0"/>
              <w:left w:val="single" w:color="000000" w:sz="8" w:space="0"/>
              <w:bottom w:val="single" w:color="000000" w:sz="8" w:space="0"/>
              <w:right w:val="single" w:color="000000" w:sz="8" w:space="0"/>
            </w:tcBorders>
            <w:vAlign w:val="center"/>
          </w:tcPr>
          <w:p>
            <w:pPr>
              <w:tabs>
                <w:tab w:val="left" w:pos="426"/>
              </w:tabs>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5025"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val="0"/>
              <w:tabs>
                <w:tab w:val="left" w:pos="426"/>
              </w:tabs>
              <w:kinsoku/>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color w:val="auto"/>
                <w:sz w:val="21"/>
                <w:szCs w:val="21"/>
                <w:highlight w:val="none"/>
              </w:rPr>
            </w:pPr>
            <w:r>
              <w:rPr>
                <w:rFonts w:hint="default" w:asciiTheme="minorEastAsia" w:hAnsiTheme="minorEastAsia" w:cstheme="minorEastAsia"/>
                <w:b/>
                <w:color w:val="auto"/>
                <w:sz w:val="21"/>
                <w:szCs w:val="21"/>
                <w:highlight w:val="none"/>
                <w:lang w:val="en"/>
              </w:rPr>
              <w:t>（一）</w:t>
            </w:r>
            <w:r>
              <w:rPr>
                <w:rFonts w:hint="eastAsia" w:asciiTheme="minorEastAsia" w:hAnsiTheme="minorEastAsia" w:eastAsiaTheme="minorEastAsia" w:cstheme="minorEastAsia"/>
                <w:b/>
                <w:color w:val="auto"/>
                <w:sz w:val="21"/>
                <w:szCs w:val="21"/>
                <w:highlight w:val="none"/>
              </w:rPr>
              <w:t>评分内容：</w:t>
            </w:r>
          </w:p>
          <w:p>
            <w:pPr>
              <w:keepNext w:val="0"/>
              <w:keepLines w:val="0"/>
              <w:pageBreakBefore w:val="0"/>
              <w:widowControl w:val="0"/>
              <w:tabs>
                <w:tab w:val="left" w:pos="426"/>
              </w:tabs>
              <w:kinsoku/>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投标人承诺中标后在深圳设立服务网点以便响应招标人服务的，得100分，否则不得分。</w:t>
            </w:r>
          </w:p>
          <w:p>
            <w:pPr>
              <w:keepNext w:val="0"/>
              <w:keepLines w:val="0"/>
              <w:pageBreakBefore w:val="0"/>
              <w:widowControl w:val="0"/>
              <w:tabs>
                <w:tab w:val="left" w:pos="426"/>
              </w:tabs>
              <w:kinsoku/>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color w:val="auto"/>
                <w:sz w:val="21"/>
                <w:szCs w:val="21"/>
                <w:highlight w:val="none"/>
              </w:rPr>
            </w:pPr>
            <w:r>
              <w:rPr>
                <w:rFonts w:hint="default" w:asciiTheme="minorEastAsia" w:hAnsiTheme="minorEastAsia" w:cstheme="minorEastAsia"/>
                <w:b/>
                <w:color w:val="auto"/>
                <w:sz w:val="21"/>
                <w:szCs w:val="21"/>
                <w:highlight w:val="none"/>
                <w:lang w:val="en"/>
              </w:rPr>
              <w:t>（二）</w:t>
            </w:r>
            <w:r>
              <w:rPr>
                <w:rFonts w:hint="eastAsia" w:asciiTheme="minorEastAsia" w:hAnsiTheme="minorEastAsia" w:eastAsiaTheme="minorEastAsia" w:cstheme="minorEastAsia"/>
                <w:b/>
                <w:color w:val="auto"/>
                <w:sz w:val="21"/>
                <w:szCs w:val="21"/>
                <w:highlight w:val="none"/>
              </w:rPr>
              <w:t>评分依据：</w:t>
            </w:r>
          </w:p>
          <w:p>
            <w:pPr>
              <w:keepNext w:val="0"/>
              <w:keepLines w:val="0"/>
              <w:pageBreakBefore w:val="0"/>
              <w:widowControl w:val="0"/>
              <w:tabs>
                <w:tab w:val="left" w:pos="426"/>
              </w:tabs>
              <w:kinsoku/>
              <w:wordWrap w:val="0"/>
              <w:overflowPunct/>
              <w:topLinePunct w:val="0"/>
              <w:autoSpaceDE/>
              <w:autoSpaceDN/>
              <w:bidi w:val="0"/>
              <w:spacing w:line="240" w:lineRule="auto"/>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rPr>
              <w:t>提供符合要求的承诺函（格式自拟）。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7" w:hRule="atLeast"/>
          <w:jc w:val="center"/>
        </w:trPr>
        <w:tc>
          <w:tcPr>
            <w:tcW w:w="653" w:type="dxa"/>
            <w:tcBorders>
              <w:left w:val="single" w:color="000000" w:sz="8" w:space="0"/>
              <w:right w:val="single" w:color="000000" w:sz="8" w:space="0"/>
            </w:tcBorders>
            <w:vAlign w:val="center"/>
          </w:tcPr>
          <w:p>
            <w:pPr>
              <w:tabs>
                <w:tab w:val="left" w:pos="426"/>
              </w:tabs>
              <w:spacing w:after="60"/>
              <w:jc w:val="center"/>
              <w:rPr>
                <w:rFonts w:hint="default" w:ascii="Times New Roman" w:hAnsi="Times New Roman" w:cs="Times New Roman"/>
                <w:b/>
                <w:bCs/>
                <w:color w:val="auto"/>
                <w:szCs w:val="21"/>
                <w:highlight w:val="yellow"/>
              </w:rPr>
            </w:pPr>
          </w:p>
        </w:tc>
        <w:tc>
          <w:tcPr>
            <w:tcW w:w="3623" w:type="dxa"/>
            <w:gridSpan w:val="3"/>
            <w:tcBorders>
              <w:top w:val="single" w:color="000000" w:sz="8" w:space="0"/>
              <w:left w:val="single" w:color="000000" w:sz="8" w:space="0"/>
              <w:bottom w:val="single" w:color="000000" w:sz="8" w:space="0"/>
              <w:right w:val="single" w:color="000000" w:sz="8" w:space="0"/>
            </w:tcBorders>
            <w:vAlign w:val="center"/>
          </w:tcPr>
          <w:p>
            <w:pPr>
              <w:tabs>
                <w:tab w:val="left" w:pos="426"/>
              </w:tabs>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kern w:val="0"/>
                <w:sz w:val="21"/>
                <w:szCs w:val="21"/>
                <w:lang w:bidi="ar"/>
              </w:rPr>
              <w:t>诚信情况</w:t>
            </w:r>
          </w:p>
        </w:tc>
        <w:tc>
          <w:tcPr>
            <w:tcW w:w="50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tabs>
                <w:tab w:val="left" w:pos="426"/>
              </w:tabs>
              <w:kinsoku/>
              <w:wordWrap w:val="0"/>
              <w:overflowPunct/>
              <w:topLinePunct w:val="0"/>
              <w:autoSpaceDE/>
              <w:autoSpaceDN/>
              <w:bidi w:val="0"/>
              <w:spacing w:line="240" w:lineRule="atLeas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41" w:hRule="atLeast"/>
          <w:jc w:val="center"/>
        </w:trPr>
        <w:tc>
          <w:tcPr>
            <w:tcW w:w="653" w:type="dxa"/>
            <w:vMerge w:val="restart"/>
            <w:tcBorders>
              <w:left w:val="single" w:color="000000" w:sz="8" w:space="0"/>
              <w:right w:val="single" w:color="000000" w:sz="8" w:space="0"/>
            </w:tcBorders>
            <w:vAlign w:val="center"/>
          </w:tcPr>
          <w:p>
            <w:pPr>
              <w:tabs>
                <w:tab w:val="left" w:pos="426"/>
              </w:tabs>
              <w:spacing w:after="60"/>
              <w:jc w:val="center"/>
              <w:rPr>
                <w:rFonts w:hint="eastAsia" w:ascii="Times New Roman" w:hAnsi="Times New Roman" w:cs="Times New Roman" w:eastAsiaTheme="minorEastAsia"/>
                <w:b/>
                <w:bCs/>
                <w:color w:val="auto"/>
                <w:szCs w:val="21"/>
                <w:highlight w:val="yellow"/>
                <w:lang w:val="en-US" w:eastAsia="zh-CN"/>
              </w:rPr>
            </w:pPr>
            <w:r>
              <w:rPr>
                <w:rFonts w:hint="eastAsia" w:ascii="Times New Roman" w:hAnsi="Times New Roman" w:cs="Times New Roman"/>
                <w:b/>
                <w:bCs/>
                <w:color w:val="auto"/>
                <w:szCs w:val="21"/>
                <w:highlight w:val="none"/>
                <w:lang w:val="en-US" w:eastAsia="zh-CN"/>
              </w:rPr>
              <w:t>4</w:t>
            </w:r>
          </w:p>
        </w:tc>
        <w:tc>
          <w:tcPr>
            <w:tcW w:w="668" w:type="dxa"/>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序号</w:t>
            </w:r>
          </w:p>
        </w:tc>
        <w:tc>
          <w:tcPr>
            <w:tcW w:w="1675" w:type="dxa"/>
            <w:tcBorders>
              <w:top w:val="single" w:color="000000" w:sz="8" w:space="0"/>
              <w:left w:val="single" w:color="000000" w:sz="8" w:space="0"/>
              <w:bottom w:val="single" w:color="000000" w:sz="8" w:space="0"/>
              <w:right w:val="single" w:color="000000" w:sz="8" w:space="0"/>
            </w:tcBorders>
            <w:vAlign w:val="center"/>
          </w:tcPr>
          <w:p>
            <w:pPr>
              <w:tabs>
                <w:tab w:val="left" w:pos="426"/>
              </w:tabs>
              <w:spacing w:line="36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auto"/>
                <w:sz w:val="21"/>
                <w:szCs w:val="21"/>
                <w:highlight w:val="none"/>
              </w:rPr>
              <w:t>评分因素</w:t>
            </w:r>
          </w:p>
        </w:tc>
        <w:tc>
          <w:tcPr>
            <w:tcW w:w="1280" w:type="dxa"/>
            <w:tcBorders>
              <w:top w:val="single" w:color="000000" w:sz="8" w:space="0"/>
              <w:left w:val="single" w:color="000000" w:sz="8" w:space="0"/>
              <w:bottom w:val="single" w:color="000000" w:sz="8" w:space="0"/>
              <w:right w:val="single" w:color="000000" w:sz="8" w:space="0"/>
            </w:tcBorders>
            <w:vAlign w:val="center"/>
          </w:tcPr>
          <w:p>
            <w:pPr>
              <w:tabs>
                <w:tab w:val="left" w:pos="426"/>
              </w:tabs>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权重</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eastAsia="zh-CN"/>
              </w:rPr>
              <w:t>）</w:t>
            </w:r>
            <w:bookmarkStart w:id="0" w:name="_GoBack"/>
            <w:bookmarkEnd w:id="0"/>
          </w:p>
        </w:tc>
        <w:tc>
          <w:tcPr>
            <w:tcW w:w="50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tabs>
                <w:tab w:val="left" w:pos="426"/>
              </w:tabs>
              <w:kinsoku/>
              <w:wordWrap w:val="0"/>
              <w:overflowPunct/>
              <w:topLinePunct w:val="0"/>
              <w:autoSpaceDE/>
              <w:autoSpaceDN/>
              <w:bidi w:val="0"/>
              <w:spacing w:line="240" w:lineRule="atLeast"/>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auto"/>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2" w:hRule="atLeast"/>
          <w:jc w:val="center"/>
        </w:trPr>
        <w:tc>
          <w:tcPr>
            <w:tcW w:w="653" w:type="dxa"/>
            <w:vMerge w:val="continue"/>
            <w:tcBorders>
              <w:left w:val="single" w:color="000000" w:sz="8" w:space="0"/>
              <w:right w:val="single" w:color="000000" w:sz="8" w:space="0"/>
            </w:tcBorders>
            <w:vAlign w:val="center"/>
          </w:tcPr>
          <w:p>
            <w:pPr>
              <w:tabs>
                <w:tab w:val="left" w:pos="426"/>
              </w:tabs>
              <w:spacing w:after="60"/>
              <w:jc w:val="center"/>
              <w:rPr>
                <w:rFonts w:hint="default" w:ascii="Times New Roman" w:hAnsi="Times New Roman" w:cs="Times New Roman"/>
                <w:b/>
                <w:bCs/>
                <w:color w:val="auto"/>
                <w:szCs w:val="21"/>
                <w:highlight w:val="yellow"/>
              </w:rPr>
            </w:pPr>
          </w:p>
        </w:tc>
        <w:tc>
          <w:tcPr>
            <w:tcW w:w="668" w:type="dxa"/>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w:t>
            </w:r>
          </w:p>
        </w:tc>
        <w:tc>
          <w:tcPr>
            <w:tcW w:w="1675" w:type="dxa"/>
            <w:tcBorders>
              <w:top w:val="single" w:color="000000" w:sz="8" w:space="0"/>
              <w:left w:val="single" w:color="000000" w:sz="8" w:space="0"/>
              <w:bottom w:val="single" w:color="000000" w:sz="8" w:space="0"/>
              <w:right w:val="single" w:color="000000" w:sz="8" w:space="0"/>
            </w:tcBorders>
            <w:vAlign w:val="center"/>
          </w:tcPr>
          <w:p>
            <w:pPr>
              <w:tabs>
                <w:tab w:val="left" w:pos="426"/>
              </w:tabs>
              <w:spacing w:line="36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rPr>
              <w:t>诚信</w:t>
            </w:r>
          </w:p>
        </w:tc>
        <w:tc>
          <w:tcPr>
            <w:tcW w:w="1280" w:type="dxa"/>
            <w:tcBorders>
              <w:top w:val="single" w:color="000000" w:sz="8" w:space="0"/>
              <w:left w:val="single" w:color="000000" w:sz="8" w:space="0"/>
              <w:bottom w:val="single" w:color="000000" w:sz="8" w:space="0"/>
              <w:right w:val="single" w:color="000000" w:sz="8" w:space="0"/>
            </w:tcBorders>
            <w:vAlign w:val="center"/>
          </w:tcPr>
          <w:p>
            <w:pPr>
              <w:tabs>
                <w:tab w:val="left" w:pos="426"/>
              </w:tabs>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50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tabs>
                <w:tab w:val="left" w:pos="426"/>
              </w:tabs>
              <w:kinsoku/>
              <w:wordWrap w:val="0"/>
              <w:overflowPunct/>
              <w:topLinePunct w:val="0"/>
              <w:autoSpaceDE/>
              <w:autoSpaceDN/>
              <w:bidi w:val="0"/>
              <w:spacing w:line="240" w:lineRule="atLeast"/>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五、投标文件制作要求</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（一）本项目的投标报价以人民币计算</w:t>
      </w:r>
      <w:r>
        <w:rPr>
          <w:rFonts w:hint="eastAsia" w:ascii="仿宋" w:hAnsi="仿宋" w:eastAsia="仿宋" w:cs="CESI仿宋-GB2312"/>
          <w:sz w:val="32"/>
          <w:szCs w:val="32"/>
          <w:lang w:eastAsia="zh-CN"/>
        </w:rPr>
        <w:t>。</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（二）投标文件应严格按要求顺序装订成册：</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1.所投项目名称及投标人名称</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2.法人代表证明及身份证复印件或委托代理人证明及身份证复印件（格式要求详见附件）</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3.营业执照复印件（盖公章，原件备查）</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4.相关声明函（格式要求详见附件）</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5.报价详细清单、项目总价</w:t>
      </w:r>
      <w:r>
        <w:rPr>
          <w:rFonts w:hint="eastAsia" w:ascii="仿宋" w:hAnsi="仿宋" w:eastAsia="仿宋" w:cs="CESI仿宋-GB2312"/>
          <w:sz w:val="32"/>
          <w:szCs w:val="32"/>
          <w:lang w:eastAsia="zh-CN"/>
        </w:rPr>
        <w:t>。</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6.①参加政府采购活动近三年内，在经营活动中没有重大违法记录的声明函；②不存在处于被禁止参与政府采购活动期限内情形的声明函；③投标承诺书（格式要求详见附件）</w:t>
      </w:r>
      <w:r>
        <w:rPr>
          <w:rFonts w:hint="eastAsia" w:ascii="仿宋" w:hAnsi="仿宋" w:eastAsia="仿宋" w:cs="CESI仿宋-GB2312"/>
          <w:sz w:val="32"/>
          <w:szCs w:val="32"/>
          <w:lang w:eastAsia="zh-CN"/>
        </w:rPr>
        <w:t>。</w:t>
      </w:r>
    </w:p>
    <w:p>
      <w:pPr>
        <w:numPr>
          <w:ilvl w:val="-1"/>
          <w:numId w:val="0"/>
        </w:numPr>
        <w:spacing w:line="560" w:lineRule="exact"/>
        <w:ind w:firstLine="640" w:firstLineChars="200"/>
        <w:rPr>
          <w:rFonts w:hint="eastAsia" w:ascii="仿宋" w:hAnsi="仿宋" w:eastAsia="仿宋" w:cs="CESI仿宋-GB2312"/>
          <w:sz w:val="32"/>
          <w:szCs w:val="32"/>
        </w:rPr>
      </w:pPr>
      <w:r>
        <w:rPr>
          <w:rFonts w:hint="eastAsia" w:ascii="仿宋" w:hAnsi="仿宋" w:eastAsia="仿宋" w:cs="CESI仿宋-GB2312"/>
          <w:sz w:val="32"/>
          <w:szCs w:val="32"/>
        </w:rPr>
        <w:t>（三）本项目预算金额为25万元，投标人报价应包括服务成本、法定税费和企业利润等费用，投标报价不得高于本项目预算金额，高于预算金额报价的投标文件按无效标处理。</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（四）其他文件（投标单位根据评标细则选择提交的其他证明资料）。</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注：以上文件均应提供纸质材料并加盖投标单位公章，投标文件一式</w:t>
      </w:r>
      <w:r>
        <w:rPr>
          <w:rFonts w:hint="eastAsia" w:ascii="仿宋" w:hAnsi="仿宋" w:eastAsia="仿宋" w:cs="CESI仿宋-GB2312"/>
          <w:sz w:val="32"/>
          <w:szCs w:val="32"/>
          <w:lang w:eastAsia="zh-CN"/>
        </w:rPr>
        <w:t>三</w:t>
      </w:r>
      <w:r>
        <w:rPr>
          <w:rFonts w:hint="eastAsia" w:ascii="仿宋" w:hAnsi="仿宋" w:eastAsia="仿宋" w:cs="CESI仿宋-GB2312"/>
          <w:sz w:val="32"/>
          <w:szCs w:val="32"/>
        </w:rPr>
        <w:t>份，一份正本，</w:t>
      </w:r>
      <w:r>
        <w:rPr>
          <w:rFonts w:hint="eastAsia" w:ascii="仿宋" w:hAnsi="仿宋" w:eastAsia="仿宋" w:cs="CESI仿宋-GB2312"/>
          <w:sz w:val="32"/>
          <w:szCs w:val="32"/>
          <w:lang w:eastAsia="zh-CN"/>
        </w:rPr>
        <w:t>两</w:t>
      </w:r>
      <w:r>
        <w:rPr>
          <w:rFonts w:hint="eastAsia" w:ascii="仿宋" w:hAnsi="仿宋" w:eastAsia="仿宋" w:cs="CESI仿宋-GB2312"/>
          <w:sz w:val="32"/>
          <w:szCs w:val="32"/>
        </w:rPr>
        <w:t>份副本。</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六、合同签订</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通过综合评审确定候选中标单位后，采购单位将结果在</w:t>
      </w:r>
      <w:r>
        <w:rPr>
          <w:rFonts w:hint="eastAsia" w:ascii="仿宋" w:hAnsi="仿宋" w:eastAsia="仿宋" w:cs="CESI仿宋-GB2312"/>
          <w:sz w:val="32"/>
          <w:szCs w:val="32"/>
          <w:lang w:eastAsia="zh-CN"/>
        </w:rPr>
        <w:t>坪山区人民政府</w:t>
      </w:r>
      <w:r>
        <w:rPr>
          <w:rFonts w:hint="eastAsia" w:ascii="仿宋" w:hAnsi="仿宋" w:eastAsia="仿宋" w:cs="CESI仿宋-GB2312"/>
          <w:sz w:val="32"/>
          <w:szCs w:val="32"/>
        </w:rPr>
        <w:t>网站公示，公示期满无异议后，招标人向中标单位发出中标通知书，中标单位在接到招标人通知书后，必须在规定的时间内与招标人进行合同的签订工作。</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七、联系方式</w:t>
      </w:r>
    </w:p>
    <w:p>
      <w:pPr>
        <w:spacing w:line="560" w:lineRule="exact"/>
        <w:ind w:firstLine="640" w:firstLineChars="200"/>
        <w:rPr>
          <w:rFonts w:hint="eastAsia" w:ascii="仿宋" w:hAnsi="仿宋" w:eastAsia="仿宋" w:cs="CESI仿宋-GB2312"/>
          <w:sz w:val="32"/>
          <w:szCs w:val="32"/>
        </w:rPr>
      </w:pPr>
      <w:r>
        <w:rPr>
          <w:rFonts w:hint="eastAsia" w:ascii="仿宋" w:hAnsi="仿宋" w:eastAsia="仿宋" w:cs="CESI仿宋-GB2312"/>
          <w:sz w:val="32"/>
          <w:szCs w:val="32"/>
        </w:rPr>
        <w:t>（一）采购单位地址：</w:t>
      </w:r>
      <w:r>
        <w:rPr>
          <w:rFonts w:hint="eastAsia" w:ascii="仿宋" w:hAnsi="仿宋" w:eastAsia="仿宋" w:cs="CESI仿宋-GB2312"/>
          <w:sz w:val="32"/>
          <w:szCs w:val="32"/>
          <w:lang w:eastAsia="zh-CN"/>
        </w:rPr>
        <w:t>深圳市坪山区碧岭</w:t>
      </w:r>
      <w:r>
        <w:rPr>
          <w:rFonts w:hint="eastAsia" w:ascii="仿宋" w:hAnsi="仿宋" w:eastAsia="仿宋" w:cs="CESI仿宋-GB2312"/>
          <w:sz w:val="32"/>
          <w:szCs w:val="32"/>
        </w:rPr>
        <w:t>街道</w:t>
      </w:r>
      <w:r>
        <w:rPr>
          <w:rFonts w:hint="eastAsia" w:ascii="仿宋" w:hAnsi="仿宋" w:eastAsia="仿宋" w:cs="CESI仿宋-GB2312"/>
          <w:sz w:val="32"/>
          <w:szCs w:val="32"/>
          <w:lang w:eastAsia="zh-CN"/>
        </w:rPr>
        <w:t>同裕路</w:t>
      </w:r>
      <w:r>
        <w:rPr>
          <w:rFonts w:hint="eastAsia" w:ascii="仿宋" w:hAnsi="仿宋" w:eastAsia="仿宋" w:cs="CESI仿宋-GB2312"/>
          <w:sz w:val="32"/>
          <w:szCs w:val="32"/>
          <w:lang w:val="en-US" w:eastAsia="zh-CN"/>
        </w:rPr>
        <w:t>47号碧岭街道</w:t>
      </w:r>
      <w:r>
        <w:rPr>
          <w:rFonts w:hint="eastAsia" w:ascii="仿宋" w:hAnsi="仿宋" w:eastAsia="仿宋" w:cs="CESI仿宋-GB2312"/>
          <w:sz w:val="32"/>
          <w:szCs w:val="32"/>
        </w:rPr>
        <w:t>办事处</w:t>
      </w:r>
      <w:r>
        <w:rPr>
          <w:rFonts w:hint="eastAsia" w:ascii="仿宋" w:hAnsi="仿宋" w:eastAsia="仿宋" w:cs="CESI仿宋-GB2312"/>
          <w:sz w:val="32"/>
          <w:szCs w:val="32"/>
          <w:lang w:val="en-US" w:eastAsia="zh-CN"/>
        </w:rPr>
        <w:t>2号楼401室。</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（二）联系电话：</w:t>
      </w:r>
      <w:r>
        <w:rPr>
          <w:rFonts w:hint="eastAsia" w:ascii="仿宋" w:hAnsi="仿宋" w:eastAsia="仿宋" w:cs="CESI仿宋-GB2312"/>
          <w:sz w:val="32"/>
          <w:szCs w:val="32"/>
          <w:lang w:val="en-US" w:eastAsia="zh-CN"/>
        </w:rPr>
        <w:t>0755-28380875</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（三）联系人：张工</w:t>
      </w:r>
      <w:r>
        <w:rPr>
          <w:rFonts w:hint="eastAsia" w:ascii="仿宋" w:hAnsi="仿宋" w:eastAsia="仿宋" w:cs="CESI仿宋-GB2312"/>
          <w:sz w:val="32"/>
          <w:szCs w:val="32"/>
          <w:lang w:eastAsia="zh-CN"/>
        </w:rPr>
        <w:t>。</w:t>
      </w:r>
    </w:p>
    <w:p>
      <w:pPr>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rPr>
        <w:br w:type="page"/>
      </w:r>
      <w:r>
        <w:rPr>
          <w:rFonts w:hint="eastAsia" w:ascii="仿宋" w:hAnsi="仿宋" w:eastAsia="仿宋" w:cs="仿宋"/>
          <w:b/>
          <w:sz w:val="32"/>
          <w:szCs w:val="32"/>
        </w:rPr>
        <w:t>以下附件供参考：</w:t>
      </w:r>
    </w:p>
    <w:p>
      <w:pPr>
        <w:pStyle w:val="2"/>
        <w:jc w:val="both"/>
        <w:rPr>
          <w:rFonts w:ascii="仿宋" w:hAnsi="仿宋" w:eastAsia="仿宋"/>
        </w:rPr>
      </w:pPr>
      <w:r>
        <w:rPr>
          <w:rFonts w:hint="eastAsia" w:ascii="仿宋" w:hAnsi="仿宋" w:eastAsia="仿宋" w:cs="仿宋"/>
          <w:b/>
          <w:sz w:val="32"/>
          <w:szCs w:val="32"/>
        </w:rPr>
        <w:t>附件1：</w:t>
      </w:r>
    </w:p>
    <w:p>
      <w:pPr>
        <w:adjustRightInd w:val="0"/>
        <w:snapToGrid w:val="0"/>
        <w:spacing w:line="560" w:lineRule="exact"/>
        <w:jc w:val="center"/>
        <w:rPr>
          <w:rFonts w:ascii="仿宋" w:hAnsi="仿宋" w:eastAsia="仿宋" w:cs="仿宋"/>
          <w:b/>
          <w:sz w:val="32"/>
          <w:szCs w:val="32"/>
        </w:rPr>
      </w:pPr>
      <w:r>
        <w:rPr>
          <w:rFonts w:hint="eastAsia" w:ascii="仿宋" w:hAnsi="仿宋" w:eastAsia="仿宋" w:cs="仿宋"/>
          <w:b/>
          <w:sz w:val="32"/>
          <w:szCs w:val="32"/>
        </w:rPr>
        <w:t>评审项目投标资料表</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09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序号</w:t>
            </w:r>
          </w:p>
        </w:tc>
        <w:tc>
          <w:tcPr>
            <w:tcW w:w="6095"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评审细则</w:t>
            </w: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bl>
    <w:p>
      <w:pPr>
        <w:adjustRightInd w:val="0"/>
        <w:snapToGrid w:val="0"/>
        <w:spacing w:line="560" w:lineRule="exact"/>
        <w:jc w:val="left"/>
        <w:rPr>
          <w:rFonts w:ascii="仿宋" w:hAnsi="仿宋" w:eastAsia="仿宋" w:cs="仿宋"/>
          <w:szCs w:val="21"/>
        </w:rPr>
      </w:pPr>
      <w:r>
        <w:rPr>
          <w:rFonts w:hint="eastAsia" w:ascii="仿宋" w:hAnsi="仿宋" w:eastAsia="仿宋" w:cs="仿宋"/>
          <w:szCs w:val="21"/>
        </w:rPr>
        <w:t>注：请参照招标文件评标办法“评分细则”中的内容逐条填写并注明对应页码。</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rPr>
      </w:pPr>
      <w:r>
        <w:rPr>
          <w:rFonts w:hint="eastAsia" w:ascii="仿宋" w:hAnsi="仿宋" w:eastAsia="仿宋" w:cs="仿宋"/>
          <w:sz w:val="28"/>
          <w:szCs w:val="28"/>
        </w:rPr>
        <w:t xml:space="preserve">                           日期：    年  月  日</w:t>
      </w:r>
      <w:r>
        <w:rPr>
          <w:rFonts w:hint="eastAsia" w:ascii="仿宋" w:hAnsi="仿宋" w:eastAsia="仿宋"/>
        </w:rPr>
        <w:br w:type="page"/>
      </w:r>
    </w:p>
    <w:p>
      <w:pPr>
        <w:pStyle w:val="2"/>
        <w:jc w:val="both"/>
        <w:rPr>
          <w:rFonts w:ascii="仿宋" w:hAnsi="仿宋" w:eastAsia="仿宋" w:cs="仿宋"/>
          <w:b/>
          <w:sz w:val="32"/>
          <w:szCs w:val="32"/>
        </w:rPr>
      </w:pPr>
      <w:r>
        <w:rPr>
          <w:rFonts w:hint="eastAsia" w:ascii="仿宋" w:hAnsi="仿宋" w:eastAsia="仿宋" w:cs="仿宋"/>
          <w:b/>
          <w:sz w:val="32"/>
          <w:szCs w:val="32"/>
        </w:rPr>
        <w:t>附件2</w:t>
      </w:r>
    </w:p>
    <w:p>
      <w:pPr>
        <w:jc w:val="center"/>
        <w:rPr>
          <w:rFonts w:ascii="仿宋" w:hAnsi="仿宋" w:eastAsia="仿宋" w:cs="仿宋"/>
          <w:sz w:val="28"/>
          <w:szCs w:val="28"/>
        </w:rPr>
      </w:pPr>
      <w:r>
        <w:rPr>
          <w:rFonts w:hint="eastAsia" w:ascii="仿宋" w:hAnsi="仿宋" w:eastAsia="仿宋"/>
          <w:b/>
          <w:bCs/>
          <w:sz w:val="32"/>
          <w:szCs w:val="40"/>
        </w:rPr>
        <w:t>法定代表人（负责人）证明书格式</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同志，现任我单位         职务，为法定代表人（负责人），特此证明。</w:t>
      </w:r>
    </w:p>
    <w:p>
      <w:pPr>
        <w:ind w:firstLine="560" w:firstLineChars="200"/>
        <w:rPr>
          <w:rFonts w:ascii="仿宋" w:hAnsi="仿宋" w:eastAsia="仿宋" w:cs="仿宋"/>
          <w:sz w:val="28"/>
          <w:szCs w:val="28"/>
        </w:rPr>
      </w:pPr>
      <w:r>
        <w:rPr>
          <w:rFonts w:hint="eastAsia" w:ascii="仿宋" w:hAnsi="仿宋" w:eastAsia="仿宋" w:cs="仿宋"/>
          <w:sz w:val="28"/>
          <w:szCs w:val="28"/>
        </w:rPr>
        <w:t>有效日期：         签发日期：         单位盖章：</w:t>
      </w:r>
    </w:p>
    <w:p>
      <w:pPr>
        <w:ind w:firstLine="560" w:firstLineChars="200"/>
        <w:rPr>
          <w:rFonts w:ascii="仿宋" w:hAnsi="仿宋" w:eastAsia="仿宋" w:cs="仿宋"/>
          <w:sz w:val="28"/>
          <w:szCs w:val="28"/>
        </w:rPr>
      </w:pPr>
      <w:r>
        <w:rPr>
          <w:rFonts w:hint="eastAsia" w:ascii="仿宋" w:hAnsi="仿宋" w:eastAsia="仿宋" w:cs="仿宋"/>
          <w:sz w:val="28"/>
          <w:szCs w:val="28"/>
        </w:rPr>
        <w:t>附：</w:t>
      </w:r>
    </w:p>
    <w:p>
      <w:pPr>
        <w:ind w:firstLine="560" w:firstLineChars="200"/>
        <w:rPr>
          <w:rFonts w:ascii="仿宋" w:hAnsi="仿宋" w:eastAsia="仿宋" w:cs="仿宋"/>
          <w:sz w:val="28"/>
          <w:szCs w:val="28"/>
        </w:rPr>
      </w:pPr>
      <w:r>
        <w:rPr>
          <w:rFonts w:hint="eastAsia" w:ascii="仿宋" w:hAnsi="仿宋" w:eastAsia="仿宋" w:cs="仿宋"/>
          <w:sz w:val="28"/>
          <w:szCs w:val="28"/>
        </w:rPr>
        <w:t>营业执照号码：                 经济性质：</w:t>
      </w:r>
    </w:p>
    <w:p>
      <w:pPr>
        <w:ind w:firstLine="560" w:firstLineChars="200"/>
        <w:rPr>
          <w:rFonts w:ascii="仿宋" w:hAnsi="仿宋" w:eastAsia="仿宋" w:cs="仿宋"/>
          <w:sz w:val="28"/>
          <w:szCs w:val="28"/>
        </w:rPr>
      </w:pPr>
      <w:r>
        <w:rPr>
          <w:rFonts w:hint="eastAsia" w:ascii="仿宋" w:hAnsi="仿宋" w:eastAsia="仿宋" w:cs="仿宋"/>
          <w:sz w:val="28"/>
          <w:szCs w:val="28"/>
        </w:rPr>
        <w:t>主营：</w:t>
      </w:r>
    </w:p>
    <w:p>
      <w:pPr>
        <w:ind w:firstLine="560" w:firstLineChars="200"/>
        <w:rPr>
          <w:rFonts w:ascii="仿宋" w:hAnsi="仿宋" w:eastAsia="仿宋" w:cs="仿宋"/>
          <w:sz w:val="28"/>
          <w:szCs w:val="28"/>
        </w:rPr>
      </w:pPr>
      <w:r>
        <w:rPr>
          <w:rFonts w:hint="eastAsia" w:ascii="仿宋" w:hAnsi="仿宋" w:eastAsia="仿宋" w:cs="仿宋"/>
          <w:sz w:val="28"/>
          <w:szCs w:val="28"/>
        </w:rPr>
        <w:t>兼营：</w:t>
      </w:r>
    </w:p>
    <w:p>
      <w:pPr>
        <w:ind w:firstLine="560" w:firstLineChars="200"/>
        <w:rPr>
          <w:rFonts w:ascii="仿宋" w:hAnsi="仿宋" w:eastAsia="仿宋" w:cs="仿宋"/>
          <w:sz w:val="28"/>
          <w:szCs w:val="28"/>
        </w:rPr>
      </w:pPr>
      <w:r>
        <w:rPr>
          <w:rFonts w:hint="eastAsia" w:ascii="仿宋" w:hAnsi="仿宋" w:eastAsia="仿宋" w:cs="仿宋"/>
          <w:sz w:val="28"/>
          <w:szCs w:val="28"/>
        </w:rPr>
        <w:t>说明：</w:t>
      </w:r>
    </w:p>
    <w:p>
      <w:pPr>
        <w:ind w:firstLine="560" w:firstLineChars="200"/>
        <w:rPr>
          <w:rFonts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ind w:firstLine="560" w:firstLineChars="200"/>
        <w:jc w:val="left"/>
        <w:rPr>
          <w:rFonts w:ascii="仿宋" w:hAnsi="仿宋" w:eastAsia="仿宋"/>
          <w:b/>
          <w:bCs/>
          <w:sz w:val="32"/>
          <w:szCs w:val="40"/>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p/>
                          <w:p/>
                          <w:p/>
                          <w:p>
                            <w:pPr>
                              <w:jc w:val="center"/>
                            </w:pPr>
                            <w:r>
                              <w:rPr>
                                <w:rFonts w:hint="eastAsia"/>
                              </w:rPr>
                              <w:t>附：法定代表人</w:t>
                            </w:r>
                            <w:r>
                              <w:rPr>
                                <w:rFonts w:hint="eastAsia"/>
                                <w:szCs w:val="22"/>
                              </w:rPr>
                              <w:t>（负责人）</w:t>
                            </w:r>
                            <w:r>
                              <w:rPr>
                                <w:rFonts w:hint="eastAsia"/>
                              </w:rPr>
                              <w:t>身份证扫描件（正反面）</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PyYVXjaAAAACwEAAA8AAAAAAAAAAQAgAAAAOAAAAGRy&#10;cy9kb3ducmV2LnhtbFBLAQIUABQAAAAIAIdO4kCC3ay7JgIAAFcEAAAOAAAAAAAAAAEAIAAAAD8B&#10;AABkcnMvZTJvRG9jLnhtbFBLBQYAAAAABgAGAFkBAADXBQAAAAA=&#10;">
                <v:fill on="t" focussize="0,0"/>
                <v:stroke color="#000000" joinstyle="round" dashstyle="1 1" endcap="round"/>
                <v:imagedata o:title=""/>
                <o:lock v:ext="edit" aspectratio="f"/>
                <v:textbox>
                  <w:txbxContent>
                    <w:p/>
                    <w:p/>
                    <w:p/>
                    <w:p/>
                    <w:p>
                      <w:pPr>
                        <w:jc w:val="center"/>
                      </w:pPr>
                      <w:r>
                        <w:rPr>
                          <w:rFonts w:hint="eastAsia"/>
                        </w:rPr>
                        <w:t>附：法定代表人</w:t>
                      </w:r>
                      <w:r>
                        <w:rPr>
                          <w:rFonts w:hint="eastAsia"/>
                          <w:szCs w:val="22"/>
                        </w:rPr>
                        <w:t>（负责人）</w:t>
                      </w:r>
                      <w:r>
                        <w:rPr>
                          <w:rFonts w:hint="eastAsia"/>
                        </w:rPr>
                        <w:t>身份证扫描件（正反面）</w:t>
                      </w:r>
                    </w:p>
                  </w:txbxContent>
                </v:textbox>
              </v:roundrect>
            </w:pict>
          </mc:Fallback>
        </mc:AlternateContent>
      </w:r>
      <w:r>
        <w:rPr>
          <w:rFonts w:hint="eastAsia" w:ascii="仿宋" w:hAnsi="仿宋" w:eastAsia="仿宋" w:cs="仿宋"/>
          <w:sz w:val="28"/>
          <w:szCs w:val="28"/>
        </w:rPr>
        <w:t>2.内容必须填写真实、清楚，涂改无效，不得转让、买卖。</w:t>
      </w:r>
      <w:r>
        <w:rPr>
          <w:rFonts w:hint="eastAsia" w:ascii="仿宋" w:hAnsi="仿宋" w:eastAsia="仿宋" w:cs="仿宋"/>
          <w:sz w:val="28"/>
          <w:szCs w:val="28"/>
        </w:rPr>
        <w:br w:type="page"/>
      </w:r>
      <w:r>
        <w:rPr>
          <w:rFonts w:hint="eastAsia" w:ascii="仿宋" w:hAnsi="仿宋" w:eastAsia="仿宋" w:cs="宋体"/>
          <w:b/>
          <w:bCs/>
          <w:sz w:val="32"/>
          <w:szCs w:val="40"/>
        </w:rPr>
        <w:t>附件3</w:t>
      </w:r>
    </w:p>
    <w:p>
      <w:pPr>
        <w:jc w:val="center"/>
        <w:rPr>
          <w:rFonts w:ascii="仿宋" w:hAnsi="仿宋" w:eastAsia="仿宋" w:cs="仿宋"/>
        </w:rPr>
      </w:pPr>
      <w:r>
        <w:rPr>
          <w:rFonts w:hint="eastAsia" w:ascii="仿宋" w:hAnsi="仿宋" w:eastAsia="仿宋"/>
          <w:b/>
          <w:bCs/>
          <w:sz w:val="32"/>
          <w:szCs w:val="40"/>
        </w:rPr>
        <w:t>投标文件签署授权委托书格式</w:t>
      </w:r>
    </w:p>
    <w:p>
      <w:pPr>
        <w:ind w:firstLine="560" w:firstLineChars="200"/>
        <w:rPr>
          <w:rFonts w:ascii="仿宋" w:hAnsi="仿宋" w:eastAsia="仿宋" w:cs="仿宋"/>
          <w:sz w:val="28"/>
          <w:szCs w:val="32"/>
        </w:rPr>
      </w:pPr>
      <w:r>
        <w:rPr>
          <w:rFonts w:hint="eastAsia" w:ascii="仿宋" w:hAnsi="仿宋" w:eastAsia="仿宋" w:cs="仿宋"/>
          <w:sz w:val="28"/>
          <w:szCs w:val="32"/>
        </w:rPr>
        <w:t>本授权委托书声明：我</w:t>
      </w:r>
      <w:r>
        <w:rPr>
          <w:rFonts w:hint="eastAsia" w:ascii="仿宋" w:hAnsi="仿宋" w:eastAsia="仿宋" w:cs="仿宋"/>
          <w:sz w:val="28"/>
          <w:szCs w:val="32"/>
          <w:u w:val="single"/>
        </w:rPr>
        <w:t xml:space="preserve">           </w:t>
      </w:r>
      <w:r>
        <w:rPr>
          <w:rFonts w:hint="eastAsia" w:ascii="仿宋" w:hAnsi="仿宋" w:eastAsia="仿宋" w:cs="仿宋"/>
          <w:sz w:val="28"/>
          <w:szCs w:val="32"/>
        </w:rPr>
        <w:t>（姓名）系</w:t>
      </w:r>
      <w:r>
        <w:rPr>
          <w:rFonts w:hint="eastAsia" w:ascii="仿宋" w:hAnsi="仿宋" w:eastAsia="仿宋" w:cs="仿宋"/>
          <w:sz w:val="28"/>
          <w:szCs w:val="32"/>
          <w:u w:val="single"/>
        </w:rPr>
        <w:t xml:space="preserve">             </w:t>
      </w:r>
      <w:r>
        <w:rPr>
          <w:rFonts w:hint="eastAsia" w:ascii="仿宋" w:hAnsi="仿宋" w:eastAsia="仿宋" w:cs="仿宋"/>
          <w:sz w:val="28"/>
          <w:szCs w:val="32"/>
        </w:rPr>
        <w:t>（投标人名称）的法定代表人（负责人），现授权委托的</w:t>
      </w:r>
      <w:r>
        <w:rPr>
          <w:rFonts w:hint="eastAsia" w:ascii="仿宋" w:hAnsi="仿宋" w:eastAsia="仿宋" w:cs="仿宋"/>
          <w:sz w:val="28"/>
          <w:szCs w:val="32"/>
          <w:u w:val="single"/>
        </w:rPr>
        <w:t xml:space="preserve">            </w:t>
      </w:r>
      <w:r>
        <w:rPr>
          <w:rFonts w:hint="eastAsia" w:ascii="仿宋" w:hAnsi="仿宋" w:eastAsia="仿宋" w:cs="仿宋"/>
          <w:sz w:val="28"/>
          <w:szCs w:val="32"/>
        </w:rPr>
        <w:t>（姓名）为我公司签署本项目已递交的投标文件的法定代表人（负责人）的授权委托代理人，代理人全权代表我所签署的本项目已递交的投标文件内容我均承认。</w:t>
      </w:r>
    </w:p>
    <w:p>
      <w:pPr>
        <w:ind w:firstLine="560" w:firstLineChars="200"/>
        <w:rPr>
          <w:rFonts w:ascii="仿宋" w:hAnsi="仿宋" w:eastAsia="仿宋" w:cs="仿宋"/>
          <w:sz w:val="28"/>
          <w:szCs w:val="32"/>
        </w:rPr>
      </w:pPr>
      <w:r>
        <w:rPr>
          <w:rFonts w:hint="eastAsia" w:ascii="仿宋" w:hAnsi="仿宋" w:eastAsia="仿宋" w:cs="仿宋"/>
          <w:sz w:val="28"/>
          <w:szCs w:val="32"/>
        </w:rPr>
        <w:t>代理人无转委托权，特此委托。</w:t>
      </w:r>
    </w:p>
    <w:p>
      <w:pPr>
        <w:rPr>
          <w:rFonts w:ascii="仿宋" w:hAnsi="仿宋" w:eastAsia="仿宋" w:cs="仿宋"/>
          <w:sz w:val="24"/>
          <w:szCs w:val="28"/>
        </w:rPr>
      </w:pP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代理人：</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职务：</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详细通讯地址：</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邮政编码：</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lang w:eastAsia="zh-CN"/>
        </w:rPr>
        <w:t>座机</w:t>
      </w:r>
      <w:r>
        <w:rPr>
          <w:rFonts w:hint="eastAsia" w:ascii="仿宋" w:hAnsi="仿宋" w:eastAsia="仿宋" w:cs="仿宋"/>
          <w:sz w:val="28"/>
          <w:szCs w:val="36"/>
        </w:rPr>
        <w:t>电话：</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移动电话：</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传真：</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投标人：</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法定代表人</w:t>
      </w:r>
      <w:r>
        <w:rPr>
          <w:rFonts w:hint="eastAsia" w:ascii="仿宋" w:hAnsi="仿宋" w:eastAsia="仿宋" w:cs="仿宋"/>
          <w:sz w:val="28"/>
          <w:szCs w:val="32"/>
        </w:rPr>
        <w:t>（负责人）（签名或盖章）</w:t>
      </w:r>
      <w:r>
        <w:rPr>
          <w:rFonts w:hint="eastAsia" w:ascii="仿宋" w:hAnsi="仿宋" w:eastAsia="仿宋" w:cs="仿宋"/>
          <w:sz w:val="28"/>
          <w:szCs w:val="36"/>
        </w:rPr>
        <w:t>：</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授权委托日期：         年     月       日</w:t>
      </w:r>
    </w:p>
    <w:p>
      <w:pPr>
        <w:rPr>
          <w:rFonts w:ascii="仿宋" w:hAnsi="仿宋" w:eastAsia="仿宋" w:cs="仿宋"/>
          <w:b/>
          <w:bCs/>
          <w:sz w:val="40"/>
          <w:szCs w:val="48"/>
        </w:rPr>
      </w:pPr>
      <w:r>
        <w:rPr>
          <w:rFonts w:hint="eastAsia" w:ascii="仿宋" w:hAnsi="仿宋" w:eastAsia="仿宋" w:cs="仿宋"/>
          <w:sz w:val="24"/>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p/>
                          <w:p/>
                          <w:p/>
                          <w:p>
                            <w:pPr>
                              <w:jc w:val="center"/>
                            </w:pPr>
                            <w:r>
                              <w:rPr>
                                <w:rFonts w:hint="eastAsia"/>
                              </w:rPr>
                              <w:t>附：代理人身份证扫描件（正反面）</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eUQ8x2gAAAAsBAAAPAAAAAAAAAAEAIAAAADgAAABkcnMv&#10;ZG93bnJldi54bWxQSwECFAAUAAAACACHTuJAj98JXSQCAABXBAAADgAAAAAAAAABACAAAAA/AQAA&#10;ZHJzL2Uyb0RvYy54bWxQSwUGAAAAAAYABgBZAQAA1QUAAAAA&#10;">
                <v:fill on="t" focussize="0,0"/>
                <v:stroke color="#000000" joinstyle="round" dashstyle="1 1" endcap="round"/>
                <v:imagedata o:title=""/>
                <o:lock v:ext="edit" aspectratio="f"/>
                <v:textbox>
                  <w:txbxContent>
                    <w:p/>
                    <w:p/>
                    <w:p/>
                    <w:p/>
                    <w:p>
                      <w:pPr>
                        <w:jc w:val="center"/>
                      </w:pPr>
                      <w:r>
                        <w:rPr>
                          <w:rFonts w:hint="eastAsia"/>
                        </w:rPr>
                        <w:t>附：代理人身份证扫描件（正反面）</w:t>
                      </w:r>
                    </w:p>
                  </w:txbxContent>
                </v:textbox>
              </v:roundrect>
            </w:pict>
          </mc:Fallback>
        </mc:AlternateContent>
      </w:r>
      <w:r>
        <w:rPr>
          <w:rFonts w:hint="eastAsia" w:ascii="仿宋" w:hAnsi="仿宋" w:eastAsia="仿宋" w:cs="仿宋"/>
          <w:sz w:val="24"/>
          <w:szCs w:val="32"/>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附件4</w:t>
      </w:r>
    </w:p>
    <w:p>
      <w:pPr>
        <w:jc w:val="center"/>
        <w:rPr>
          <w:rFonts w:ascii="仿宋" w:hAnsi="仿宋" w:eastAsia="仿宋" w:cs="仿宋"/>
        </w:rPr>
      </w:pPr>
      <w:r>
        <w:rPr>
          <w:rFonts w:hint="eastAsia" w:ascii="仿宋" w:hAnsi="仿宋" w:eastAsia="仿宋"/>
          <w:b/>
          <w:bCs/>
          <w:sz w:val="32"/>
          <w:szCs w:val="40"/>
        </w:rPr>
        <w:t>中小企业声明函、残疾人福利性单位声明函、监狱企业声明函格式（根据实际情况进行填写）</w:t>
      </w:r>
    </w:p>
    <w:p>
      <w:pPr>
        <w:ind w:left="602"/>
        <w:jc w:val="center"/>
        <w:rPr>
          <w:rFonts w:ascii="仿宋" w:hAnsi="仿宋" w:eastAsia="仿宋" w:cs="仿宋"/>
          <w:b/>
          <w:sz w:val="30"/>
          <w:szCs w:val="30"/>
        </w:rPr>
      </w:pPr>
      <w:r>
        <w:rPr>
          <w:rFonts w:hint="eastAsia" w:ascii="仿宋" w:hAnsi="仿宋" w:eastAsia="仿宋" w:cs="仿宋"/>
          <w:b/>
          <w:sz w:val="30"/>
          <w:szCs w:val="30"/>
        </w:rPr>
        <w:t>一、中小企业声明函（仅限小型企业、微型企业）</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本公司郑重声明，根据《政府采购促进中小企业发展暂行办法》（财库〔2011〕181号）的规定，本公司为______（请填写：中型、小型、微型）企业。即本公司同时满足以下条件：</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2.本公司参加</w:t>
      </w:r>
      <w:r>
        <w:rPr>
          <w:rFonts w:hint="eastAsia" w:ascii="仿宋" w:hAnsi="仿宋" w:eastAsia="仿宋" w:cs="仿宋"/>
          <w:sz w:val="28"/>
          <w:szCs w:val="28"/>
          <w:u w:val="single"/>
        </w:rPr>
        <w:t xml:space="preserve">（采购单位名称）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项目采购活动并提供</w:t>
      </w:r>
      <w:r>
        <w:rPr>
          <w:rFonts w:hint="eastAsia" w:ascii="仿宋" w:hAnsi="仿宋" w:eastAsia="仿宋" w:cs="仿宋"/>
          <w:sz w:val="28"/>
          <w:szCs w:val="28"/>
          <w:lang w:eastAsia="zh-CN"/>
        </w:rPr>
        <w:t>：</w:t>
      </w:r>
      <w:r>
        <w:rPr>
          <w:rFonts w:hint="eastAsia" w:ascii="仿宋" w:hAnsi="仿宋" w:eastAsia="仿宋" w:cs="仿宋"/>
          <w:sz w:val="28"/>
          <w:szCs w:val="28"/>
        </w:rPr>
        <w:t>□本企业制造的货物</w:t>
      </w:r>
      <w:r>
        <w:rPr>
          <w:rFonts w:hint="eastAsia" w:ascii="仿宋" w:hAnsi="仿宋" w:eastAsia="仿宋" w:cs="仿宋"/>
          <w:sz w:val="28"/>
          <w:szCs w:val="28"/>
          <w:lang w:eastAsia="zh-CN"/>
        </w:rPr>
        <w:t>；</w:t>
      </w:r>
      <w:r>
        <w:rPr>
          <w:rFonts w:hint="eastAsia" w:ascii="仿宋" w:hAnsi="仿宋" w:eastAsia="仿宋" w:cs="仿宋"/>
          <w:sz w:val="28"/>
          <w:szCs w:val="28"/>
        </w:rPr>
        <w:t>□由本企业承担工程、 提供服务</w:t>
      </w:r>
      <w:r>
        <w:rPr>
          <w:rFonts w:hint="eastAsia" w:ascii="仿宋" w:hAnsi="仿宋" w:eastAsia="仿宋" w:cs="仿宋"/>
          <w:sz w:val="28"/>
          <w:szCs w:val="28"/>
          <w:lang w:eastAsia="zh-CN"/>
        </w:rPr>
        <w:t>；</w:t>
      </w:r>
      <w:r>
        <w:rPr>
          <w:rFonts w:hint="eastAsia" w:ascii="仿宋" w:hAnsi="仿宋" w:eastAsia="仿宋" w:cs="仿宋"/>
          <w:sz w:val="28"/>
          <w:szCs w:val="28"/>
        </w:rPr>
        <w:t>□提供其他______企业（请填写：中型、小型、微型）制造的货物（承诺人在□处打√）。本条所称货物是指单一产品采购项目中的货物，或者非单一产品采购项目中的核心产品（货物），不包括使用大型企业注册商标的货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本公司对上述声明的真实性负责。若有虚假承诺，视同提供虚假资料，将依法承担相应法律责任。</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center"/>
        <w:rPr>
          <w:rFonts w:ascii="仿宋" w:hAnsi="仿宋" w:eastAsia="仿宋"/>
        </w:rPr>
      </w:pPr>
      <w:r>
        <w:rPr>
          <w:rFonts w:hint="eastAsia" w:ascii="仿宋" w:hAnsi="仿宋" w:eastAsia="仿宋" w:cs="仿宋"/>
          <w:sz w:val="28"/>
          <w:szCs w:val="28"/>
        </w:rPr>
        <w:br w:type="page"/>
      </w:r>
    </w:p>
    <w:p>
      <w:pPr>
        <w:ind w:firstLine="560" w:firstLineChars="200"/>
        <w:jc w:val="right"/>
        <w:rPr>
          <w:rFonts w:ascii="仿宋" w:hAnsi="仿宋" w:eastAsia="仿宋" w:cs="仿宋"/>
          <w:sz w:val="28"/>
          <w:szCs w:val="28"/>
        </w:rPr>
      </w:pPr>
    </w:p>
    <w:p>
      <w:pPr>
        <w:jc w:val="center"/>
        <w:rPr>
          <w:rFonts w:ascii="仿宋" w:hAnsi="仿宋" w:eastAsia="仿宋" w:cs="仿宋"/>
          <w:b/>
          <w:sz w:val="28"/>
          <w:szCs w:val="28"/>
        </w:rPr>
      </w:pPr>
      <w:r>
        <w:rPr>
          <w:rFonts w:hint="eastAsia" w:ascii="仿宋" w:hAnsi="仿宋" w:eastAsia="仿宋" w:cs="仿宋"/>
          <w:b/>
          <w:sz w:val="28"/>
          <w:szCs w:val="28"/>
        </w:rPr>
        <w:t>二、残疾人福利性单位声明函</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8"/>
          <w:szCs w:val="28"/>
          <w:u w:val="single"/>
        </w:rPr>
        <w:t xml:space="preserve">  （采购单位名称）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项目采购活动，并提供</w:t>
      </w:r>
      <w:r>
        <w:rPr>
          <w:rFonts w:hint="eastAsia" w:ascii="仿宋" w:hAnsi="仿宋" w:eastAsia="仿宋" w:cs="仿宋"/>
          <w:sz w:val="28"/>
          <w:szCs w:val="28"/>
          <w:lang w:eastAsia="zh-CN"/>
        </w:rPr>
        <w:t>：</w:t>
      </w:r>
      <w:r>
        <w:rPr>
          <w:rFonts w:hint="eastAsia" w:ascii="仿宋" w:hAnsi="仿宋" w:eastAsia="仿宋" w:cs="仿宋"/>
          <w:sz w:val="28"/>
          <w:szCs w:val="28"/>
        </w:rPr>
        <w:t>□本单位制造的货物</w:t>
      </w:r>
      <w:r>
        <w:rPr>
          <w:rFonts w:hint="eastAsia" w:ascii="仿宋" w:hAnsi="仿宋" w:eastAsia="仿宋" w:cs="仿宋"/>
          <w:sz w:val="28"/>
          <w:szCs w:val="28"/>
          <w:lang w:eastAsia="zh-CN"/>
        </w:rPr>
        <w:t>；</w:t>
      </w:r>
      <w:r>
        <w:rPr>
          <w:rFonts w:hint="eastAsia" w:ascii="仿宋" w:hAnsi="仿宋" w:eastAsia="仿宋" w:cs="仿宋"/>
          <w:sz w:val="28"/>
          <w:szCs w:val="28"/>
        </w:rPr>
        <w:t>□由本单位承担的工程、提供服务</w:t>
      </w:r>
      <w:r>
        <w:rPr>
          <w:rFonts w:hint="eastAsia" w:ascii="仿宋" w:hAnsi="仿宋" w:eastAsia="仿宋" w:cs="仿宋"/>
          <w:sz w:val="28"/>
          <w:szCs w:val="28"/>
          <w:lang w:eastAsia="zh-CN"/>
        </w:rPr>
        <w:t>；</w:t>
      </w:r>
      <w:r>
        <w:rPr>
          <w:rFonts w:hint="eastAsia" w:ascii="仿宋" w:hAnsi="仿宋" w:eastAsia="仿宋" w:cs="仿宋"/>
          <w:sz w:val="28"/>
          <w:szCs w:val="28"/>
        </w:rPr>
        <w:t>□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numPr>
          <w:ilvl w:val="0"/>
          <w:numId w:val="2"/>
        </w:numPr>
        <w:jc w:val="center"/>
        <w:rPr>
          <w:rFonts w:ascii="仿宋" w:hAnsi="仿宋" w:eastAsia="仿宋" w:cs="仿宋"/>
          <w:b/>
          <w:sz w:val="28"/>
          <w:szCs w:val="28"/>
        </w:rPr>
      </w:pPr>
      <w:r>
        <w:rPr>
          <w:rFonts w:hint="eastAsia" w:ascii="仿宋" w:hAnsi="仿宋" w:eastAsia="仿宋" w:cs="仿宋"/>
          <w:b/>
          <w:sz w:val="28"/>
          <w:szCs w:val="28"/>
        </w:rPr>
        <w:br w:type="page"/>
      </w:r>
    </w:p>
    <w:p>
      <w:pPr>
        <w:jc w:val="center"/>
        <w:rPr>
          <w:rFonts w:ascii="仿宋" w:hAnsi="仿宋" w:eastAsia="仿宋" w:cs="仿宋"/>
          <w:b/>
          <w:sz w:val="28"/>
          <w:szCs w:val="28"/>
        </w:rPr>
      </w:pPr>
      <w:r>
        <w:rPr>
          <w:rFonts w:hint="eastAsia" w:ascii="仿宋" w:hAnsi="仿宋" w:eastAsia="仿宋" w:cs="仿宋"/>
          <w:b/>
          <w:sz w:val="28"/>
          <w:szCs w:val="28"/>
        </w:rPr>
        <w:t>三、监狱企业声明函</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本单位郑重声明，根据《财政部 司法部关于政府采购支持监狱企业发展有关问题的通知》（财库〔2014〕68号）的规定，本单位为符合条件的监狱企业，且本单位参加</w:t>
      </w:r>
      <w:r>
        <w:rPr>
          <w:rFonts w:hint="eastAsia" w:ascii="仿宋" w:hAnsi="仿宋" w:eastAsia="仿宋" w:cs="仿宋"/>
          <w:sz w:val="28"/>
          <w:szCs w:val="28"/>
          <w:u w:val="single"/>
        </w:rPr>
        <w:t xml:space="preserve"> （采购单位名称）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项目采购活动，并提供:□本单位制造的货物</w:t>
      </w:r>
      <w:r>
        <w:rPr>
          <w:rFonts w:hint="eastAsia" w:ascii="仿宋" w:hAnsi="仿宋" w:eastAsia="仿宋" w:cs="仿宋"/>
          <w:sz w:val="28"/>
          <w:szCs w:val="28"/>
          <w:lang w:eastAsia="zh-CN"/>
        </w:rPr>
        <w:t>；</w:t>
      </w:r>
      <w:r>
        <w:rPr>
          <w:rFonts w:hint="eastAsia" w:ascii="仿宋" w:hAnsi="仿宋" w:eastAsia="仿宋" w:cs="仿宋"/>
          <w:sz w:val="28"/>
          <w:szCs w:val="28"/>
        </w:rPr>
        <w:t>□由本单位承担的工程、提供服务</w:t>
      </w:r>
      <w:r>
        <w:rPr>
          <w:rFonts w:hint="eastAsia" w:ascii="仿宋" w:hAnsi="仿宋" w:eastAsia="仿宋" w:cs="仿宋"/>
          <w:sz w:val="28"/>
          <w:szCs w:val="28"/>
          <w:lang w:eastAsia="zh-CN"/>
        </w:rPr>
        <w:t>；</w:t>
      </w:r>
      <w:r>
        <w:rPr>
          <w:rFonts w:hint="eastAsia" w:ascii="仿宋" w:hAnsi="仿宋" w:eastAsia="仿宋" w:cs="仿宋"/>
          <w:sz w:val="28"/>
          <w:szCs w:val="28"/>
        </w:rPr>
        <w:t>□提供其他监狱企业制造的货物（承诺人在□处打√）。本条所称货物是指单一产品采购项目中的货物，或者非单一产品采购项目中的核心产品（货物）。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附：省级以上监狱管理局、戒毒管理局（含新疆生产建设兵团）出具的监狱企业证明文件。</w:t>
      </w:r>
    </w:p>
    <w:p>
      <w:pPr>
        <w:ind w:firstLine="560" w:firstLine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附件5</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开标一览表</w:t>
      </w:r>
    </w:p>
    <w:p>
      <w:pPr>
        <w:ind w:right="840"/>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招标编号：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投标人名称：</w:t>
      </w:r>
      <w:r>
        <w:rPr>
          <w:rFonts w:hint="eastAsia" w:ascii="仿宋" w:hAnsi="仿宋" w:eastAsia="仿宋" w:cs="仿宋"/>
          <w:sz w:val="28"/>
          <w:szCs w:val="28"/>
          <w:u w:val="single"/>
        </w:rPr>
        <w:t xml:space="preserve">      </w:t>
      </w:r>
    </w:p>
    <w:tbl>
      <w:tblPr>
        <w:tblStyle w:val="17"/>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2309"/>
        <w:gridCol w:w="1373"/>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2309"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投标总价</w:t>
            </w:r>
          </w:p>
        </w:tc>
        <w:tc>
          <w:tcPr>
            <w:tcW w:w="1373"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服务期</w:t>
            </w:r>
          </w:p>
        </w:tc>
        <w:tc>
          <w:tcPr>
            <w:tcW w:w="1849"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c>
          <w:tcPr>
            <w:tcW w:w="230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小写：</w:t>
            </w:r>
          </w:p>
        </w:tc>
        <w:tc>
          <w:tcPr>
            <w:tcW w:w="1373"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c>
          <w:tcPr>
            <w:tcW w:w="184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r>
    </w:tbl>
    <w:p>
      <w:pPr>
        <w:rPr>
          <w:rFonts w:ascii="仿宋" w:hAnsi="仿宋" w:eastAsia="仿宋" w:cs="仿宋"/>
          <w:sz w:val="28"/>
          <w:szCs w:val="28"/>
        </w:rPr>
      </w:pPr>
    </w:p>
    <w:p>
      <w:pPr>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rPr>
          <w:rFonts w:ascii="仿宋" w:hAnsi="仿宋" w:eastAsia="仿宋" w:cs="仿宋"/>
          <w:sz w:val="28"/>
          <w:szCs w:val="28"/>
        </w:rPr>
      </w:pPr>
      <w:r>
        <w:rPr>
          <w:rFonts w:hint="eastAsia" w:ascii="仿宋" w:hAnsi="仿宋" w:eastAsia="仿宋" w:cs="仿宋"/>
          <w:sz w:val="28"/>
          <w:szCs w:val="28"/>
        </w:rPr>
        <w:t>注：</w:t>
      </w:r>
    </w:p>
    <w:p>
      <w:pPr>
        <w:rPr>
          <w:rFonts w:ascii="仿宋" w:hAnsi="仿宋" w:eastAsia="仿宋" w:cs="仿宋"/>
          <w:sz w:val="28"/>
          <w:szCs w:val="28"/>
        </w:rPr>
      </w:pPr>
      <w:r>
        <w:rPr>
          <w:rFonts w:hint="eastAsia" w:ascii="仿宋" w:hAnsi="仿宋" w:eastAsia="仿宋" w:cs="仿宋"/>
          <w:sz w:val="28"/>
          <w:szCs w:val="28"/>
        </w:rPr>
        <w:t>1.此表为投标文件的组成部分，须附在正、副本的投标文件中，并另封装一份于开标信封中（信封中须同时提供法定代表人证明书、法定代表人授权委托书、被授权人身份证复印件）。</w:t>
      </w:r>
    </w:p>
    <w:p>
      <w:pPr>
        <w:rPr>
          <w:rFonts w:ascii="仿宋" w:hAnsi="仿宋" w:eastAsia="仿宋" w:cs="仿宋"/>
          <w:sz w:val="28"/>
          <w:szCs w:val="28"/>
        </w:rPr>
      </w:pPr>
      <w:r>
        <w:rPr>
          <w:rFonts w:hint="eastAsia" w:ascii="仿宋" w:hAnsi="仿宋" w:eastAsia="仿宋" w:cs="仿宋"/>
          <w:sz w:val="28"/>
          <w:szCs w:val="28"/>
        </w:rPr>
        <w:t>2.此表内投标报价为最终价，开标信封及投标文件内不得含有任何对本报价进行修改的其他说明或资料，否则为无效投标。</w:t>
      </w:r>
    </w:p>
    <w:p>
      <w:pPr>
        <w:rPr>
          <w:rFonts w:ascii="仿宋" w:hAnsi="仿宋" w:eastAsia="仿宋"/>
        </w:rPr>
      </w:pPr>
      <w:r>
        <w:rPr>
          <w:rFonts w:hint="eastAsia" w:ascii="仿宋" w:hAnsi="仿宋" w:eastAsia="仿宋"/>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附件6</w:t>
      </w:r>
    </w:p>
    <w:p>
      <w:pPr>
        <w:jc w:val="center"/>
        <w:rPr>
          <w:rFonts w:ascii="仿宋" w:hAnsi="仿宋" w:eastAsia="仿宋"/>
          <w:b/>
          <w:bCs/>
          <w:sz w:val="32"/>
          <w:szCs w:val="40"/>
        </w:rPr>
      </w:pPr>
      <w:r>
        <w:rPr>
          <w:rFonts w:hint="eastAsia" w:ascii="仿宋" w:hAnsi="仿宋" w:eastAsia="仿宋"/>
          <w:b/>
          <w:bCs/>
          <w:sz w:val="32"/>
          <w:szCs w:val="40"/>
        </w:rPr>
        <w:t>参加政府采购活动近三年内，在经营活动中没有</w:t>
      </w:r>
    </w:p>
    <w:p>
      <w:pPr>
        <w:jc w:val="center"/>
        <w:rPr>
          <w:rFonts w:ascii="仿宋" w:hAnsi="仿宋" w:eastAsia="仿宋"/>
          <w:b/>
          <w:bCs/>
          <w:sz w:val="32"/>
          <w:szCs w:val="40"/>
        </w:rPr>
      </w:pPr>
      <w:r>
        <w:rPr>
          <w:rFonts w:hint="eastAsia" w:ascii="仿宋" w:hAnsi="仿宋" w:eastAsia="仿宋"/>
          <w:b/>
          <w:bCs/>
          <w:sz w:val="32"/>
          <w:szCs w:val="40"/>
        </w:rPr>
        <w:t>重大违法记录的声明函</w:t>
      </w:r>
    </w:p>
    <w:p>
      <w:pPr>
        <w:spacing w:line="360" w:lineRule="auto"/>
        <w:rPr>
          <w:rFonts w:ascii="仿宋" w:hAnsi="仿宋" w:eastAsia="仿宋" w:cs="仿宋"/>
          <w:sz w:val="28"/>
          <w:szCs w:val="28"/>
        </w:rPr>
      </w:pPr>
      <w:r>
        <w:rPr>
          <w:rFonts w:hint="eastAsia" w:ascii="仿宋" w:hAnsi="仿宋" w:eastAsia="仿宋" w:cs="仿宋"/>
          <w:sz w:val="28"/>
          <w:szCs w:val="28"/>
        </w:rPr>
        <w:t>致深圳市坪山区碧岭街道办事处：</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我公司在参与贵单位组织的</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 政府采购活动近三年内，在经营活动中没有重大违法记录。</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我公司对该声明的真实性负责，如有不实，自愿接受法律制裁</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特此声明。</w:t>
      </w:r>
    </w:p>
    <w:p>
      <w:pPr>
        <w:ind w:left="420" w:leftChars="200"/>
        <w:jc w:val="left"/>
        <w:rPr>
          <w:rFonts w:ascii="仿宋" w:hAnsi="仿宋" w:eastAsia="仿宋" w:cs="仿宋"/>
          <w:sz w:val="28"/>
          <w:szCs w:val="28"/>
        </w:rPr>
      </w:pPr>
      <w:r>
        <w:rPr>
          <w:rFonts w:hint="eastAsia" w:ascii="仿宋" w:hAnsi="仿宋" w:eastAsia="仿宋"/>
        </w:rPr>
        <w:t xml:space="preserve">                                   </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rPr>
          <w:rFonts w:ascii="仿宋" w:hAnsi="仿宋" w:eastAsia="仿宋"/>
        </w:rPr>
      </w:pPr>
      <w:r>
        <w:rPr>
          <w:rFonts w:hint="eastAsia" w:ascii="仿宋" w:hAnsi="仿宋" w:eastAsia="仿宋"/>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附件7</w:t>
      </w:r>
    </w:p>
    <w:p>
      <w:pPr>
        <w:jc w:val="center"/>
        <w:rPr>
          <w:rFonts w:ascii="仿宋" w:hAnsi="仿宋" w:eastAsia="仿宋"/>
          <w:b/>
          <w:bCs/>
          <w:sz w:val="32"/>
          <w:szCs w:val="40"/>
        </w:rPr>
      </w:pPr>
      <w:r>
        <w:rPr>
          <w:rFonts w:hint="eastAsia" w:ascii="仿宋" w:hAnsi="仿宋" w:eastAsia="仿宋"/>
          <w:b/>
          <w:bCs/>
          <w:sz w:val="32"/>
          <w:szCs w:val="40"/>
        </w:rPr>
        <w:t xml:space="preserve">  关于不存在处于被禁止参与政府采购活动期限内情形的声明函</w:t>
      </w:r>
    </w:p>
    <w:p>
      <w:pPr>
        <w:spacing w:line="360" w:lineRule="auto"/>
        <w:rPr>
          <w:rFonts w:ascii="仿宋" w:hAnsi="仿宋" w:eastAsia="仿宋" w:cs="仿宋"/>
          <w:sz w:val="28"/>
          <w:szCs w:val="28"/>
        </w:rPr>
      </w:pPr>
      <w:r>
        <w:rPr>
          <w:rFonts w:hint="eastAsia" w:ascii="仿宋" w:hAnsi="仿宋" w:eastAsia="仿宋" w:cs="仿宋"/>
          <w:sz w:val="28"/>
          <w:szCs w:val="28"/>
        </w:rPr>
        <w:t>致深圳市坪山区碧岭街道办事处：</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我公司在参与贵单位组织的</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 政府采购活动时，不存在处于被禁止参与政府采购活动期限内情形。</w:t>
      </w:r>
    </w:p>
    <w:p>
      <w:pPr>
        <w:ind w:firstLine="560" w:firstLineChars="200"/>
        <w:jc w:val="left"/>
        <w:rPr>
          <w:rFonts w:ascii="仿宋" w:hAnsi="仿宋" w:eastAsia="仿宋" w:cs="仿宋"/>
          <w:sz w:val="32"/>
          <w:szCs w:val="32"/>
        </w:rPr>
      </w:pPr>
      <w:r>
        <w:rPr>
          <w:rFonts w:hint="eastAsia" w:ascii="仿宋" w:hAnsi="仿宋" w:eastAsia="仿宋" w:cs="仿宋"/>
          <w:sz w:val="28"/>
          <w:szCs w:val="28"/>
        </w:rPr>
        <w:t>我公司对该声明的真实性负责，如有不实，自愿接受法律制裁</w:t>
      </w:r>
      <w:r>
        <w:rPr>
          <w:rFonts w:hint="eastAsia" w:ascii="仿宋" w:hAnsi="仿宋" w:eastAsia="仿宋" w:cs="仿宋"/>
          <w:sz w:val="32"/>
          <w:szCs w:val="32"/>
        </w:rPr>
        <w:t>。</w:t>
      </w:r>
    </w:p>
    <w:p>
      <w:pPr>
        <w:ind w:left="420" w:left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spacing w:line="360" w:lineRule="auto"/>
        <w:rPr>
          <w:rFonts w:ascii="仿宋" w:hAnsi="仿宋" w:eastAsia="仿宋" w:cs="仿宋"/>
          <w:b/>
          <w:sz w:val="24"/>
        </w:rPr>
      </w:pPr>
    </w:p>
    <w:p>
      <w:pPr>
        <w:widowControl/>
        <w:adjustRightInd w:val="0"/>
        <w:snapToGrid w:val="0"/>
        <w:spacing w:line="500" w:lineRule="exact"/>
        <w:ind w:firstLine="2871" w:firstLineChars="650"/>
        <w:rPr>
          <w:rFonts w:ascii="仿宋" w:hAnsi="仿宋" w:eastAsia="仿宋" w:cs="仿宋"/>
          <w:b/>
          <w:bCs/>
          <w:sz w:val="44"/>
          <w:szCs w:val="44"/>
        </w:rPr>
      </w:pPr>
    </w:p>
    <w:p>
      <w:pPr>
        <w:widowControl/>
        <w:adjustRightInd w:val="0"/>
        <w:snapToGrid w:val="0"/>
        <w:spacing w:line="500" w:lineRule="exact"/>
        <w:ind w:firstLine="2871" w:firstLineChars="650"/>
        <w:rPr>
          <w:rFonts w:ascii="仿宋" w:hAnsi="仿宋" w:eastAsia="仿宋" w:cs="仿宋"/>
          <w:b/>
          <w:bCs/>
          <w:sz w:val="44"/>
          <w:szCs w:val="44"/>
        </w:rPr>
      </w:pPr>
    </w:p>
    <w:p>
      <w:pPr>
        <w:rPr>
          <w:rFonts w:ascii="仿宋" w:hAnsi="仿宋" w:eastAsia="仿宋" w:cs="仿宋"/>
          <w:b/>
          <w:bCs/>
          <w:sz w:val="44"/>
          <w:szCs w:val="44"/>
        </w:rPr>
      </w:pPr>
    </w:p>
    <w:p>
      <w:pPr>
        <w:spacing w:line="360" w:lineRule="auto"/>
        <w:rPr>
          <w:rFonts w:ascii="仿宋" w:hAnsi="仿宋" w:eastAsia="仿宋" w:cs="仿宋"/>
          <w:b/>
          <w:bCs/>
          <w:kern w:val="0"/>
          <w:sz w:val="24"/>
        </w:rPr>
      </w:pPr>
    </w:p>
    <w:p>
      <w:pPr>
        <w:rPr>
          <w:rFonts w:ascii="仿宋" w:hAnsi="仿宋" w:eastAsia="仿宋"/>
        </w:rPr>
      </w:pPr>
    </w:p>
    <w:p>
      <w:pPr>
        <w:widowControl/>
        <w:adjustRightInd w:val="0"/>
        <w:snapToGrid w:val="0"/>
        <w:spacing w:line="500" w:lineRule="exact"/>
        <w:ind w:firstLine="2871" w:firstLineChars="650"/>
        <w:rPr>
          <w:rFonts w:ascii="仿宋" w:hAnsi="仿宋" w:eastAsia="仿宋" w:cs="仿宋"/>
          <w:b/>
          <w:bCs/>
          <w:sz w:val="44"/>
          <w:szCs w:val="44"/>
        </w:rPr>
      </w:pPr>
      <w:r>
        <w:rPr>
          <w:rFonts w:hint="eastAsia" w:ascii="仿宋" w:hAnsi="仿宋" w:eastAsia="仿宋" w:cs="仿宋"/>
          <w:b/>
          <w:bCs/>
          <w:sz w:val="44"/>
          <w:szCs w:val="44"/>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附件8</w:t>
      </w:r>
    </w:p>
    <w:p>
      <w:pPr>
        <w:widowControl/>
        <w:adjustRightInd w:val="0"/>
        <w:snapToGrid w:val="0"/>
        <w:spacing w:line="500" w:lineRule="exact"/>
        <w:jc w:val="center"/>
        <w:rPr>
          <w:rFonts w:ascii="仿宋" w:hAnsi="仿宋" w:eastAsia="仿宋" w:cs="仿宋"/>
          <w:sz w:val="28"/>
          <w:szCs w:val="28"/>
        </w:rPr>
      </w:pPr>
      <w:r>
        <w:rPr>
          <w:rFonts w:hint="eastAsia" w:ascii="仿宋" w:hAnsi="仿宋" w:eastAsia="仿宋" w:cs="仿宋"/>
          <w:b/>
          <w:bCs/>
          <w:sz w:val="32"/>
          <w:szCs w:val="32"/>
        </w:rPr>
        <w:t>投标承诺书</w:t>
      </w:r>
    </w:p>
    <w:p>
      <w:pPr>
        <w:adjustRightInd w:val="0"/>
        <w:snapToGrid w:val="0"/>
        <w:spacing w:line="500" w:lineRule="exact"/>
        <w:ind w:right="-218" w:rightChars="-104"/>
        <w:rPr>
          <w:rFonts w:ascii="仿宋" w:hAnsi="仿宋" w:eastAsia="仿宋" w:cs="仿宋"/>
          <w:sz w:val="28"/>
          <w:szCs w:val="28"/>
          <w:u w:val="single"/>
        </w:rPr>
      </w:pPr>
      <w:r>
        <w:rPr>
          <w:rFonts w:hint="eastAsia" w:ascii="仿宋" w:hAnsi="仿宋" w:eastAsia="仿宋" w:cs="仿宋"/>
          <w:sz w:val="28"/>
          <w:szCs w:val="28"/>
        </w:rPr>
        <w:t>致深圳市坪山区碧岭街道办事处：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我方决定参加贵方项目的竞标邀请，并完全接受贵方对该项目的具体要求和标准等所有内容。为此,我方作出如下承诺：</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1.我方完全了解本项目的具体情况、费用、质量水平、标准和中标方式等，并保证严格按照相关标准实施。</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2.我方同意参与竞标，并保证在规定时间内将密封的竞标资料送碧岭街道办事处采购单位。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3.我方同意本项目在符合采购需求、质量和服务且综合评分最高的情况下确定中标单位。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4.如我方中标，我方保证派出合格的项目管理班子及专业技术人员组织本项目的实施。</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5.如我方中标后不能按采购单位要求提供货物或服务的，应在收到采购单位通知后10</w:t>
      </w:r>
      <w:r>
        <w:rPr>
          <w:rFonts w:hint="eastAsia" w:ascii="仿宋" w:hAnsi="仿宋" w:eastAsia="仿宋" w:cs="仿宋"/>
          <w:sz w:val="28"/>
          <w:szCs w:val="28"/>
          <w:lang w:eastAsia="zh-CN"/>
        </w:rPr>
        <w:t>个</w:t>
      </w:r>
      <w:r>
        <w:rPr>
          <w:rFonts w:hint="eastAsia" w:ascii="仿宋" w:hAnsi="仿宋" w:eastAsia="仿宋" w:cs="仿宋"/>
          <w:sz w:val="28"/>
          <w:szCs w:val="28"/>
        </w:rPr>
        <w:t>工作日内予以答复处理，如10</w:t>
      </w:r>
      <w:r>
        <w:rPr>
          <w:rFonts w:hint="eastAsia" w:ascii="仿宋" w:hAnsi="仿宋" w:eastAsia="仿宋" w:cs="仿宋"/>
          <w:sz w:val="28"/>
          <w:szCs w:val="28"/>
          <w:lang w:eastAsia="zh-CN"/>
        </w:rPr>
        <w:t>个工作</w:t>
      </w:r>
      <w:r>
        <w:rPr>
          <w:rFonts w:hint="eastAsia" w:ascii="仿宋" w:hAnsi="仿宋" w:eastAsia="仿宋" w:cs="仿宋"/>
          <w:sz w:val="28"/>
          <w:szCs w:val="28"/>
        </w:rPr>
        <w:t>日内不予答复处理或在答复期限满后20</w:t>
      </w:r>
      <w:r>
        <w:rPr>
          <w:rFonts w:hint="eastAsia" w:ascii="仿宋" w:hAnsi="仿宋" w:eastAsia="仿宋" w:cs="仿宋"/>
          <w:sz w:val="28"/>
          <w:szCs w:val="28"/>
          <w:lang w:eastAsia="zh-CN"/>
        </w:rPr>
        <w:t>个</w:t>
      </w:r>
      <w:r>
        <w:rPr>
          <w:rFonts w:hint="eastAsia" w:ascii="仿宋" w:hAnsi="仿宋" w:eastAsia="仿宋" w:cs="仿宋"/>
          <w:sz w:val="28"/>
          <w:szCs w:val="28"/>
        </w:rPr>
        <w:t>工作日内不予处理的，采购单位可以不予验收，并对相关项目重新进行采购。同时，三年内不参与碧岭街道办事处任何采购项目的报名投标。</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6.我方保证严格执行有关法律法规、规章、规范性文件的规定,未经招标人同意不自行挂靠、转包、分包第三方。</w:t>
      </w:r>
    </w:p>
    <w:p>
      <w:pPr>
        <w:adjustRightInd w:val="0"/>
        <w:snapToGrid w:val="0"/>
        <w:spacing w:line="500" w:lineRule="exac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adjustRightInd w:val="0"/>
        <w:snapToGrid w:val="0"/>
        <w:spacing w:line="500" w:lineRule="exact"/>
        <w:jc w:val="center"/>
        <w:rPr>
          <w:rFonts w:ascii="仿宋" w:hAnsi="仿宋" w:eastAsia="仿宋" w:cs="仿宋"/>
          <w:sz w:val="28"/>
          <w:szCs w:val="28"/>
        </w:rPr>
      </w:pPr>
    </w:p>
    <w:p>
      <w:pPr>
        <w:adjustRightInd w:val="0"/>
        <w:snapToGrid w:val="0"/>
        <w:spacing w:line="500" w:lineRule="exact"/>
        <w:ind w:right="280" w:firstLine="560" w:firstLineChars="200"/>
        <w:jc w:val="right"/>
        <w:rPr>
          <w:rFonts w:ascii="仿宋" w:hAnsi="仿宋" w:eastAsia="仿宋" w:cs="仿宋"/>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8924B"/>
    <w:multiLevelType w:val="singleLevel"/>
    <w:tmpl w:val="DFE8924B"/>
    <w:lvl w:ilvl="0" w:tentative="0">
      <w:start w:val="4"/>
      <w:numFmt w:val="chineseCounting"/>
      <w:suff w:val="nothing"/>
      <w:lvlText w:val="%1、"/>
      <w:lvlJc w:val="left"/>
      <w:rPr>
        <w:rFonts w:hint="eastAsia"/>
      </w:rPr>
    </w:lvl>
  </w:abstractNum>
  <w:abstractNum w:abstractNumId="1">
    <w:nsid w:val="571D343F"/>
    <w:multiLevelType w:val="multilevel"/>
    <w:tmpl w:val="571D343F"/>
    <w:lvl w:ilvl="0" w:tentative="0">
      <w:start w:val="1"/>
      <w:numFmt w:val="decimal"/>
      <w:suff w:val="space"/>
      <w:lvlText w:val="（%1）"/>
      <w:lvlJc w:val="left"/>
      <w:pPr>
        <w:ind w:left="1682" w:hanging="108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Dk2YzkyNjgwNzA5ZjJkMmZjM2YyN2M2ZGJhMmEifQ=="/>
  </w:docVars>
  <w:rsids>
    <w:rsidRoot w:val="008A3B1F"/>
    <w:rsid w:val="00006474"/>
    <w:rsid w:val="00046A2B"/>
    <w:rsid w:val="00047C7E"/>
    <w:rsid w:val="000517C5"/>
    <w:rsid w:val="000C2147"/>
    <w:rsid w:val="000D22B2"/>
    <w:rsid w:val="000D7169"/>
    <w:rsid w:val="000E4F2E"/>
    <w:rsid w:val="001043C5"/>
    <w:rsid w:val="00134F39"/>
    <w:rsid w:val="001478FE"/>
    <w:rsid w:val="00175EBD"/>
    <w:rsid w:val="001B0BD8"/>
    <w:rsid w:val="001C0094"/>
    <w:rsid w:val="001C50BE"/>
    <w:rsid w:val="001D5847"/>
    <w:rsid w:val="002016C3"/>
    <w:rsid w:val="002E2C55"/>
    <w:rsid w:val="002F13B5"/>
    <w:rsid w:val="00322649"/>
    <w:rsid w:val="003429D5"/>
    <w:rsid w:val="00394299"/>
    <w:rsid w:val="003B4BDD"/>
    <w:rsid w:val="003B5ADE"/>
    <w:rsid w:val="003E4508"/>
    <w:rsid w:val="003F21BA"/>
    <w:rsid w:val="003F30AC"/>
    <w:rsid w:val="00451440"/>
    <w:rsid w:val="004931E3"/>
    <w:rsid w:val="005173AA"/>
    <w:rsid w:val="005A2D45"/>
    <w:rsid w:val="005F38BD"/>
    <w:rsid w:val="005F4821"/>
    <w:rsid w:val="0061155F"/>
    <w:rsid w:val="006217A7"/>
    <w:rsid w:val="006226B3"/>
    <w:rsid w:val="00623DAD"/>
    <w:rsid w:val="00644A29"/>
    <w:rsid w:val="006450F6"/>
    <w:rsid w:val="00661591"/>
    <w:rsid w:val="00687E1E"/>
    <w:rsid w:val="006A3220"/>
    <w:rsid w:val="006E6558"/>
    <w:rsid w:val="00727FEE"/>
    <w:rsid w:val="00763502"/>
    <w:rsid w:val="00775322"/>
    <w:rsid w:val="0078257B"/>
    <w:rsid w:val="007B1632"/>
    <w:rsid w:val="007C42F9"/>
    <w:rsid w:val="007D0A69"/>
    <w:rsid w:val="007D11E0"/>
    <w:rsid w:val="008048F2"/>
    <w:rsid w:val="00804AE4"/>
    <w:rsid w:val="00846B19"/>
    <w:rsid w:val="008478CD"/>
    <w:rsid w:val="00866503"/>
    <w:rsid w:val="00885BA6"/>
    <w:rsid w:val="00897503"/>
    <w:rsid w:val="008A3B1F"/>
    <w:rsid w:val="00914DBC"/>
    <w:rsid w:val="009E7D84"/>
    <w:rsid w:val="00A00621"/>
    <w:rsid w:val="00A1368C"/>
    <w:rsid w:val="00A356EF"/>
    <w:rsid w:val="00AB437E"/>
    <w:rsid w:val="00B50FAD"/>
    <w:rsid w:val="00B54FEB"/>
    <w:rsid w:val="00B65AB8"/>
    <w:rsid w:val="00B9594A"/>
    <w:rsid w:val="00BA2184"/>
    <w:rsid w:val="00C331F4"/>
    <w:rsid w:val="00C35026"/>
    <w:rsid w:val="00C57FD0"/>
    <w:rsid w:val="00C76CFB"/>
    <w:rsid w:val="00CC3E8E"/>
    <w:rsid w:val="00CC68D2"/>
    <w:rsid w:val="00D1343F"/>
    <w:rsid w:val="00D1605E"/>
    <w:rsid w:val="00D20484"/>
    <w:rsid w:val="00D30E11"/>
    <w:rsid w:val="00D44722"/>
    <w:rsid w:val="00D65AC8"/>
    <w:rsid w:val="00D66F78"/>
    <w:rsid w:val="00D768C8"/>
    <w:rsid w:val="00DC4C46"/>
    <w:rsid w:val="00E1538A"/>
    <w:rsid w:val="00E42155"/>
    <w:rsid w:val="00E4464A"/>
    <w:rsid w:val="00E60958"/>
    <w:rsid w:val="00EB40EF"/>
    <w:rsid w:val="00F20D5D"/>
    <w:rsid w:val="00F654B0"/>
    <w:rsid w:val="01635453"/>
    <w:rsid w:val="03CF4132"/>
    <w:rsid w:val="09350950"/>
    <w:rsid w:val="0C3E508A"/>
    <w:rsid w:val="0D207AB0"/>
    <w:rsid w:val="0DD8591F"/>
    <w:rsid w:val="0F1A402A"/>
    <w:rsid w:val="10190598"/>
    <w:rsid w:val="109A0F5B"/>
    <w:rsid w:val="13561AB1"/>
    <w:rsid w:val="13E5C8F8"/>
    <w:rsid w:val="13FF19F4"/>
    <w:rsid w:val="15206918"/>
    <w:rsid w:val="15723B7B"/>
    <w:rsid w:val="167BB42F"/>
    <w:rsid w:val="187E164C"/>
    <w:rsid w:val="19FFA577"/>
    <w:rsid w:val="1A65017F"/>
    <w:rsid w:val="1CBF2F0B"/>
    <w:rsid w:val="1EE95587"/>
    <w:rsid w:val="1F27CFCB"/>
    <w:rsid w:val="1F755C86"/>
    <w:rsid w:val="1F8B6314"/>
    <w:rsid w:val="1F937535"/>
    <w:rsid w:val="1FDF38B7"/>
    <w:rsid w:val="202910A6"/>
    <w:rsid w:val="21B2484D"/>
    <w:rsid w:val="21F5FF31"/>
    <w:rsid w:val="22EF73B1"/>
    <w:rsid w:val="25AC2904"/>
    <w:rsid w:val="26C37006"/>
    <w:rsid w:val="276F6846"/>
    <w:rsid w:val="283E1AF3"/>
    <w:rsid w:val="2B185723"/>
    <w:rsid w:val="2D1521AC"/>
    <w:rsid w:val="2E00644A"/>
    <w:rsid w:val="2E1F60FA"/>
    <w:rsid w:val="2EB908D6"/>
    <w:rsid w:val="2EFF2371"/>
    <w:rsid w:val="2F370591"/>
    <w:rsid w:val="2F407907"/>
    <w:rsid w:val="2F5E5CAD"/>
    <w:rsid w:val="2FBF3833"/>
    <w:rsid w:val="2FF15973"/>
    <w:rsid w:val="3069442D"/>
    <w:rsid w:val="31840760"/>
    <w:rsid w:val="3276CA66"/>
    <w:rsid w:val="337D37B3"/>
    <w:rsid w:val="361E1B63"/>
    <w:rsid w:val="363F7C3F"/>
    <w:rsid w:val="395F5200"/>
    <w:rsid w:val="3986639D"/>
    <w:rsid w:val="3B7F24A8"/>
    <w:rsid w:val="3BBB6F2C"/>
    <w:rsid w:val="3C5509CF"/>
    <w:rsid w:val="3D0B74E7"/>
    <w:rsid w:val="3DDD681D"/>
    <w:rsid w:val="3DF96E3A"/>
    <w:rsid w:val="3E7FB8A2"/>
    <w:rsid w:val="3FFF67CF"/>
    <w:rsid w:val="405B3879"/>
    <w:rsid w:val="41D86AD0"/>
    <w:rsid w:val="42290E73"/>
    <w:rsid w:val="4303280C"/>
    <w:rsid w:val="456D60C2"/>
    <w:rsid w:val="46035045"/>
    <w:rsid w:val="46413B0F"/>
    <w:rsid w:val="472D7B5A"/>
    <w:rsid w:val="47694C08"/>
    <w:rsid w:val="47E53042"/>
    <w:rsid w:val="48333924"/>
    <w:rsid w:val="48D7696C"/>
    <w:rsid w:val="492B2775"/>
    <w:rsid w:val="492B4FED"/>
    <w:rsid w:val="49303652"/>
    <w:rsid w:val="4A195DFB"/>
    <w:rsid w:val="4BDA40DA"/>
    <w:rsid w:val="4C0842C4"/>
    <w:rsid w:val="4C923781"/>
    <w:rsid w:val="4E192899"/>
    <w:rsid w:val="4E7FB501"/>
    <w:rsid w:val="517F04EA"/>
    <w:rsid w:val="51F83978"/>
    <w:rsid w:val="52112757"/>
    <w:rsid w:val="52BF4E3F"/>
    <w:rsid w:val="53322E38"/>
    <w:rsid w:val="53737E51"/>
    <w:rsid w:val="54A46A5D"/>
    <w:rsid w:val="556F6694"/>
    <w:rsid w:val="56FF040B"/>
    <w:rsid w:val="5AF94925"/>
    <w:rsid w:val="5B79260F"/>
    <w:rsid w:val="5CC32F8F"/>
    <w:rsid w:val="5DCF0D34"/>
    <w:rsid w:val="5E6D7717"/>
    <w:rsid w:val="5E783ED2"/>
    <w:rsid w:val="623E51B7"/>
    <w:rsid w:val="64DB6919"/>
    <w:rsid w:val="656718B3"/>
    <w:rsid w:val="672A71FE"/>
    <w:rsid w:val="675437BC"/>
    <w:rsid w:val="681012B6"/>
    <w:rsid w:val="68B47F81"/>
    <w:rsid w:val="6A2E61AA"/>
    <w:rsid w:val="6AB017DC"/>
    <w:rsid w:val="6B722670"/>
    <w:rsid w:val="6CE97CAE"/>
    <w:rsid w:val="6D7F21EF"/>
    <w:rsid w:val="703A7E38"/>
    <w:rsid w:val="71B227FF"/>
    <w:rsid w:val="71CCC79D"/>
    <w:rsid w:val="71FF7805"/>
    <w:rsid w:val="72185DB2"/>
    <w:rsid w:val="73796E03"/>
    <w:rsid w:val="749A1E13"/>
    <w:rsid w:val="75F32093"/>
    <w:rsid w:val="76333A4D"/>
    <w:rsid w:val="7777EEF3"/>
    <w:rsid w:val="78DF3556"/>
    <w:rsid w:val="791B46AD"/>
    <w:rsid w:val="7A171628"/>
    <w:rsid w:val="7A79CB03"/>
    <w:rsid w:val="7A801544"/>
    <w:rsid w:val="7AB16D94"/>
    <w:rsid w:val="7BFDB369"/>
    <w:rsid w:val="7C867985"/>
    <w:rsid w:val="7CE741A4"/>
    <w:rsid w:val="7D320D5D"/>
    <w:rsid w:val="7D846406"/>
    <w:rsid w:val="7DFBC9DB"/>
    <w:rsid w:val="7E2512CF"/>
    <w:rsid w:val="7F6E2CA6"/>
    <w:rsid w:val="A61F81A9"/>
    <w:rsid w:val="B16A47DB"/>
    <w:rsid w:val="B717D2F7"/>
    <w:rsid w:val="BBF90BEA"/>
    <w:rsid w:val="BF7DE61F"/>
    <w:rsid w:val="BFF7E37F"/>
    <w:rsid w:val="DF7E6B39"/>
    <w:rsid w:val="EE7B94B8"/>
    <w:rsid w:val="F3EFCDBA"/>
    <w:rsid w:val="F3FE8CF0"/>
    <w:rsid w:val="F67FD29F"/>
    <w:rsid w:val="FD3352F7"/>
    <w:rsid w:val="FE7DE746"/>
    <w:rsid w:val="FF8F72B1"/>
    <w:rsid w:val="FFEF9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unhideWhenUsed/>
    <w:qFormat/>
    <w:uiPriority w:val="0"/>
    <w:pPr>
      <w:spacing w:before="260" w:after="260" w:line="413" w:lineRule="auto"/>
      <w:outlineLvl w:val="2"/>
    </w:pPr>
    <w:rPr>
      <w:b w:val="0"/>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Calibri" w:eastAsia="宋体" w:cs="Times New Roman"/>
      <w:sz w:val="44"/>
    </w:rPr>
  </w:style>
  <w:style w:type="paragraph" w:styleId="5">
    <w:name w:val="index 8"/>
    <w:basedOn w:val="1"/>
    <w:next w:val="1"/>
    <w:qFormat/>
    <w:uiPriority w:val="0"/>
    <w:pPr>
      <w:widowControl/>
      <w:tabs>
        <w:tab w:val="right" w:pos="8640"/>
      </w:tabs>
      <w:suppressAutoHyphens/>
      <w:spacing w:before="156" w:after="156"/>
      <w:ind w:left="1600" w:hanging="200"/>
    </w:pPr>
    <w:rPr>
      <w:kern w:val="0"/>
      <w:sz w:val="18"/>
      <w:szCs w:val="18"/>
      <w:lang w:eastAsia="en-US"/>
    </w:rPr>
  </w:style>
  <w:style w:type="paragraph" w:styleId="6">
    <w:name w:val="Normal Indent"/>
    <w:basedOn w:val="1"/>
    <w:link w:val="30"/>
    <w:qFormat/>
    <w:uiPriority w:val="0"/>
    <w:pPr>
      <w:ind w:firstLine="420" w:firstLineChars="200"/>
    </w:pPr>
    <w:rPr>
      <w:rFonts w:ascii="Times New Roman" w:hAnsi="Times New Roman" w:eastAsia="宋体" w:cs="Times New Roman"/>
    </w:rPr>
  </w:style>
  <w:style w:type="paragraph" w:styleId="7">
    <w:name w:val="annotation text"/>
    <w:basedOn w:val="1"/>
    <w:next w:val="8"/>
    <w:link w:val="26"/>
    <w:qFormat/>
    <w:uiPriority w:val="0"/>
    <w:pPr>
      <w:jc w:val="left"/>
    </w:pPr>
  </w:style>
  <w:style w:type="paragraph" w:styleId="8">
    <w:name w:val="toc 5"/>
    <w:basedOn w:val="1"/>
    <w:next w:val="1"/>
    <w:semiHidden/>
    <w:qFormat/>
    <w:uiPriority w:val="39"/>
    <w:pPr>
      <w:tabs>
        <w:tab w:val="left" w:pos="426"/>
      </w:tabs>
      <w:ind w:left="840"/>
      <w:jc w:val="left"/>
    </w:pPr>
    <w:rPr>
      <w:szCs w:val="21"/>
    </w:rPr>
  </w:style>
  <w:style w:type="paragraph" w:styleId="9">
    <w:name w:val="Plain Text"/>
    <w:basedOn w:val="1"/>
    <w:next w:val="5"/>
    <w:link w:val="29"/>
    <w:qFormat/>
    <w:uiPriority w:val="0"/>
    <w:rPr>
      <w:rFonts w:ascii="宋体" w:hAnsi="Courier New" w:eastAsia="宋体" w:cs="Times New Roman"/>
      <w:szCs w:val="20"/>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cs="宋体"/>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6">
    <w:name w:val="annotation subject"/>
    <w:basedOn w:val="7"/>
    <w:next w:val="7"/>
    <w:link w:val="27"/>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annotation reference"/>
    <w:basedOn w:val="19"/>
    <w:qFormat/>
    <w:uiPriority w:val="0"/>
    <w:rPr>
      <w:sz w:val="21"/>
      <w:szCs w:val="21"/>
    </w:rPr>
  </w:style>
  <w:style w:type="paragraph" w:customStyle="1" w:styleId="23">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character" w:customStyle="1" w:styleId="24">
    <w:name w:val="NormalCharacter"/>
    <w:semiHidden/>
    <w:qFormat/>
    <w:uiPriority w:val="0"/>
  </w:style>
  <w:style w:type="paragraph" w:customStyle="1" w:styleId="25">
    <w:name w:val="表格"/>
    <w:basedOn w:val="1"/>
    <w:qFormat/>
    <w:uiPriority w:val="0"/>
    <w:pPr>
      <w:jc w:val="center"/>
    </w:pPr>
    <w:rPr>
      <w:rFonts w:hint="eastAsia" w:ascii="仿宋" w:hAnsi="仿宋" w:eastAsia="仿宋" w:cs="仿宋"/>
      <w:kern w:val="0"/>
      <w:sz w:val="24"/>
    </w:rPr>
  </w:style>
  <w:style w:type="character" w:customStyle="1" w:styleId="26">
    <w:name w:val="批注文字 Char"/>
    <w:basedOn w:val="19"/>
    <w:link w:val="7"/>
    <w:qFormat/>
    <w:uiPriority w:val="0"/>
    <w:rPr>
      <w:kern w:val="2"/>
      <w:sz w:val="21"/>
      <w:szCs w:val="24"/>
    </w:rPr>
  </w:style>
  <w:style w:type="character" w:customStyle="1" w:styleId="27">
    <w:name w:val="批注主题 Char"/>
    <w:basedOn w:val="26"/>
    <w:link w:val="16"/>
    <w:qFormat/>
    <w:uiPriority w:val="0"/>
    <w:rPr>
      <w:b/>
      <w:bCs/>
      <w:kern w:val="2"/>
      <w:sz w:val="21"/>
      <w:szCs w:val="24"/>
    </w:rPr>
  </w:style>
  <w:style w:type="character" w:customStyle="1" w:styleId="28">
    <w:name w:val="批注框文本 Char"/>
    <w:basedOn w:val="19"/>
    <w:link w:val="10"/>
    <w:qFormat/>
    <w:uiPriority w:val="0"/>
    <w:rPr>
      <w:kern w:val="2"/>
      <w:sz w:val="18"/>
      <w:szCs w:val="18"/>
    </w:rPr>
  </w:style>
  <w:style w:type="character" w:customStyle="1" w:styleId="29">
    <w:name w:val="纯文本 Char"/>
    <w:link w:val="9"/>
    <w:qFormat/>
    <w:uiPriority w:val="0"/>
    <w:rPr>
      <w:rFonts w:ascii="宋体" w:hAnsi="Courier New" w:eastAsia="宋体" w:cs="Times New Roman"/>
      <w:szCs w:val="20"/>
    </w:rPr>
  </w:style>
  <w:style w:type="character" w:customStyle="1" w:styleId="30">
    <w:name w:val="正文缩进 Char"/>
    <w:link w:val="6"/>
    <w:qFormat/>
    <w:uiPriority w:val="0"/>
    <w:rPr>
      <w:kern w:val="2"/>
      <w:sz w:val="21"/>
      <w:szCs w:val="24"/>
    </w:rPr>
  </w:style>
  <w:style w:type="paragraph" w:customStyle="1"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7989</Words>
  <Characters>8185</Characters>
  <Lines>83</Lines>
  <Paragraphs>23</Paragraphs>
  <TotalTime>0</TotalTime>
  <ScaleCrop>false</ScaleCrop>
  <LinksUpToDate>false</LinksUpToDate>
  <CharactersWithSpaces>9115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yan</cp:lastModifiedBy>
  <cp:lastPrinted>2024-11-28T07:30:00Z</cp:lastPrinted>
  <dcterms:modified xsi:type="dcterms:W3CDTF">2024-11-28T12:28:50Z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06CC392F999A4BD88F57CA89122886A8</vt:lpwstr>
  </property>
</Properties>
</file>