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黑体"/>
          <w:szCs w:val="32"/>
        </w:rPr>
      </w:pPr>
      <w:bookmarkStart w:id="0" w:name="_GoBack"/>
      <w:r>
        <w:rPr>
          <w:rFonts w:hint="eastAsia" w:ascii="宋体" w:hAnsi="宋体" w:cs="黑体"/>
          <w:szCs w:val="32"/>
        </w:rPr>
        <w:t>居家养老消费券定点服务机构综合评估指标体系</w:t>
      </w:r>
    </w:p>
    <w:bookmarkEnd w:id="0"/>
    <w:p>
      <w:pPr>
        <w:spacing w:line="580" w:lineRule="exact"/>
        <w:jc w:val="left"/>
        <w:rPr>
          <w:rFonts w:ascii="仿宋_GB2312" w:hAnsi="仿宋" w:cs="黑体"/>
          <w:szCs w:val="32"/>
        </w:rPr>
      </w:pPr>
      <w:r>
        <w:rPr>
          <w:rFonts w:hint="eastAsia" w:ascii="仿宋_GB2312" w:hAnsi="仿宋" w:cs="黑体"/>
          <w:sz w:val="21"/>
          <w:szCs w:val="21"/>
        </w:rPr>
        <w:t>机构名称：                             评审总分：</w:t>
      </w:r>
    </w:p>
    <w:tbl>
      <w:tblPr>
        <w:tblStyle w:val="3"/>
        <w:tblW w:w="9322"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55"/>
        <w:gridCol w:w="1232"/>
        <w:gridCol w:w="1020"/>
        <w:gridCol w:w="514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8" w:hRule="atLeast"/>
        </w:trPr>
        <w:tc>
          <w:tcPr>
            <w:tcW w:w="1055" w:type="dxa"/>
            <w:vAlign w:val="center"/>
          </w:tcPr>
          <w:p>
            <w:pPr>
              <w:widowControl/>
              <w:spacing w:line="420" w:lineRule="exact"/>
              <w:jc w:val="center"/>
              <w:textAlignment w:val="top"/>
              <w:rPr>
                <w:rFonts w:ascii="仿宋_GB2312"/>
                <w:b/>
                <w:bCs/>
                <w:color w:val="000000"/>
                <w:sz w:val="24"/>
              </w:rPr>
            </w:pPr>
            <w:r>
              <w:rPr>
                <w:rFonts w:hint="eastAsia" w:ascii="仿宋_GB2312" w:hAnsi="宋体" w:cs="宋体"/>
                <w:b/>
                <w:bCs/>
                <w:color w:val="000000"/>
                <w:sz w:val="24"/>
              </w:rPr>
              <w:t>评估类别</w:t>
            </w:r>
          </w:p>
        </w:tc>
        <w:tc>
          <w:tcPr>
            <w:tcW w:w="1232" w:type="dxa"/>
            <w:vAlign w:val="center"/>
          </w:tcPr>
          <w:p>
            <w:pPr>
              <w:widowControl/>
              <w:spacing w:line="420" w:lineRule="exact"/>
              <w:jc w:val="center"/>
              <w:textAlignment w:val="top"/>
              <w:rPr>
                <w:rFonts w:ascii="仿宋_GB2312"/>
                <w:b/>
                <w:bCs/>
                <w:color w:val="000000"/>
                <w:sz w:val="24"/>
              </w:rPr>
            </w:pPr>
            <w:r>
              <w:rPr>
                <w:rFonts w:hint="eastAsia" w:ascii="仿宋_GB2312" w:hAnsi="宋体" w:cs="宋体"/>
                <w:b/>
                <w:bCs/>
                <w:color w:val="000000"/>
                <w:sz w:val="24"/>
              </w:rPr>
              <w:t>评估项目</w:t>
            </w:r>
          </w:p>
        </w:tc>
        <w:tc>
          <w:tcPr>
            <w:tcW w:w="1020" w:type="dxa"/>
            <w:vAlign w:val="center"/>
          </w:tcPr>
          <w:p>
            <w:pPr>
              <w:widowControl/>
              <w:spacing w:line="420" w:lineRule="exact"/>
              <w:jc w:val="center"/>
              <w:textAlignment w:val="top"/>
              <w:rPr>
                <w:rFonts w:ascii="仿宋_GB2312"/>
                <w:b/>
                <w:bCs/>
                <w:color w:val="000000"/>
                <w:sz w:val="24"/>
              </w:rPr>
            </w:pPr>
            <w:r>
              <w:rPr>
                <w:rFonts w:hint="eastAsia" w:ascii="仿宋_GB2312" w:hAnsi="宋体" w:cs="宋体"/>
                <w:b/>
                <w:bCs/>
                <w:color w:val="000000"/>
                <w:sz w:val="24"/>
              </w:rPr>
              <w:t>分值</w:t>
            </w:r>
          </w:p>
        </w:tc>
        <w:tc>
          <w:tcPr>
            <w:tcW w:w="5145" w:type="dxa"/>
            <w:vAlign w:val="center"/>
          </w:tcPr>
          <w:p>
            <w:pPr>
              <w:widowControl/>
              <w:spacing w:line="420" w:lineRule="exact"/>
              <w:jc w:val="center"/>
              <w:textAlignment w:val="top"/>
              <w:rPr>
                <w:rFonts w:ascii="仿宋_GB2312"/>
                <w:b/>
                <w:bCs/>
                <w:color w:val="000000"/>
                <w:sz w:val="24"/>
              </w:rPr>
            </w:pPr>
            <w:r>
              <w:rPr>
                <w:rFonts w:hint="eastAsia" w:ascii="仿宋_GB2312" w:hAnsi="宋体" w:cs="宋体"/>
                <w:b/>
                <w:bCs/>
                <w:color w:val="000000"/>
                <w:sz w:val="24"/>
              </w:rPr>
              <w:t>评分规则</w:t>
            </w:r>
          </w:p>
        </w:tc>
        <w:tc>
          <w:tcPr>
            <w:tcW w:w="870" w:type="dxa"/>
            <w:vAlign w:val="center"/>
          </w:tcPr>
          <w:p>
            <w:pPr>
              <w:widowControl/>
              <w:spacing w:line="420" w:lineRule="exact"/>
              <w:jc w:val="center"/>
              <w:textAlignment w:val="top"/>
              <w:rPr>
                <w:rFonts w:ascii="仿宋_GB2312" w:hAnsi="宋体" w:cs="宋体"/>
                <w:b/>
                <w:bCs/>
                <w:color w:val="000000"/>
                <w:sz w:val="24"/>
              </w:rPr>
            </w:pPr>
            <w:r>
              <w:rPr>
                <w:rFonts w:hint="eastAsia" w:ascii="仿宋_GB2312" w:hAnsi="宋体" w:cs="宋体"/>
                <w:b/>
                <w:bCs/>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宗旨理念</w:t>
            </w: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1、确立为老为残服务的宗旨</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3分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机构章程明确反映为老为残服务宗旨，得3分</w:t>
            </w:r>
          </w:p>
        </w:tc>
        <w:tc>
          <w:tcPr>
            <w:tcW w:w="870" w:type="dxa"/>
            <w:vMerge w:val="restart"/>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top"/>
              <w:rPr>
                <w:rFonts w:ascii="仿宋_GB2312"/>
                <w:color w:val="000000"/>
                <w:sz w:val="24"/>
              </w:rPr>
            </w:pPr>
            <w:r>
              <w:rPr>
                <w:rFonts w:hint="eastAsia" w:ascii="仿宋_GB2312" w:hAnsi="宋体" w:cs="宋体"/>
                <w:color w:val="000000"/>
                <w:sz w:val="24"/>
              </w:rPr>
              <w:t>在机构其他文件中有提出为老为残服务宗旨，得2分</w:t>
            </w:r>
          </w:p>
        </w:tc>
        <w:tc>
          <w:tcPr>
            <w:tcW w:w="870" w:type="dxa"/>
            <w:vMerge w:val="continue"/>
            <w:vAlign w:val="center"/>
          </w:tcPr>
          <w:p>
            <w:pPr>
              <w:widowControl/>
              <w:spacing w:line="420" w:lineRule="exact"/>
              <w:jc w:val="left"/>
              <w:textAlignment w:val="top"/>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没有为老为残服务宗旨，得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2、制定科学合理的发展规划</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2分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有科学合理，切实可行的发展规划，得2分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6"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有初步完整的发展规划，得1分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没有完整具有发展规划，得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8"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3、成熟的为老、为残服务理念</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2分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具备先进的为老为残服务工作理念，并在市级以上刊物发表有关论文的，得2分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注重先进为老为残服务工作理论学习，有搜集培训资料供员工学习的，得1分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没有相关论文发表，也没有搜集培训资料组织员工学习的，得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8"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4、有说明其服务的宗旨、目标、服务对象、服务的提供方法，以及服务使用者申请接受和退出该项服务机制的服务宣传资料供人查阅</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3分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宣传资料对其服务的宗旨、目标、服务对象、服务的提供方法，以及服务使用者申请接受和退出该项服务机制有完备描述，得3分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16"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宣传资料对其服务的宗旨、目标、服务对象、服务的提供方法，以及服务使用者申请接受和退出该项服务机制描述欠完备，得1-2分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没有相关宣传资料的，得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硬件设施</w:t>
            </w: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1、有固定办公场所</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5分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有固定办公场所，且办公场所与服务配套场所已适当间隔开，得5分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有固定办公场所，但未与服务配套场所适当间隔开，得3分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没有固定办公场所，取消申请资格</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2、有与服务内容相配套的场所</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8分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完全符合《服务项目相配套场所参考标准》，得8分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1"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开展的服务项目没有场地要求的，且符合消防安全要求的，得6分，不符合消防安全要求的责令改正，再行申报</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不多于3项不符合《服务项目配套场所参考标准》，得3-4分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某项服务项目超过3项不符合《服务项目配套场所参考标准》，得0-1分，并取消相应服务项目申报</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7"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3、具备电话、电脑、传真机等基本办公设备</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具备基本办公设备，得4分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缺一样，得2分，缺两样，得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4、有开展服务应具备的服务设施</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8分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完全符合《服务项目配套设施参考标准》，得8分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开展的服务项目没有设施要求的，得6分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基本符合《服务项目配套场所参考标准》，得3-4分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某项服务项目不符合《服务项目配套场所参考标准》，得0-1分，并取消相应服务项目申报</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工作人员</w:t>
            </w: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1、具有专业资格工作人员占从业人员比例</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比例≥50%，得4分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50%＞比例≥20%，得3分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20%＞比例≥0%，得2分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没有具有专业资格工作人员的，得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2、行政管理人员占机构总人数的比例</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比例≤10%，得3-4分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15%≥比例＞10%，得1-2分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比例＞15%，得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3、有专职出纳，且不兼任会计</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符合要求，且有专职会计，得3-4分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符合要求，会计为兼职，得1-2分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不符合要求，责令改正，得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4、吸收本市户籍失业人员</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本市户籍失业人员占从业人员50%以上，得4分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本市户籍失业人员占从业人员20-50%以上，得3分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本市户籍失业人员占从业人员5-20%以上，得2分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本市户籍失业人员占从业人员5%以下，得1分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5、组织从业人员定期培训</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有组织定期培训，有培训材料，得3-4分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有定期培训，但没有培训材料，得1-2分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没有培训制度的，得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3" w:hRule="atLeast"/>
        </w:trPr>
        <w:tc>
          <w:tcPr>
            <w:tcW w:w="1055"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服务管理制度</w:t>
            </w: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1、组织机构和工作流程清晰，有健全的部门及岗位职责说明</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6分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有组织结构图和各项工作流程图可供查阅，有完善的部门和岗位职责说明，得5-6分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有组织结构图，主要工作有流程图可供查阅，部门和岗位职责说明不够完备，得3-4分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有组织结构图和基本的部门和岗位职责说明，得1-2分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无组织结构图、工作流程、部门岗位职责说明，得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2、有制定明确详细的收费标准</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3分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按提供服务的最基本单位制定收费标准，优惠政策详尽，得3分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按提供的服务项目制定收费标准，得1分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8"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收费标准不明确，不具操作性，得</w:t>
            </w:r>
            <w:r>
              <w:rPr>
                <w:rFonts w:hint="eastAsia" w:ascii="仿宋_GB2312" w:cs="宋体"/>
                <w:color w:val="000000"/>
                <w:sz w:val="24"/>
              </w:rPr>
              <w:t>0</w:t>
            </w:r>
            <w:r>
              <w:rPr>
                <w:rFonts w:hint="eastAsia" w:ascii="仿宋_GB2312" w:hAnsi="宋体" w:cs="宋体"/>
                <w:color w:val="000000"/>
                <w:sz w:val="24"/>
              </w:rPr>
              <w:t>分，没有收费标准的，责令整改后重新申报</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3、有统一的工作服，员工佩戴工牌进行工作</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符合要求，得4分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统一工作服和佩戴工牌，只符合其一的，得2分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两项都不符合，得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4、与服务对象签订服务协议书</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3分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服务协议书条款清晰、明确，得3分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有签订服务协议书，得1分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没有签订服务协议书的，得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2"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5、建立了包含服务协议书、身份证及户口簿复印件、服务对象相片、应急处理联系人等信息的服务档案</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建立了资料详尽的服务档案，且有专人管理，易于查找，有档案保密措施，得4分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建立了资料详细的服务档案，有档案保密措施，得3分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建立了资料详细的服务档案，得2分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建立了服务档案，但缺乏某一项信息的，得1分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未建立服务档案，或服务档案信息严重缺乏，得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6、建立各项服务操作流程，并确保严格执行</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5分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有严谨规范的服务操作流程，并具备有效措施确保操作流程严格执行，得5分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操作流程较规范，有确保操作流程执行的制度，得3分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有操作流程，得1分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没有操作流程，得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6"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7、确保提供服务被详尽、及时的记录（服务记录应包括服务日期，服务时间段、服务人员，服务的具体事项、解决的问题，服务收到的效果或服务对象的评价等）</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5分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对每次提供的服务有详细记录，且记录时间不晚于提供服务后的次日内，有设立合理的抽检评估制度，得5分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1"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对每次提供的服务有详细记录，且记录时间不晚于提供服务后的3日内，有设立合理的抽检评估制度，得4分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对每次提供的服务有详细记录，但记录不太及时，或者记录时间不晚于提供服务后3日内，但未设立抽检评估制度，得2分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对每次提供的服务有记录，但记录不详细，得1分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未按次记录服务情况的，得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1" w:hRule="atLeast"/>
        </w:trPr>
        <w:tc>
          <w:tcPr>
            <w:tcW w:w="1055"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服务跟踪评估</w:t>
            </w: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1、服务人员服务质量评估</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5分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有规范、健全的服务人员服务质量评估制度和操作方法，得5分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有基本的服务人员服务质量评估制度和操作方法，得3分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有服务人员服务质量评估的框架，但尚未形成具体实施的制度，得1分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没有服务人员服务质量评估这方面的考虑，得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1055" w:type="dxa"/>
            <w:vMerge w:val="continue"/>
            <w:vAlign w:val="center"/>
          </w:tcPr>
          <w:p>
            <w:pPr>
              <w:widowControl/>
              <w:spacing w:line="420" w:lineRule="exact"/>
              <w:jc w:val="left"/>
              <w:textAlignment w:val="center"/>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2、对服务对象回访</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6分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有完善的服务对象回访制度和措施，设计有回访调查问卷，并切实实施的，得6分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trPr>
        <w:tc>
          <w:tcPr>
            <w:tcW w:w="1055" w:type="dxa"/>
            <w:vMerge w:val="continue"/>
            <w:vAlign w:val="center"/>
          </w:tcPr>
          <w:p>
            <w:pPr>
              <w:widowControl/>
              <w:spacing w:line="420" w:lineRule="exact"/>
              <w:jc w:val="left"/>
              <w:textAlignment w:val="center"/>
              <w:rPr>
                <w:rFonts w:ascii="仿宋_GB2312"/>
                <w:color w:val="000000"/>
                <w:sz w:val="24"/>
              </w:rPr>
            </w:pPr>
          </w:p>
        </w:tc>
        <w:tc>
          <w:tcPr>
            <w:tcW w:w="1232" w:type="dxa"/>
            <w:vMerge w:val="continue"/>
            <w:vAlign w:val="center"/>
          </w:tcPr>
          <w:p>
            <w:pPr>
              <w:widowControl/>
              <w:spacing w:line="420" w:lineRule="exact"/>
              <w:jc w:val="left"/>
              <w:textAlignment w:val="center"/>
              <w:rPr>
                <w:rFonts w:ascii="仿宋_GB2312"/>
                <w:color w:val="000000"/>
                <w:sz w:val="24"/>
              </w:rPr>
            </w:pPr>
          </w:p>
        </w:tc>
        <w:tc>
          <w:tcPr>
            <w:tcW w:w="1020" w:type="dxa"/>
            <w:vMerge w:val="continue"/>
            <w:vAlign w:val="center"/>
          </w:tcPr>
          <w:p>
            <w:pPr>
              <w:widowControl/>
              <w:spacing w:line="420" w:lineRule="exact"/>
              <w:jc w:val="center"/>
              <w:textAlignment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有完善的服务对象回访制度和措施，且有实施记录的，得5分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widowControl/>
              <w:spacing w:line="420" w:lineRule="exact"/>
              <w:jc w:val="left"/>
              <w:textAlignment w:val="center"/>
              <w:rPr>
                <w:rFonts w:ascii="仿宋_GB2312"/>
                <w:color w:val="000000"/>
                <w:sz w:val="24"/>
              </w:rPr>
            </w:pPr>
          </w:p>
        </w:tc>
        <w:tc>
          <w:tcPr>
            <w:tcW w:w="1232" w:type="dxa"/>
            <w:vMerge w:val="continue"/>
            <w:vAlign w:val="center"/>
          </w:tcPr>
          <w:p>
            <w:pPr>
              <w:widowControl/>
              <w:spacing w:line="420" w:lineRule="exact"/>
              <w:jc w:val="left"/>
              <w:textAlignment w:val="center"/>
              <w:rPr>
                <w:rFonts w:ascii="仿宋_GB2312"/>
                <w:color w:val="000000"/>
                <w:sz w:val="24"/>
              </w:rPr>
            </w:pPr>
          </w:p>
        </w:tc>
        <w:tc>
          <w:tcPr>
            <w:tcW w:w="1020" w:type="dxa"/>
            <w:vMerge w:val="continue"/>
            <w:vAlign w:val="center"/>
          </w:tcPr>
          <w:p>
            <w:pPr>
              <w:widowControl/>
              <w:spacing w:line="420" w:lineRule="exact"/>
              <w:jc w:val="center"/>
              <w:textAlignment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有基本的服务对象回访制度和措施，且有实施记录的，得4分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有服务对象回访制度和措施，但没有实施记录的，得2分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没有服务对象回访机制的，得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trPr>
        <w:tc>
          <w:tcPr>
            <w:tcW w:w="1055" w:type="dxa"/>
            <w:vMerge w:val="continue"/>
            <w:vAlign w:val="center"/>
          </w:tcPr>
          <w:p>
            <w:pPr>
              <w:spacing w:line="420" w:lineRule="exact"/>
              <w:jc w:val="left"/>
              <w:rPr>
                <w:rFonts w:ascii="仿宋_GB2312"/>
                <w:color w:val="000000"/>
                <w:sz w:val="24"/>
              </w:rPr>
            </w:pPr>
          </w:p>
        </w:tc>
        <w:tc>
          <w:tcPr>
            <w:tcW w:w="1232" w:type="dxa"/>
            <w:vMerge w:val="restart"/>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3、制定投诉/建议处理机制并实施</w:t>
            </w:r>
          </w:p>
        </w:tc>
        <w:tc>
          <w:tcPr>
            <w:tcW w:w="1020" w:type="dxa"/>
            <w:vMerge w:val="restart"/>
            <w:vAlign w:val="center"/>
          </w:tcPr>
          <w:p>
            <w:pPr>
              <w:widowControl/>
              <w:spacing w:line="420" w:lineRule="exact"/>
              <w:jc w:val="center"/>
              <w:textAlignment w:val="center"/>
              <w:rPr>
                <w:rFonts w:ascii="仿宋_GB2312"/>
                <w:color w:val="000000"/>
                <w:sz w:val="24"/>
              </w:rPr>
            </w:pPr>
            <w:r>
              <w:rPr>
                <w:rFonts w:hint="eastAsia" w:ascii="仿宋_GB2312" w:hAnsi="宋体" w:cs="宋体"/>
                <w:color w:val="000000"/>
                <w:sz w:val="24"/>
              </w:rPr>
              <w:t>4分</w:t>
            </w: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处理机制合理规范，且运行良好，得4分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建立处理机制，且确保实施，得2-3分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建议处理机制，但没有证据表明已实施，得1分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 w:hRule="atLeast"/>
        </w:trPr>
        <w:tc>
          <w:tcPr>
            <w:tcW w:w="1055" w:type="dxa"/>
            <w:vMerge w:val="continue"/>
            <w:vAlign w:val="center"/>
          </w:tcPr>
          <w:p>
            <w:pPr>
              <w:spacing w:line="420" w:lineRule="exact"/>
              <w:jc w:val="left"/>
              <w:rPr>
                <w:rFonts w:ascii="仿宋_GB2312"/>
                <w:color w:val="000000"/>
                <w:sz w:val="24"/>
              </w:rPr>
            </w:pPr>
          </w:p>
        </w:tc>
        <w:tc>
          <w:tcPr>
            <w:tcW w:w="1232" w:type="dxa"/>
            <w:vMerge w:val="continue"/>
            <w:vAlign w:val="center"/>
          </w:tcPr>
          <w:p>
            <w:pPr>
              <w:spacing w:line="420" w:lineRule="exact"/>
              <w:jc w:val="left"/>
              <w:rPr>
                <w:rFonts w:ascii="仿宋_GB2312"/>
                <w:color w:val="000000"/>
                <w:sz w:val="24"/>
              </w:rPr>
            </w:pPr>
          </w:p>
        </w:tc>
        <w:tc>
          <w:tcPr>
            <w:tcW w:w="1020" w:type="dxa"/>
            <w:vMerge w:val="continue"/>
            <w:vAlign w:val="center"/>
          </w:tcPr>
          <w:p>
            <w:pPr>
              <w:spacing w:line="420" w:lineRule="exact"/>
              <w:jc w:val="center"/>
              <w:rPr>
                <w:rFonts w:ascii="仿宋_GB2312"/>
                <w:color w:val="000000"/>
                <w:sz w:val="24"/>
              </w:rPr>
            </w:pPr>
          </w:p>
        </w:tc>
        <w:tc>
          <w:tcPr>
            <w:tcW w:w="5145" w:type="dxa"/>
            <w:vAlign w:val="center"/>
          </w:tcPr>
          <w:p>
            <w:pPr>
              <w:widowControl/>
              <w:spacing w:line="420" w:lineRule="exact"/>
              <w:jc w:val="left"/>
              <w:textAlignment w:val="center"/>
              <w:rPr>
                <w:rFonts w:ascii="仿宋_GB2312"/>
                <w:color w:val="000000"/>
                <w:sz w:val="24"/>
              </w:rPr>
            </w:pPr>
            <w:r>
              <w:rPr>
                <w:rFonts w:hint="eastAsia" w:ascii="仿宋_GB2312" w:hAnsi="宋体" w:cs="宋体"/>
                <w:color w:val="000000"/>
                <w:sz w:val="24"/>
              </w:rPr>
              <w:t>没有建立处理机制，得</w:t>
            </w:r>
            <w:r>
              <w:rPr>
                <w:rFonts w:hint="eastAsia" w:ascii="仿宋_GB2312" w:cs="宋体"/>
                <w:color w:val="000000"/>
                <w:sz w:val="24"/>
              </w:rPr>
              <w:t>0</w:t>
            </w:r>
            <w:r>
              <w:rPr>
                <w:rFonts w:hint="eastAsia" w:ascii="仿宋_GB2312" w:hAnsi="宋体" w:cs="宋体"/>
                <w:color w:val="000000"/>
                <w:sz w:val="24"/>
              </w:rPr>
              <w:t>分</w:t>
            </w:r>
          </w:p>
        </w:tc>
        <w:tc>
          <w:tcPr>
            <w:tcW w:w="870" w:type="dxa"/>
            <w:vMerge w:val="continue"/>
            <w:vAlign w:val="center"/>
          </w:tcPr>
          <w:p>
            <w:pPr>
              <w:widowControl/>
              <w:spacing w:line="420" w:lineRule="exact"/>
              <w:jc w:val="left"/>
              <w:textAlignment w:val="center"/>
              <w:rPr>
                <w:rFonts w:ascii="仿宋_GB2312"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0" w:hRule="atLeast"/>
        </w:trPr>
        <w:tc>
          <w:tcPr>
            <w:tcW w:w="9322" w:type="dxa"/>
            <w:gridSpan w:val="5"/>
            <w:vAlign w:val="center"/>
          </w:tcPr>
          <w:p>
            <w:pPr>
              <w:spacing w:line="420" w:lineRule="exact"/>
              <w:jc w:val="left"/>
              <w:rPr>
                <w:rFonts w:ascii="仿宋_GB2312" w:hAnsi="仿宋_GB2312" w:cs="仿宋_GB2312"/>
                <w:sz w:val="24"/>
              </w:rPr>
            </w:pPr>
            <w:r>
              <w:rPr>
                <w:rFonts w:hint="eastAsia" w:ascii="仿宋_GB2312" w:hAnsi="仿宋_GB2312" w:cs="仿宋_GB2312"/>
                <w:sz w:val="24"/>
              </w:rPr>
              <w:t>专家签字：</w:t>
            </w:r>
          </w:p>
          <w:p>
            <w:r>
              <w:rPr>
                <w:rFonts w:hint="eastAsia" w:ascii="仿宋_GB2312" w:hAnsi="仿宋_GB2312" w:cs="仿宋_GB2312"/>
                <w:sz w:val="24"/>
              </w:rPr>
              <w:t>时  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C171C"/>
    <w:rsid w:val="4C1C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2019-12-06T03:04:00Z</dcterms:created>
  <dc:creator>黄家荣</dc:creator>
  <cp:lastModifiedBy>黄家荣</cp:lastModifiedBy>
  <dcterms:modified xsi:type="dcterms:W3CDTF">2019-12-06T03:05:10Z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