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坪山区碧岭街道沙湖社区2024年保安服务项目采购需求</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b w:val="0"/>
          <w:i w:val="0"/>
          <w:sz w:val="32"/>
          <w:szCs w:val="32"/>
          <w:lang w:val="en-US" w:eastAsia="zh-CN"/>
        </w:rPr>
      </w:pPr>
      <w:r>
        <w:rPr>
          <w:rFonts w:hint="eastAsia" w:ascii="黑体" w:hAnsi="黑体" w:eastAsia="黑体" w:cs="Times New Roman"/>
          <w:b w:val="0"/>
          <w:i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（一）本项目预算金额为人民币720000.00元（大写：柒拾贰万圆整）。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项目服务需求：为加强沙湖社区治安管理能力，做好“防火、防盗、防破坏、防治安灾害事故，以及维护社区范围内治安秩序”的安保护卫工作。拟以公开招标的方式选取一家有资质的专业机构，负责沙湖社区安保服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服务范围：坪山区碧岭街道沙湖社区辖区范围。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b w:val="0"/>
          <w:i w:val="0"/>
          <w:sz w:val="32"/>
          <w:szCs w:val="32"/>
          <w:lang w:val="en-US" w:eastAsia="zh-CN"/>
        </w:rPr>
      </w:pPr>
      <w:r>
        <w:rPr>
          <w:rFonts w:hint="eastAsia" w:ascii="黑体" w:hAnsi="黑体" w:eastAsia="黑体" w:cs="Times New Roman"/>
          <w:b w:val="0"/>
          <w:i w:val="0"/>
          <w:sz w:val="32"/>
          <w:szCs w:val="32"/>
          <w:lang w:val="en-US" w:eastAsia="zh-CN"/>
        </w:rPr>
        <w:t>二、实质性条款</w:t>
      </w:r>
    </w:p>
    <w:tbl>
      <w:tblPr>
        <w:tblStyle w:val="16"/>
        <w:tblpPr w:leftFromText="180" w:rightFromText="180" w:vertAnchor="text" w:horzAnchor="page" w:tblpX="2107" w:tblpY="219"/>
        <w:tblOverlap w:val="never"/>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84" w:type="dxa"/>
            <w:noWrap w:val="0"/>
            <w:vAlign w:val="top"/>
          </w:tcPr>
          <w:p>
            <w:pPr>
              <w:keepNext w:val="0"/>
              <w:keepLines w:val="0"/>
              <w:widowControl/>
              <w:numPr>
                <w:ilvl w:val="0"/>
                <w:numId w:val="0"/>
              </w:numPr>
              <w:suppressLineNumbers w:val="0"/>
              <w:jc w:val="left"/>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序号</w:t>
            </w:r>
          </w:p>
        </w:tc>
        <w:tc>
          <w:tcPr>
            <w:tcW w:w="7331" w:type="dxa"/>
            <w:noWrap w:val="0"/>
            <w:vAlign w:val="top"/>
          </w:tcPr>
          <w:p>
            <w:pPr>
              <w:keepNext w:val="0"/>
              <w:keepLines w:val="0"/>
              <w:widowControl/>
              <w:numPr>
                <w:ilvl w:val="0"/>
                <w:numId w:val="0"/>
              </w:numPr>
              <w:suppressLineNumbers w:val="0"/>
              <w:jc w:val="left"/>
              <w:rPr>
                <w:rFonts w:hint="eastAsia" w:ascii="宋体" w:hAnsi="宋体" w:eastAsia="宋体" w:cs="宋体"/>
                <w:i w:val="0"/>
                <w:caps w:val="0"/>
                <w:color w:val="000000"/>
                <w:spacing w:val="0"/>
                <w:kern w:val="0"/>
                <w:sz w:val="22"/>
                <w:szCs w:val="22"/>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84"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1</w:t>
            </w:r>
          </w:p>
        </w:tc>
        <w:tc>
          <w:tcPr>
            <w:tcW w:w="7331" w:type="dxa"/>
            <w:noWrap w:val="0"/>
            <w:vAlign w:val="top"/>
          </w:tcPr>
          <w:p>
            <w:pPr>
              <w:keepNext w:val="0"/>
              <w:keepLines w:val="0"/>
              <w:widowControl/>
              <w:numPr>
                <w:ilvl w:val="0"/>
                <w:numId w:val="0"/>
              </w:numPr>
              <w:suppressLineNumbers w:val="0"/>
              <w:jc w:val="left"/>
              <w:rPr>
                <w:rFonts w:hint="eastAsia" w:ascii="宋体" w:hAnsi="宋体" w:eastAsia="宋体" w:cs="宋体"/>
                <w:i w:val="0"/>
                <w:caps w:val="0"/>
                <w:color w:val="000000"/>
                <w:spacing w:val="0"/>
                <w:kern w:val="0"/>
                <w:sz w:val="22"/>
                <w:szCs w:val="22"/>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84"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2</w:t>
            </w:r>
          </w:p>
        </w:tc>
        <w:tc>
          <w:tcPr>
            <w:tcW w:w="7331" w:type="dxa"/>
            <w:noWrap w:val="0"/>
            <w:vAlign w:val="top"/>
          </w:tcPr>
          <w:p>
            <w:pPr>
              <w:keepNext w:val="0"/>
              <w:keepLines w:val="0"/>
              <w:widowControl/>
              <w:numPr>
                <w:ilvl w:val="0"/>
                <w:numId w:val="0"/>
              </w:numPr>
              <w:suppressLineNumbers w:val="0"/>
              <w:jc w:val="left"/>
              <w:rPr>
                <w:rFonts w:hint="eastAsia" w:ascii="宋体" w:hAnsi="宋体" w:eastAsia="宋体" w:cs="宋体"/>
                <w:i w:val="0"/>
                <w:caps w:val="0"/>
                <w:color w:val="000000"/>
                <w:spacing w:val="0"/>
                <w:kern w:val="0"/>
                <w:sz w:val="22"/>
                <w:szCs w:val="22"/>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本项目配备安保人员不超过15名，以采购单位实际需求人数为准。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884"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3</w:t>
            </w:r>
          </w:p>
        </w:tc>
        <w:tc>
          <w:tcPr>
            <w:tcW w:w="7331" w:type="dxa"/>
            <w:noWrap w:val="0"/>
            <w:vAlign w:val="top"/>
          </w:tcPr>
          <w:p>
            <w:pPr>
              <w:keepNext w:val="0"/>
              <w:keepLines w:val="0"/>
              <w:widowControl/>
              <w:numPr>
                <w:ilvl w:val="0"/>
                <w:numId w:val="0"/>
              </w:numPr>
              <w:suppressLineNumbers w:val="0"/>
              <w:jc w:val="left"/>
              <w:rPr>
                <w:rFonts w:hint="eastAsia" w:ascii="宋体" w:hAnsi="宋体" w:eastAsia="宋体" w:cs="宋体"/>
                <w:i w:val="0"/>
                <w:caps w:val="0"/>
                <w:color w:val="000000"/>
                <w:spacing w:val="0"/>
                <w:kern w:val="0"/>
                <w:sz w:val="22"/>
                <w:szCs w:val="22"/>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预算金额：人民币720000.00元（大写：柒拾贰万圆整）。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b w:val="0"/>
          <w:i w:val="0"/>
          <w:sz w:val="32"/>
          <w:szCs w:val="32"/>
          <w:lang w:val="en-US" w:eastAsia="zh-CN"/>
        </w:rPr>
      </w:pPr>
      <w:r>
        <w:rPr>
          <w:rFonts w:hint="eastAsia" w:ascii="黑体" w:hAnsi="黑体" w:eastAsia="黑体" w:cs="Times New Roman"/>
          <w:b w:val="0"/>
          <w:i w:val="0"/>
          <w:sz w:val="32"/>
          <w:szCs w:val="32"/>
          <w:lang w:val="en-US" w:eastAsia="zh-CN"/>
        </w:rPr>
        <w:t>三、项目技术要求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(一）服务内容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1.根据社区实际情况制定安保服务方案，并配备足量的日常安保所需的专业安保人员和相应的设备设施及器材，包括但不限于安保人员服装、装备及相关设备。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公共秩序维护、各区域治安巡逻及安全保卫工作。制定巡逻路线，划分重要安防区域及安全隐患排查，对于重要安防区域采取配套安全保卫措施，及时制止管辖区域内打架斗殴、酗酒闹事、乱摆卖、乱张贴、乱涂画、乱丢乱扔等现象，妥善处理治安问题，其中涉及特种设备方面，为确保辖区安全、整洁、有序，本项目须配备特种设备作业人员组织开展危险源识别及安全隐患排查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确保社区安全和正常工作环境秩序良好；做好安全防范和日常巡视工作，及时发现和处理各种事故和安全隐患，迅速有效处置突发事件；做到道路畅通，车辆停放有序；根据采购单位要求，对出入大楼的物品、人员、车辆进行登记检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4.制定安保工作相关应急预案，对突发性自然灾害、停水、停电、安全事故、治安及刑事案件的预防和处置进行具体规定并定期演练，为辖区内组织消防和安全知识讲座及年度消防演练。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5.本项目的服务对象为社区居民区，人口密度大，流动性大，范围较广，容易发生各类冲突事件，要求中标供应商须配备具有应急救援员职业资格证书的安保队员。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（二）人员要求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1.依据项目服务的特点，构建精简、高效、专业、合理的管理和组织架构。</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2.依据精干、高效、一专多能、忠于职守的原则配备人员，并结合沙湖社区工作站相关工作单位特点，编制员工行为规范和操作性强的服务方案。</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3.组织架构科学、合理，保证管理落实到位；各部门岗位具有明确的分工和职责要求。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4.服务人员经常性培训，包括进驻前培训、过程培训、技术培训、专业演练、法规知识培训等。</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5.安保从业人员具体配置：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（1）人员配备不超过15人，以采购单位实际需求人数为准，所有安保人员必须持证上岗；</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（2）安保从业人员应知法、懂法，依法办事，灵活开展社区安全保卫服务，必须严格遵守安保从业规范，严格遵守沙湖社区安全管理规定；</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（3）安保人员素质条件：性别人数比例视采购人要求而定，身体健康，体貌端正，没有传染病及精神病等不能控制自己行为能力的疾病史，且无违法犯罪记录；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（4）所聘用的安保人员要有吃苦耐劳的精神和高度的责任感，熟知采购人的管理制度</w:t>
      </w:r>
      <w:bookmarkStart w:id="12" w:name="_GoBack"/>
      <w:bookmarkEnd w:id="12"/>
      <w:r>
        <w:rPr>
          <w:rFonts w:hint="eastAsia" w:ascii="仿宋_GB2312" w:hAnsi="仿宋_GB2312" w:eastAsia="仿宋_GB2312" w:cs="仿宋_GB2312"/>
          <w:color w:val="auto"/>
          <w:kern w:val="2"/>
          <w:sz w:val="32"/>
          <w:szCs w:val="32"/>
          <w:highlight w:val="none"/>
          <w:lang w:val="en-US" w:eastAsia="zh-CN" w:bidi="ar-SA"/>
        </w:rPr>
        <w:t>，严格认真履行岗位职责，善于发现各类问题，具备一定的管理经验和处置突发事件的能力。</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安保人员配置数量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2398"/>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28"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人员类别</w:t>
            </w:r>
          </w:p>
        </w:tc>
        <w:tc>
          <w:tcPr>
            <w:tcW w:w="2398"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人员配置数量</w:t>
            </w:r>
          </w:p>
        </w:tc>
        <w:tc>
          <w:tcPr>
            <w:tcW w:w="4496"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noWrap w:val="0"/>
            <w:vAlign w:val="center"/>
          </w:tcPr>
          <w:p>
            <w:pPr>
              <w:keepNext w:val="0"/>
              <w:keepLines w:val="0"/>
              <w:widowControl/>
              <w:numPr>
                <w:ilvl w:val="0"/>
                <w:numId w:val="0"/>
              </w:numPr>
              <w:suppressLineNumbers w:val="0"/>
              <w:jc w:val="center"/>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安保人员</w:t>
            </w:r>
          </w:p>
        </w:tc>
        <w:tc>
          <w:tcPr>
            <w:tcW w:w="239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不超过15人，以采购单位实际需求人数为准。</w:t>
            </w:r>
          </w:p>
        </w:tc>
        <w:tc>
          <w:tcPr>
            <w:tcW w:w="449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i w:val="0"/>
                <w:caps w:val="0"/>
                <w:color w:val="000000"/>
                <w:spacing w:val="0"/>
                <w:kern w:val="0"/>
                <w:sz w:val="24"/>
                <w:szCs w:val="24"/>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持证上岗，有一定的应变能力，能临场处理一般性突发事件，须具有可组织自救、互救及救援善后工作的人员。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b w:val="0"/>
          <w:i w:val="0"/>
          <w:sz w:val="32"/>
          <w:szCs w:val="32"/>
          <w:lang w:val="en-US" w:eastAsia="zh-CN"/>
        </w:rPr>
      </w:pPr>
      <w:r>
        <w:rPr>
          <w:rFonts w:hint="eastAsia" w:ascii="黑体" w:hAnsi="黑体" w:eastAsia="黑体" w:cs="Times New Roman"/>
          <w:b w:val="0"/>
          <w:i w:val="0"/>
          <w:sz w:val="32"/>
          <w:szCs w:val="32"/>
          <w:lang w:val="en-US" w:eastAsia="zh-CN"/>
        </w:rPr>
        <w:t xml:space="preserve">四、投标人资格要求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（一）投标人须是在中华人民共和国境内设立的法人或其他组织；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（三）投标人须持有公安机关颁发的《保安服务许可证》（提供《保安服务许可证》的证书复印件，加盖投标人公章）；</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（四）不接受联合体投标，不允许分包、转包；</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（五）按营业执照经营范围投标，未超出经营范围。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b w:val="0"/>
          <w:i w:val="0"/>
          <w:sz w:val="32"/>
          <w:szCs w:val="32"/>
        </w:rPr>
      </w:pPr>
      <w:r>
        <w:rPr>
          <w:rFonts w:hint="eastAsia" w:ascii="黑体" w:hAnsi="黑体" w:eastAsia="黑体" w:cs="Times New Roman"/>
          <w:b w:val="0"/>
          <w:i w:val="0"/>
          <w:sz w:val="32"/>
          <w:szCs w:val="32"/>
          <w:lang w:eastAsia="zh-CN"/>
        </w:rPr>
        <w:t>五</w:t>
      </w:r>
      <w:r>
        <w:rPr>
          <w:rFonts w:hint="eastAsia" w:ascii="黑体" w:hAnsi="黑体" w:eastAsia="黑体" w:cs="Times New Roman"/>
          <w:b w:val="0"/>
          <w:i w:val="0"/>
          <w:sz w:val="32"/>
          <w:szCs w:val="32"/>
        </w:rPr>
        <w:t>、评标定标方法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满足“报名供应商资格要求”及“招标文件实质性条款”，采用综合评分法，评分最高中标。最终中标供应商为1个。</w:t>
      </w:r>
    </w:p>
    <w:tbl>
      <w:tblPr>
        <w:tblStyle w:val="15"/>
        <w:tblW w:w="4999" w:type="pct"/>
        <w:jc w:val="center"/>
        <w:tblCellSpacing w:w="0" w:type="dxa"/>
        <w:tblLayout w:type="autofit"/>
        <w:tblCellMar>
          <w:top w:w="45" w:type="dxa"/>
          <w:left w:w="45" w:type="dxa"/>
          <w:bottom w:w="45" w:type="dxa"/>
          <w:right w:w="45" w:type="dxa"/>
        </w:tblCellMar>
      </w:tblPr>
      <w:tblGrid>
        <w:gridCol w:w="8203"/>
        <w:gridCol w:w="191"/>
      </w:tblGrid>
      <w:tr>
        <w:tblPrEx>
          <w:tblCellMar>
            <w:top w:w="45" w:type="dxa"/>
            <w:left w:w="45" w:type="dxa"/>
            <w:bottom w:w="45" w:type="dxa"/>
            <w:right w:w="45" w:type="dxa"/>
          </w:tblCellMar>
        </w:tblPrEx>
        <w:trPr>
          <w:tblCellSpacing w:w="0" w:type="dxa"/>
          <w:jc w:val="center"/>
        </w:trPr>
        <w:tc>
          <w:tcPr>
            <w:tcW w:w="4886" w:type="pct"/>
            <w:tcBorders>
              <w:top w:val="nil"/>
              <w:left w:val="nil"/>
              <w:bottom w:val="nil"/>
              <w:right w:val="nil"/>
            </w:tcBorders>
            <w:vAlign w:val="center"/>
          </w:tcPr>
          <w:p>
            <w:pPr>
              <w:rPr>
                <w:rFonts w:ascii="宋体" w:hAnsi="宋体" w:cs="宋体"/>
                <w:b/>
                <w:bCs/>
                <w:sz w:val="24"/>
              </w:rPr>
            </w:pPr>
            <w:r>
              <w:rPr>
                <w:b/>
                <w:bCs/>
              </w:rPr>
              <w:t>评标方法：综合评分法（新价格分算法）</w:t>
            </w:r>
          </w:p>
        </w:tc>
        <w:tc>
          <w:tcPr>
            <w:tcW w:w="113" w:type="pct"/>
            <w:tcBorders>
              <w:top w:val="nil"/>
              <w:left w:val="nil"/>
              <w:bottom w:val="nil"/>
              <w:right w:val="nil"/>
            </w:tcBorders>
            <w:vAlign w:val="center"/>
          </w:tcPr>
          <w:p>
            <w:pPr>
              <w:jc w:val="right"/>
              <w:rPr>
                <w:rFonts w:ascii="宋体" w:hAnsi="宋体" w:cs="宋体"/>
                <w:b/>
                <w:bCs/>
                <w:sz w:val="24"/>
              </w:rPr>
            </w:pPr>
          </w:p>
        </w:tc>
      </w:tr>
      <w:tr>
        <w:tblPrEx>
          <w:tblCellMar>
            <w:top w:w="45" w:type="dxa"/>
            <w:left w:w="45" w:type="dxa"/>
            <w:bottom w:w="45" w:type="dxa"/>
            <w:right w:w="45" w:type="dxa"/>
          </w:tblCellMar>
        </w:tblPrEx>
        <w:trPr>
          <w:tblCellSpacing w:w="0" w:type="dxa"/>
          <w:jc w:val="center"/>
        </w:trPr>
        <w:tc>
          <w:tcPr>
            <w:tcW w:w="5000" w:type="pct"/>
            <w:gridSpan w:val="2"/>
            <w:tcBorders>
              <w:top w:val="nil"/>
              <w:left w:val="nil"/>
              <w:bottom w:val="nil"/>
              <w:right w:val="nil"/>
            </w:tcBorders>
            <w:vAlign w:val="center"/>
          </w:tcPr>
          <w:p>
            <w:pPr>
              <w:pStyle w:val="13"/>
              <w:spacing w:line="324" w:lineRule="auto"/>
              <w:ind w:firstLine="420"/>
              <w:rPr>
                <w:sz w:val="21"/>
                <w:szCs w:val="21"/>
              </w:rPr>
            </w:pPr>
            <w:r>
              <w:rPr>
                <w:sz w:val="21"/>
                <w:szCs w:val="21"/>
              </w:rPr>
              <w:t>综合评分法，是指投标文件满足招标文件全部实质性要求，且按照评审因素的量化指标评审得分最高的投标人为中标候选人的评标方法。</w:t>
            </w:r>
          </w:p>
          <w:p>
            <w:pPr>
              <w:pStyle w:val="13"/>
              <w:ind w:firstLine="420"/>
              <w:rPr>
                <w:sz w:val="21"/>
                <w:szCs w:val="21"/>
              </w:rPr>
            </w:pPr>
            <w:r>
              <w:rPr>
                <w:sz w:val="21"/>
                <w:szCs w:val="21"/>
              </w:rPr>
              <w:t>价格分计算方法：</w:t>
            </w:r>
          </w:p>
          <w:p>
            <w:pPr>
              <w:pStyle w:val="13"/>
              <w:keepNext w:val="0"/>
              <w:keepLines w:val="0"/>
              <w:pageBreakBefore w:val="0"/>
              <w:widowControl w:val="0"/>
              <w:kinsoku/>
              <w:wordWrap/>
              <w:overflowPunct/>
              <w:topLinePunct w:val="0"/>
              <w:autoSpaceDE/>
              <w:autoSpaceDN/>
              <w:bidi w:val="0"/>
              <w:adjustRightInd/>
              <w:snapToGrid/>
              <w:spacing w:line="324" w:lineRule="auto"/>
              <w:ind w:left="0" w:firstLine="420" w:firstLineChars="200"/>
              <w:jc w:val="left"/>
              <w:textAlignment w:val="auto"/>
              <w:rPr>
                <w:rFonts w:hint="eastAsia" w:eastAsia="宋体"/>
                <w:sz w:val="21"/>
                <w:szCs w:val="21"/>
                <w:lang w:eastAsia="zh-CN"/>
              </w:rPr>
            </w:pPr>
            <w:r>
              <w:rPr>
                <w:sz w:val="21"/>
                <w:szCs w:val="21"/>
              </w:rPr>
              <w:t>采用低价优先法计算，即满足招标文件要求且投标价格最低的投标报价为评标基准价</w:t>
            </w:r>
            <w:r>
              <w:rPr>
                <w:rFonts w:hint="eastAsia"/>
                <w:sz w:val="21"/>
                <w:szCs w:val="21"/>
                <w:lang w:eastAsia="zh-CN"/>
              </w:rPr>
              <w:t>，</w:t>
            </w:r>
            <w:r>
              <w:rPr>
                <w:sz w:val="21"/>
                <w:szCs w:val="21"/>
              </w:rPr>
              <w:t>其价格分为满分。其他投标人的价格分统一按照下列公式计算：</w:t>
            </w:r>
          </w:p>
          <w:p>
            <w:pPr>
              <w:pStyle w:val="13"/>
              <w:spacing w:line="324" w:lineRule="auto"/>
              <w:ind w:left="420"/>
              <w:rPr>
                <w:rFonts w:hint="eastAsia" w:eastAsia="宋体"/>
                <w:sz w:val="21"/>
                <w:szCs w:val="21"/>
                <w:lang w:eastAsia="zh-CN"/>
              </w:rPr>
            </w:pPr>
            <w:r>
              <w:rPr>
                <w:sz w:val="21"/>
                <w:szCs w:val="21"/>
              </w:rPr>
              <w:t>投标报价得分=</w:t>
            </w:r>
            <w:r>
              <w:rPr>
                <w:rFonts w:hint="eastAsia"/>
                <w:sz w:val="21"/>
                <w:szCs w:val="21"/>
                <w:lang w:eastAsia="zh-CN"/>
              </w:rPr>
              <w:t>（</w:t>
            </w:r>
            <w:r>
              <w:rPr>
                <w:sz w:val="21"/>
                <w:szCs w:val="21"/>
              </w:rPr>
              <w:t>评标基准价／投标报价</w:t>
            </w:r>
            <w:r>
              <w:rPr>
                <w:rFonts w:hint="eastAsia"/>
                <w:sz w:val="21"/>
                <w:szCs w:val="21"/>
                <w:lang w:eastAsia="zh-CN"/>
              </w:rPr>
              <w:t>）</w:t>
            </w:r>
            <w:r>
              <w:rPr>
                <w:sz w:val="21"/>
                <w:szCs w:val="21"/>
              </w:rPr>
              <w:t>×100</w:t>
            </w:r>
          </w:p>
          <w:p>
            <w:pPr>
              <w:pStyle w:val="13"/>
              <w:spacing w:line="324" w:lineRule="auto"/>
              <w:ind w:left="420"/>
              <w:rPr>
                <w:rFonts w:hint="eastAsia" w:eastAsia="宋体"/>
                <w:sz w:val="21"/>
                <w:szCs w:val="21"/>
                <w:lang w:eastAsia="zh-CN"/>
              </w:rPr>
            </w:pPr>
            <w:r>
              <w:rPr>
                <w:sz w:val="21"/>
                <w:szCs w:val="21"/>
              </w:rPr>
              <w:t>评标总得分＝F1×A1＋F2×A2＋……＋Fn×An</w:t>
            </w:r>
          </w:p>
          <w:p>
            <w:pPr>
              <w:pStyle w:val="13"/>
              <w:spacing w:line="324" w:lineRule="auto"/>
              <w:ind w:left="420"/>
              <w:rPr>
                <w:rFonts w:hint="eastAsia" w:eastAsia="宋体"/>
                <w:sz w:val="21"/>
                <w:szCs w:val="21"/>
                <w:lang w:eastAsia="zh-CN"/>
              </w:rPr>
            </w:pPr>
            <w:r>
              <w:rPr>
                <w:sz w:val="21"/>
                <w:szCs w:val="21"/>
              </w:rPr>
              <w:t>F1、F2……Fn分别为各项评审因素的得分；</w:t>
            </w:r>
          </w:p>
          <w:p>
            <w:pPr>
              <w:pStyle w:val="13"/>
              <w:spacing w:line="324" w:lineRule="auto"/>
              <w:ind w:left="420"/>
              <w:rPr>
                <w:rFonts w:hint="eastAsia" w:eastAsia="宋体"/>
                <w:sz w:val="21"/>
                <w:szCs w:val="21"/>
                <w:lang w:eastAsia="zh-CN"/>
              </w:rPr>
            </w:pPr>
            <w:r>
              <w:rPr>
                <w:sz w:val="21"/>
                <w:szCs w:val="21"/>
              </w:rPr>
              <w:t>A1、A2、……An分别为各项评审因素所占的权重(A1＋A2＋……＋An＝1)。</w:t>
            </w:r>
          </w:p>
          <w:p>
            <w:pPr>
              <w:pStyle w:val="13"/>
              <w:spacing w:line="324" w:lineRule="auto"/>
              <w:ind w:left="420"/>
              <w:rPr>
                <w:rFonts w:hint="eastAsia" w:eastAsia="宋体"/>
                <w:sz w:val="21"/>
                <w:szCs w:val="21"/>
                <w:lang w:eastAsia="zh-CN"/>
              </w:rPr>
            </w:pPr>
            <w:r>
              <w:rPr>
                <w:sz w:val="21"/>
                <w:szCs w:val="21"/>
              </w:rPr>
              <w:t>评标过程中，不得去掉报价中的最高报价和最低报价。</w:t>
            </w:r>
          </w:p>
          <w:p>
            <w:pPr>
              <w:pStyle w:val="13"/>
              <w:spacing w:line="324" w:lineRule="auto"/>
              <w:ind w:left="420"/>
              <w:rPr>
                <w:sz w:val="21"/>
                <w:szCs w:val="21"/>
              </w:rPr>
            </w:pPr>
            <w:r>
              <w:rPr>
                <w:sz w:val="21"/>
                <w:szCs w:val="21"/>
              </w:rPr>
              <w:t>此方法适用于货物类、服务类、工程类项目。</w:t>
            </w:r>
          </w:p>
        </w:tc>
      </w:tr>
    </w:tbl>
    <w:tbl>
      <w:tblPr>
        <w:tblStyle w:val="15"/>
        <w:tblpPr w:leftFromText="180" w:rightFromText="180" w:vertAnchor="text" w:horzAnchor="page" w:tblpX="1428" w:tblpY="238"/>
        <w:tblOverlap w:val="never"/>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27"/>
        <w:gridCol w:w="426"/>
        <w:gridCol w:w="636"/>
        <w:gridCol w:w="529"/>
        <w:gridCol w:w="614"/>
        <w:gridCol w:w="58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序号</w:t>
            </w:r>
          </w:p>
        </w:tc>
        <w:tc>
          <w:tcPr>
            <w:tcW w:w="1294" w:type="pct"/>
            <w:gridSpan w:val="4"/>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b/>
                <w:bCs/>
                <w:color w:val="auto"/>
                <w:szCs w:val="21"/>
              </w:rPr>
            </w:pPr>
            <w:r>
              <w:rPr>
                <w:rFonts w:hint="eastAsia" w:ascii="宋体" w:hAnsi="宋体" w:cs="宋体"/>
                <w:b/>
                <w:bCs/>
                <w:color w:val="auto"/>
                <w:szCs w:val="21"/>
              </w:rPr>
              <w:t>评分项</w:t>
            </w:r>
          </w:p>
        </w:tc>
        <w:tc>
          <w:tcPr>
            <w:tcW w:w="3454"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1</w:t>
            </w:r>
          </w:p>
        </w:tc>
        <w:tc>
          <w:tcPr>
            <w:tcW w:w="1294" w:type="pct"/>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eastAsia" w:ascii="宋体" w:hAnsi="宋体" w:cs="宋体"/>
                <w:b/>
                <w:bCs/>
                <w:color w:val="auto"/>
                <w:szCs w:val="21"/>
              </w:rPr>
            </w:pPr>
            <w:r>
              <w:rPr>
                <w:rFonts w:hint="eastAsia" w:ascii="宋体" w:hAnsi="宋体" w:cs="宋体"/>
                <w:b/>
                <w:bCs/>
                <w:color w:val="auto"/>
                <w:szCs w:val="21"/>
              </w:rPr>
              <w:t>价格</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2</w:t>
            </w:r>
          </w:p>
        </w:tc>
        <w:tc>
          <w:tcPr>
            <w:tcW w:w="1294" w:type="pct"/>
            <w:gridSpan w:val="4"/>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eastAsia" w:ascii="宋体" w:hAnsi="宋体" w:cs="宋体"/>
                <w:b/>
                <w:bCs/>
                <w:color w:val="auto"/>
                <w:szCs w:val="21"/>
              </w:rPr>
            </w:pPr>
            <w:r>
              <w:rPr>
                <w:rFonts w:hint="eastAsia" w:ascii="宋体" w:hAnsi="宋体" w:cs="宋体"/>
                <w:b/>
                <w:bCs/>
                <w:color w:val="auto"/>
                <w:szCs w:val="21"/>
              </w:rPr>
              <w:t>技术部分</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250"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序号</w:t>
            </w:r>
          </w:p>
        </w:tc>
        <w:tc>
          <w:tcPr>
            <w:tcW w:w="3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评分因素</w:t>
            </w:r>
          </w:p>
        </w:tc>
        <w:tc>
          <w:tcPr>
            <w:tcW w:w="311"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权重</w:t>
            </w:r>
          </w:p>
        </w:tc>
        <w:tc>
          <w:tcPr>
            <w:tcW w:w="35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评标方法</w:t>
            </w:r>
          </w:p>
        </w:tc>
        <w:tc>
          <w:tcPr>
            <w:tcW w:w="345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ascii="宋体" w:hAnsi="宋体" w:cs="宋体"/>
                <w:color w:val="auto"/>
                <w:szCs w:val="21"/>
              </w:rPr>
            </w:pPr>
            <w:r>
              <w:rPr>
                <w:rFonts w:hint="eastAsia" w:ascii="宋体" w:hAnsi="宋体" w:cs="宋体"/>
                <w:color w:val="auto"/>
                <w:szCs w:val="21"/>
              </w:rPr>
              <w:t>1</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实施方案</w:t>
            </w:r>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35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根据投标文件中提供实施方案，内容包含：</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1.整体管理设想；</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2.整体运作规划；</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3.组织机构；</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4.服务团队配置；</w:t>
            </w:r>
          </w:p>
          <w:p>
            <w:pPr>
              <w:pStyle w:val="25"/>
              <w:keepNext w:val="0"/>
              <w:keepLines w:val="0"/>
              <w:pageBreakBefore w:val="0"/>
              <w:kinsoku/>
              <w:overflowPunct/>
              <w:topLinePunct w:val="0"/>
              <w:bidi w:val="0"/>
              <w:adjustRightInd w:val="0"/>
              <w:snapToGrid w:val="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人员培训计划。</w:t>
            </w:r>
          </w:p>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1.每提供以上任意一项得</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cs="宋体"/>
                <w:color w:val="000000" w:themeColor="text1"/>
                <w:szCs w:val="21"/>
                <w:highlight w:val="none"/>
                <w14:textFill>
                  <w14:solidFill>
                    <w14:schemeClr w14:val="tx1"/>
                  </w14:solidFill>
                </w14:textFill>
              </w:rPr>
              <w:t>分，全部提供得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2.在此基础上，专家根据各供应商的具体响应内容进一步评审：</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（1）评审为优（实施方案完善可行、内容全面具体、团队及人员配置合理、配置应急小分队等可操作性强）的，加</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（2）评审为良（实施方案内容较全面、针对性较强、可操作性较强）的，加</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（3）评审为中（实施方案内容完整性、针对性、可操作性均一般）的，加</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评审</w:t>
            </w:r>
            <w:r>
              <w:rPr>
                <w:rFonts w:hint="eastAsia" w:ascii="宋体" w:hAnsi="宋体" w:cs="宋体"/>
                <w:color w:val="000000" w:themeColor="text1"/>
                <w:szCs w:val="21"/>
                <w:highlight w:val="none"/>
                <w14:textFill>
                  <w14:solidFill>
                    <w14:schemeClr w14:val="tx1"/>
                  </w14:solidFill>
                </w14:textFill>
              </w:rPr>
              <w:t>为差（实施方案不科学、不完整、针对性较弱）的或不提供的，不加分。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ascii="宋体" w:hAnsi="宋体" w:cs="宋体"/>
                <w:color w:val="auto"/>
                <w:szCs w:val="21"/>
              </w:rPr>
            </w:pPr>
            <w:r>
              <w:rPr>
                <w:rFonts w:hint="eastAsia" w:ascii="宋体" w:hAnsi="宋体" w:cs="宋体"/>
                <w:color w:val="auto"/>
                <w:szCs w:val="21"/>
              </w:rPr>
              <w:t>2</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项目重点难点分析、应对措施及相关的合理化建议</w:t>
            </w:r>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35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根据招标文件要求提供项目重点难点分析、应对措施及相关的合理化建议方案，内容包含：</w:t>
            </w:r>
          </w:p>
          <w:p>
            <w:pPr>
              <w:keepNext w:val="0"/>
              <w:keepLines w:val="0"/>
              <w:pageBreakBefore w:val="0"/>
              <w:kinsoku/>
              <w:overflowPunct/>
              <w:topLinePunct w:val="0"/>
              <w:bidi w:val="0"/>
              <w:adjustRightInd w:val="0"/>
              <w:snapToGrid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1.项目特点分析</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2.重点难点分析；</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3.应对措施；</w:t>
            </w:r>
          </w:p>
          <w:p>
            <w:pPr>
              <w:keepNext w:val="0"/>
              <w:keepLines w:val="0"/>
              <w:pageBreakBefore w:val="0"/>
              <w:kinsoku/>
              <w:overflowPunct/>
              <w:topLinePunct w:val="0"/>
              <w:bidi w:val="0"/>
              <w:adjustRightInd w:val="0"/>
              <w:snapToGrid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4.合理化建议</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1.每提供以上任意一项得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分，全部提供得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2.在此基础上，专家根据各供应商的具体响应内容进一步评审：</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（1）评审为优（实施方案完善可行、内容全面具体、针对性强、可操作性强）的，加</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（2）评审为良（实施方案内容较全面、针对性较强、可操作性较强）的，加</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（3）评审为中（实施方案内容完整性、针对性、可操作性均一般）的，加1分；</w:t>
            </w:r>
          </w:p>
          <w:p>
            <w:pPr>
              <w:keepNext w:val="0"/>
              <w:keepLines w:val="0"/>
              <w:pageBreakBefore w:val="0"/>
              <w:widowControl/>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评审</w:t>
            </w:r>
            <w:r>
              <w:rPr>
                <w:rFonts w:hint="eastAsia" w:ascii="宋体" w:hAnsi="宋体" w:cs="宋体"/>
                <w:color w:val="000000" w:themeColor="text1"/>
                <w:szCs w:val="21"/>
                <w:highlight w:val="none"/>
                <w14:textFill>
                  <w14:solidFill>
                    <w14:schemeClr w14:val="tx1"/>
                  </w14:solidFill>
                </w14:textFill>
              </w:rPr>
              <w:t>为差（实施方案不科学、不完整、针对性较弱）的或不提供的，不加分。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拟安排的项目负责人（仅限1人）</w:t>
            </w:r>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35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拟投入本项目的项目负责人（仅限1人）需为自有员工（以社保为准），否则本项不得分：</w:t>
            </w:r>
          </w:p>
          <w:p>
            <w:pPr>
              <w:keepNext w:val="0"/>
              <w:keepLines w:val="0"/>
              <w:pageBreakBefore w:val="0"/>
              <w:numPr>
                <w:ilvl w:val="0"/>
                <w:numId w:val="0"/>
              </w:numPr>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具有研究生学历的得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numPr>
                <w:ilvl w:val="0"/>
                <w:numId w:val="0"/>
              </w:numPr>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具有人社部门颁发的管理类副高（或以上）技术职称的得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numPr>
                <w:ilvl w:val="0"/>
                <w:numId w:val="0"/>
              </w:numPr>
              <w:kinsoku/>
              <w:overflowPunct/>
              <w:topLinePunct w:val="0"/>
              <w:bidi w:val="0"/>
              <w:adjustRightInd w:val="0"/>
              <w:snapToGrid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本项目拟安排项目负责人参与的标准化相关论文获得优秀或先进荣誉证书的，得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kinsoku/>
              <w:overflowPunct/>
              <w:topLinePunct w:val="0"/>
              <w:bidi w:val="0"/>
              <w:adjustRightInd w:val="0"/>
              <w:snapToGrid w:val="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以上三项累计得分，最高得10分。</w:t>
            </w:r>
          </w:p>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社保：提供投标截止日前半年内投标人缴纳的任意1个月的社保证明作为自有员工的证明依据；如供应商为新成立企业且成立时间不足1个月可提供情况说明或证明材料亦视为符合；</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学历：提供学历证书扫描件还需同时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pPr>
              <w:pStyle w:val="7"/>
              <w:keepNext w:val="0"/>
              <w:keepLines w:val="0"/>
              <w:pageBreakBefore w:val="0"/>
              <w:kinsoku/>
              <w:overflowPunct/>
              <w:topLinePunct w:val="0"/>
              <w:bidi w:val="0"/>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证书：①提供相关证书扫描件及证书官网（或权威机构等合法查询渠道）的查询截图，原件备查。②相关证书在公开渠道无法查询的，需提供颁发部门或者监管机构的证明材料。③若证书为协会颁发的，则还需要提供该协会在全国社会组织信用信息公示平台（https://xxgs.chinanpo.mca.gov.cn)的查询“正常”页面截图。</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bookmarkStart w:id="0" w:name="_Hlk151992591"/>
            <w:r>
              <w:rPr>
                <w:rFonts w:hint="eastAsia" w:ascii="宋体" w:hAnsi="宋体" w:cs="宋体"/>
                <w:color w:val="auto"/>
                <w:szCs w:val="21"/>
              </w:rPr>
              <w:t>拟安排的团队成员</w:t>
            </w:r>
            <w:bookmarkEnd w:id="0"/>
            <w:r>
              <w:rPr>
                <w:rFonts w:hint="eastAsia" w:ascii="宋体" w:hAnsi="宋体" w:cs="宋体"/>
                <w:color w:val="auto"/>
                <w:szCs w:val="21"/>
              </w:rPr>
              <w:t>（项目负责人除外）</w:t>
            </w:r>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35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numPr>
                <w:ilvl w:val="255"/>
                <w:numId w:val="0"/>
              </w:numPr>
              <w:kinsoku/>
              <w:overflowPunct/>
              <w:topLinePunct w:val="0"/>
              <w:bidi w:val="0"/>
              <w:adjustRightInd w:val="0"/>
              <w:snapToGrid w:val="0"/>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拟安排的团队成员需为投标人自有员工（以社保为准），否则本项不得分：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bookmarkStart w:id="1" w:name="_Hlk151992599"/>
            <w:r>
              <w:rPr>
                <w:rFonts w:hint="eastAsia" w:ascii="宋体" w:hAnsi="宋体" w:cs="宋体"/>
                <w:color w:val="000000" w:themeColor="text1"/>
                <w:szCs w:val="21"/>
                <w:highlight w:val="none"/>
                <w14:textFill>
                  <w14:solidFill>
                    <w14:schemeClr w14:val="tx1"/>
                  </w14:solidFill>
                </w14:textFill>
              </w:rPr>
              <w:t>1.综合服务主管</w:t>
            </w:r>
            <w:bookmarkEnd w:id="1"/>
            <w:r>
              <w:rPr>
                <w:rFonts w:hint="eastAsia" w:ascii="宋体" w:hAnsi="宋体" w:cs="宋体"/>
                <w:color w:val="000000" w:themeColor="text1"/>
                <w:szCs w:val="21"/>
                <w:highlight w:val="none"/>
                <w14:textFill>
                  <w14:solidFill>
                    <w14:schemeClr w14:val="tx1"/>
                  </w14:solidFill>
                </w14:textFill>
              </w:rPr>
              <w:t>（1人），以下可累计得分，本小项最高得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（1）具有本科（或以上）学历证书的得</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（2）具有二级/技师（或以上）的安全评价师证书的得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（3）具有人社部门颁发的中级（或以上）注册安全工程师证书的得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（4）具有人社部门颁发的一级注册消防工程师证书的得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bookmarkStart w:id="2" w:name="_Hlk151992607"/>
            <w:r>
              <w:rPr>
                <w:rFonts w:hint="eastAsia" w:ascii="宋体" w:hAnsi="宋体" w:cs="宋体"/>
                <w:color w:val="000000" w:themeColor="text1"/>
                <w:szCs w:val="21"/>
                <w:highlight w:val="none"/>
                <w14:textFill>
                  <w14:solidFill>
                    <w14:schemeClr w14:val="tx1"/>
                  </w14:solidFill>
                </w14:textFill>
              </w:rPr>
              <w:t>具有公安部消防部门（或应急管理部门）颁发四级/中级（或以上）建(构)筑物消防员证（或消防设施操作员）</w:t>
            </w:r>
            <w:bookmarkEnd w:id="2"/>
            <w:r>
              <w:rPr>
                <w:rFonts w:hint="eastAsia" w:ascii="宋体" w:hAnsi="宋体" w:cs="宋体"/>
                <w:color w:val="000000" w:themeColor="text1"/>
                <w:szCs w:val="21"/>
                <w:highlight w:val="none"/>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2.综合服务队长（1人），以下可累计得分，本小项最高得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（1）具有本科（或以上）学历证书的得</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5分；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（2）具有人社部门颁发的中级（或以上）注册安全工程师证书的得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（3）具有人社部门颁发的一级注册消防工程师证书的得1分；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（4）具有公安部消防部门（或应急管理部门）颁发四级或中级（或以上）建(构)筑物消防员证（或消防设施操作员）的得</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5分。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3.综合服务管理员（1人），本小项最高得</w:t>
            </w:r>
            <w:r>
              <w:rPr>
                <w:rFonts w:hint="eastAsia" w:ascii="宋体" w:hAnsi="宋体" w:cs="宋体"/>
                <w:color w:val="000000" w:themeColor="text1"/>
                <w:szCs w:val="21"/>
                <w:highlight w:val="none"/>
                <w:lang w:val="en-US" w:eastAsia="zh-CN"/>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同时具有本科（或以上）学历证书、人社部门颁发的中级（或以上）标准化工程师</w:t>
            </w:r>
            <w:r>
              <w:rPr>
                <w:rFonts w:hint="eastAsia" w:ascii="宋体" w:hAnsi="宋体" w:cs="宋体"/>
                <w:color w:val="000000" w:themeColor="text1"/>
                <w:szCs w:val="21"/>
                <w:highlight w:val="none"/>
                <w:lang w:eastAsia="zh-CN"/>
                <w14:textFill>
                  <w14:solidFill>
                    <w14:schemeClr w14:val="tx1"/>
                  </w14:solidFill>
                </w14:textFill>
              </w:rPr>
              <w:t>、副省级（或以上）政府部门颁发的</w:t>
            </w:r>
            <w:r>
              <w:rPr>
                <w:rFonts w:hint="eastAsia" w:ascii="宋体" w:hAnsi="宋体" w:cs="宋体"/>
                <w:color w:val="000000" w:themeColor="text1"/>
                <w:szCs w:val="21"/>
                <w:highlight w:val="none"/>
                <w:lang w:val="en-US" w:eastAsia="zh-CN"/>
                <w14:textFill>
                  <w14:solidFill>
                    <w14:schemeClr w14:val="tx1"/>
                  </w14:solidFill>
                </w14:textFill>
              </w:rPr>
              <w:t>安全先进类</w:t>
            </w:r>
            <w:r>
              <w:rPr>
                <w:rFonts w:hint="eastAsia" w:ascii="宋体" w:hAnsi="宋体" w:cs="宋体"/>
                <w:color w:val="000000" w:themeColor="text1"/>
                <w:szCs w:val="21"/>
                <w:highlight w:val="none"/>
                <w:lang w:eastAsia="zh-CN"/>
                <w14:textFill>
                  <w14:solidFill>
                    <w14:schemeClr w14:val="tx1"/>
                  </w14:solidFill>
                </w14:textFill>
              </w:rPr>
              <w:t>荣誉证书</w:t>
            </w:r>
            <w:r>
              <w:rPr>
                <w:rFonts w:hint="eastAsia" w:ascii="宋体" w:hAnsi="宋体" w:cs="宋体"/>
                <w:color w:val="000000" w:themeColor="text1"/>
                <w:szCs w:val="21"/>
                <w:highlight w:val="none"/>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bookmarkStart w:id="3" w:name="_Hlk151992628"/>
            <w:r>
              <w:rPr>
                <w:rFonts w:ascii="宋体" w:hAnsi="宋体" w:cs="宋体"/>
                <w:color w:val="000000" w:themeColor="text1"/>
                <w:szCs w:val="21"/>
                <w:highlight w:val="none"/>
                <w14:textFill>
                  <w14:solidFill>
                    <w14:schemeClr w14:val="tx1"/>
                  </w14:solidFill>
                </w14:textFill>
              </w:rPr>
              <w:t>4.巡逻管理队长（1人），以下可累计得分，本小项最高得</w:t>
            </w:r>
            <w:r>
              <w:rPr>
                <w:rFonts w:hint="eastAsia" w:ascii="宋体" w:hAnsi="宋体" w:cs="宋体"/>
                <w:color w:val="000000" w:themeColor="text1"/>
                <w:szCs w:val="21"/>
                <w:highlight w:val="none"/>
                <w:lang w:val="en-US" w:eastAsia="zh-CN"/>
                <w14:textFill>
                  <w14:solidFill>
                    <w14:schemeClr w14:val="tx1"/>
                  </w14:solidFill>
                </w14:textFill>
              </w:rPr>
              <w:t>2.5</w:t>
            </w:r>
            <w:r>
              <w:rPr>
                <w:rFonts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1）具有本科（或以上）学历证书的得</w:t>
            </w:r>
            <w:r>
              <w:rPr>
                <w:rFonts w:hint="eastAsia" w:ascii="宋体" w:hAnsi="宋体" w:cs="宋体"/>
                <w:color w:val="000000" w:themeColor="text1"/>
                <w:szCs w:val="21"/>
                <w:highlight w:val="none"/>
                <w:lang w:val="en-US" w:eastAsia="zh-CN"/>
                <w14:textFill>
                  <w14:solidFill>
                    <w14:schemeClr w14:val="tx1"/>
                  </w14:solidFill>
                </w14:textFill>
              </w:rPr>
              <w:t>0.5</w:t>
            </w:r>
            <w:r>
              <w:rPr>
                <w:rFonts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2）具有</w:t>
            </w:r>
            <w:r>
              <w:rPr>
                <w:rFonts w:hint="eastAsia" w:ascii="宋体" w:hAnsi="宋体" w:cs="宋体"/>
                <w:color w:val="000000" w:themeColor="text1"/>
                <w:szCs w:val="21"/>
                <w:highlight w:val="none"/>
                <w14:textFill>
                  <w14:solidFill>
                    <w14:schemeClr w14:val="tx1"/>
                  </w14:solidFill>
                </w14:textFill>
              </w:rPr>
              <w:t>人社部门颁发的中级（或以上）技术职称的得</w:t>
            </w:r>
            <w:r>
              <w:rPr>
                <w:rFonts w:ascii="宋体" w:hAnsi="宋体" w:cs="宋体"/>
                <w:color w:val="000000" w:themeColor="text1"/>
                <w:szCs w:val="21"/>
                <w:highlight w:val="none"/>
                <w14:textFill>
                  <w14:solidFill>
                    <w14:schemeClr w14:val="tx1"/>
                  </w14:solidFill>
                </w14:textFill>
              </w:rPr>
              <w:t>1分；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3）具有</w:t>
            </w:r>
            <w:r>
              <w:rPr>
                <w:rFonts w:hint="eastAsia" w:ascii="宋体" w:hAnsi="宋体" w:cs="宋体"/>
                <w:color w:val="000000" w:themeColor="text1"/>
                <w:szCs w:val="21"/>
                <w:highlight w:val="none"/>
                <w14:textFill>
                  <w14:solidFill>
                    <w14:schemeClr w14:val="tx1"/>
                  </w14:solidFill>
                </w14:textFill>
              </w:rPr>
              <w:t>人社部门颁发的中级（或以上）注册安全工程师的得</w:t>
            </w:r>
            <w:r>
              <w:rPr>
                <w:rFonts w:ascii="宋体" w:hAnsi="宋体" w:cs="宋体"/>
                <w:color w:val="000000" w:themeColor="text1"/>
                <w:szCs w:val="21"/>
                <w:highlight w:val="none"/>
                <w14:textFill>
                  <w14:solidFill>
                    <w14:schemeClr w14:val="tx1"/>
                  </w14:solidFill>
                </w14:textFill>
              </w:rPr>
              <w:t>1分。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5.巡逻管理班长（1人）</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以下可累计得分，本小项最高得</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1）具有安全防范设计评估师的得</w:t>
            </w:r>
            <w:r>
              <w:rPr>
                <w:rFonts w:hint="eastAsia" w:ascii="宋体" w:hAnsi="宋体" w:cs="宋体"/>
                <w:color w:val="000000" w:themeColor="text1"/>
                <w:szCs w:val="21"/>
                <w:highlight w:val="none"/>
                <w:lang w:val="en-US" w:eastAsia="zh-CN"/>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分；</w:t>
            </w:r>
          </w:p>
          <w:p>
            <w:pPr>
              <w:keepNext w:val="0"/>
              <w:keepLines w:val="0"/>
              <w:pageBreakBefore w:val="0"/>
              <w:widowControl/>
              <w:kinsoku/>
              <w:overflowPunct/>
              <w:topLinePunct w:val="0"/>
              <w:bidi w:val="0"/>
              <w:adjustRightInd w:val="0"/>
              <w:snapToGrid w:val="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2）具有</w:t>
            </w:r>
            <w:r>
              <w:rPr>
                <w:rFonts w:hint="eastAsia" w:ascii="宋体" w:hAnsi="宋体" w:cs="宋体"/>
                <w:color w:val="000000" w:themeColor="text1"/>
                <w:szCs w:val="21"/>
                <w:highlight w:val="none"/>
                <w14:textFill>
                  <w14:solidFill>
                    <w14:schemeClr w14:val="tx1"/>
                  </w14:solidFill>
                </w14:textFill>
              </w:rPr>
              <w:t>人社部门颁发的二级</w:t>
            </w:r>
            <w:r>
              <w:rPr>
                <w:rFonts w:ascii="宋体" w:hAnsi="宋体" w:cs="宋体"/>
                <w:color w:val="000000" w:themeColor="text1"/>
                <w:szCs w:val="21"/>
                <w:highlight w:val="none"/>
                <w14:textFill>
                  <w14:solidFill>
                    <w14:schemeClr w14:val="tx1"/>
                  </w14:solidFill>
                </w14:textFill>
              </w:rPr>
              <w:t>/技师（或以上）保安员资格证书的得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bookmarkEnd w:id="3"/>
          <w:p>
            <w:pPr>
              <w:pStyle w:val="3"/>
              <w:keepNext w:val="0"/>
              <w:keepLines w:val="0"/>
              <w:pageBreakBefore w:val="0"/>
              <w:tabs>
                <w:tab w:val="left" w:pos="562"/>
                <w:tab w:val="left" w:pos="3372"/>
                <w:tab w:val="left" w:pos="3653"/>
              </w:tabs>
              <w:kinsoku/>
              <w:overflowPunct/>
              <w:topLinePunct w:val="0"/>
              <w:bidi w:val="0"/>
              <w:adjustRightInd w:val="0"/>
              <w:snapToGrid w:val="0"/>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以上五项累计计分，满分1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学历：提供学历证书扫描件还需同时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pPr>
              <w:keepNext w:val="0"/>
              <w:keepLines w:val="0"/>
              <w:pageBreakBefore w:val="0"/>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证书：①同时提供相关证书扫描件及证书官网（或权威机构等合法查询渠道）的查询截图，原件备查。②相关证书在公开渠道无法查询的，需提供颁发部门或者监管机构的证明材料。③若证书为协会颁发的，则还需要提供该协会在全国社会组织信用信息公示平台（https://xxgs.chinanpo.mca.gov.cn）的查询“正常”页面截图。</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社保：提供投标截止日前半年内投标人缴纳的任意1个月的社保证明作为自有员工的证明依据；如供应商为新成立企业且成立时间不足1个月可提供情况说明或证明材料亦视为符合；</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250"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3</w:t>
            </w:r>
          </w:p>
        </w:tc>
        <w:tc>
          <w:tcPr>
            <w:tcW w:w="934"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综合实力</w:t>
            </w:r>
          </w:p>
        </w:tc>
        <w:tc>
          <w:tcPr>
            <w:tcW w:w="359"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eastAsia" w:ascii="宋体" w:hAnsi="宋体" w:cs="宋体"/>
                <w:b/>
                <w:bCs/>
                <w:color w:val="000000" w:themeColor="text1"/>
                <w:szCs w:val="21"/>
                <w14:textFill>
                  <w14:solidFill>
                    <w14:schemeClr w14:val="tx1"/>
                  </w14:solidFill>
                </w14:textFill>
              </w:rPr>
            </w:pP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序号</w:t>
            </w:r>
          </w:p>
        </w:tc>
        <w:tc>
          <w:tcPr>
            <w:tcW w:w="3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评分因素</w:t>
            </w:r>
          </w:p>
        </w:tc>
        <w:tc>
          <w:tcPr>
            <w:tcW w:w="311"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61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评标方法</w:t>
            </w:r>
          </w:p>
        </w:tc>
        <w:tc>
          <w:tcPr>
            <w:tcW w:w="345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ascii="宋体" w:hAnsi="宋体" w:cs="宋体"/>
                <w:color w:val="auto"/>
                <w:szCs w:val="21"/>
              </w:rPr>
            </w:pPr>
            <w:r>
              <w:rPr>
                <w:rFonts w:hint="eastAsia" w:ascii="宋体" w:hAnsi="宋体" w:cs="宋体"/>
                <w:color w:val="auto"/>
                <w:szCs w:val="21"/>
              </w:rPr>
              <w:t>1</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ascii="宋体" w:hAnsi="宋体" w:cs="宋体"/>
                <w:color w:val="auto"/>
                <w:szCs w:val="21"/>
              </w:rPr>
            </w:pPr>
            <w:bookmarkStart w:id="4" w:name="_Hlk151992723"/>
            <w:r>
              <w:rPr>
                <w:rFonts w:hint="eastAsia" w:ascii="宋体" w:hAnsi="宋体" w:cs="宋体"/>
                <w:color w:val="auto"/>
                <w:szCs w:val="21"/>
              </w:rPr>
              <w:t>企业荣誉</w:t>
            </w:r>
            <w:bookmarkEnd w:id="4"/>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p>
        </w:tc>
        <w:tc>
          <w:tcPr>
            <w:tcW w:w="6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kinsoku/>
              <w:overflowPunct/>
              <w:topLinePunct w:val="0"/>
              <w:bidi w:val="0"/>
              <w:adjustRightInd w:val="0"/>
              <w:snapToGrid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获得过</w:t>
            </w:r>
            <w:r>
              <w:rPr>
                <w:rFonts w:hint="eastAsia" w:ascii="宋体" w:hAnsi="宋体" w:cs="宋体"/>
                <w:color w:val="000000" w:themeColor="text1"/>
                <w:szCs w:val="21"/>
                <w:highlight w:val="none"/>
                <w:lang w:val="en-US" w:eastAsia="zh-CN"/>
                <w14:textFill>
                  <w14:solidFill>
                    <w14:schemeClr w14:val="tx1"/>
                  </w14:solidFill>
                </w14:textFill>
              </w:rPr>
              <w:t>副</w:t>
            </w:r>
            <w:r>
              <w:rPr>
                <w:rFonts w:hint="eastAsia" w:ascii="宋体" w:hAnsi="宋体" w:cs="宋体"/>
                <w:color w:val="000000" w:themeColor="text1"/>
                <w:szCs w:val="21"/>
                <w:highlight w:val="none"/>
                <w14:textFill>
                  <w14:solidFill>
                    <w14:schemeClr w14:val="tx1"/>
                  </w14:solidFill>
                </w14:textFill>
              </w:rPr>
              <w:t>省级（或以上）人民政府颁发的</w:t>
            </w:r>
            <w:r>
              <w:rPr>
                <w:rFonts w:hint="eastAsia" w:ascii="宋体" w:hAnsi="宋体" w:cs="宋体"/>
                <w:color w:val="000000" w:themeColor="text1"/>
                <w:szCs w:val="21"/>
                <w:highlight w:val="none"/>
                <w:lang w:val="en-US" w:eastAsia="zh-CN"/>
                <w14:textFill>
                  <w14:solidFill>
                    <w14:schemeClr w14:val="tx1"/>
                  </w14:solidFill>
                </w14:textFill>
              </w:rPr>
              <w:t>质量奖的</w:t>
            </w:r>
            <w:r>
              <w:rPr>
                <w:rFonts w:hint="eastAsia" w:ascii="宋体" w:hAnsi="宋体" w:cs="宋体"/>
                <w:color w:val="000000" w:themeColor="text1"/>
                <w:szCs w:val="21"/>
                <w:highlight w:val="none"/>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本小项最高10分。</w:t>
            </w:r>
          </w:p>
          <w:p>
            <w:pPr>
              <w:keepNext w:val="0"/>
              <w:keepLines w:val="0"/>
              <w:pageBreakBefore w:val="0"/>
              <w:kinsoku/>
              <w:overflowPunct/>
              <w:topLinePunct w:val="0"/>
              <w:bidi w:val="0"/>
              <w:adjustRightInd w:val="0"/>
              <w:snapToGrid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投标人获得过</w:t>
            </w:r>
            <w:r>
              <w:rPr>
                <w:rFonts w:hint="eastAsia" w:ascii="宋体" w:hAnsi="宋体" w:cs="宋体"/>
                <w:color w:val="000000" w:themeColor="text1"/>
                <w:szCs w:val="21"/>
                <w:highlight w:val="none"/>
                <w:lang w:val="en-US" w:eastAsia="zh-CN"/>
                <w14:textFill>
                  <w14:solidFill>
                    <w14:schemeClr w14:val="tx1"/>
                  </w14:solidFill>
                </w14:textFill>
              </w:rPr>
              <w:t>副</w:t>
            </w:r>
            <w:r>
              <w:rPr>
                <w:rFonts w:hint="eastAsia" w:ascii="宋体" w:hAnsi="宋体" w:cs="宋体"/>
                <w:color w:val="000000" w:themeColor="text1"/>
                <w:szCs w:val="21"/>
                <w:highlight w:val="none"/>
                <w14:textFill>
                  <w14:solidFill>
                    <w14:schemeClr w14:val="tx1"/>
                  </w14:solidFill>
                </w14:textFill>
              </w:rPr>
              <w:t>省级（或以上）人民政府颁发的消防工作先进单位</w:t>
            </w:r>
            <w:r>
              <w:rPr>
                <w:rFonts w:hint="eastAsia" w:ascii="宋体" w:hAnsi="宋体" w:cs="宋体"/>
                <w:color w:val="000000" w:themeColor="text1"/>
                <w:szCs w:val="21"/>
                <w:highlight w:val="none"/>
                <w:lang w:val="en-US" w:eastAsia="zh-CN"/>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本小项最高6分。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投标人所承接的</w:t>
            </w:r>
            <w:bookmarkStart w:id="5" w:name="_Hlk151992702"/>
            <w:r>
              <w:rPr>
                <w:rFonts w:hint="eastAsia" w:ascii="宋体" w:hAnsi="宋体" w:cs="宋体"/>
                <w:color w:val="000000" w:themeColor="text1"/>
                <w:szCs w:val="21"/>
                <w:highlight w:val="none"/>
                <w14:textFill>
                  <w14:solidFill>
                    <w14:schemeClr w14:val="tx1"/>
                  </w14:solidFill>
                </w14:textFill>
              </w:rPr>
              <w:t>项目</w:t>
            </w:r>
            <w:bookmarkEnd w:id="5"/>
            <w:r>
              <w:rPr>
                <w:rFonts w:hint="eastAsia" w:ascii="宋体" w:hAnsi="宋体" w:cs="宋体"/>
                <w:color w:val="000000" w:themeColor="text1"/>
                <w:szCs w:val="21"/>
                <w:highlight w:val="none"/>
                <w14:textFill>
                  <w14:solidFill>
                    <w14:schemeClr w14:val="tx1"/>
                  </w14:solidFill>
                </w14:textFill>
              </w:rPr>
              <w:t>获得过</w:t>
            </w:r>
            <w:r>
              <w:rPr>
                <w:rFonts w:hint="eastAsia" w:ascii="宋体" w:hAnsi="宋体" w:cs="宋体"/>
                <w:color w:val="000000" w:themeColor="text1"/>
                <w:szCs w:val="21"/>
                <w:highlight w:val="none"/>
                <w:lang w:val="en-US" w:eastAsia="zh-CN"/>
                <w14:textFill>
                  <w14:solidFill>
                    <w14:schemeClr w14:val="tx1"/>
                  </w14:solidFill>
                </w14:textFill>
              </w:rPr>
              <w:t>副</w:t>
            </w:r>
            <w:r>
              <w:rPr>
                <w:rFonts w:hint="eastAsia" w:ascii="宋体" w:hAnsi="宋体" w:cs="宋体"/>
                <w:color w:val="000000" w:themeColor="text1"/>
                <w:szCs w:val="21"/>
                <w:highlight w:val="none"/>
                <w14:textFill>
                  <w14:solidFill>
                    <w14:schemeClr w14:val="tx1"/>
                  </w14:solidFill>
                </w14:textFill>
              </w:rPr>
              <w:t>省级（或以上）公安部门颁发</w:t>
            </w:r>
            <w:r>
              <w:rPr>
                <w:rFonts w:hint="eastAsia" w:ascii="宋体" w:hAnsi="宋体" w:cs="宋体"/>
                <w:color w:val="000000" w:themeColor="text1"/>
                <w:szCs w:val="21"/>
                <w:highlight w:val="none"/>
                <w:lang w:val="en-US" w:eastAsia="zh-CN"/>
                <w14:textFill>
                  <w14:solidFill>
                    <w14:schemeClr w14:val="tx1"/>
                  </w14:solidFill>
                </w14:textFill>
              </w:rPr>
              <w:t>的</w:t>
            </w:r>
            <w:bookmarkStart w:id="6" w:name="_Hlk151989477"/>
            <w:bookmarkStart w:id="7" w:name="_Hlk151992696"/>
            <w:r>
              <w:rPr>
                <w:rFonts w:hint="eastAsia" w:ascii="宋体" w:hAnsi="宋体" w:cs="宋体"/>
                <w:color w:val="000000" w:themeColor="text1"/>
                <w:szCs w:val="21"/>
                <w:highlight w:val="none"/>
                <w:lang w:val="en-US" w:eastAsia="zh-CN"/>
                <w14:textFill>
                  <w14:solidFill>
                    <w14:schemeClr w14:val="tx1"/>
                  </w14:solidFill>
                </w14:textFill>
              </w:rPr>
              <w:t>安保工作</w:t>
            </w:r>
            <w:r>
              <w:rPr>
                <w:rFonts w:hint="eastAsia" w:ascii="宋体" w:hAnsi="宋体" w:cs="宋体"/>
                <w:color w:val="000000" w:themeColor="text1"/>
                <w:szCs w:val="21"/>
                <w:highlight w:val="none"/>
                <w14:textFill>
                  <w14:solidFill>
                    <w14:schemeClr w14:val="tx1"/>
                  </w14:solidFill>
                </w14:textFill>
              </w:rPr>
              <w:t>先进</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或优秀</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单位</w:t>
            </w:r>
            <w:bookmarkEnd w:id="6"/>
            <w:bookmarkEnd w:id="7"/>
            <w:bookmarkStart w:id="8" w:name="_Hlk151989466"/>
            <w:r>
              <w:rPr>
                <w:rFonts w:hint="eastAsia" w:ascii="宋体" w:hAnsi="宋体" w:cs="宋体"/>
                <w:color w:val="000000" w:themeColor="text1"/>
                <w:szCs w:val="21"/>
                <w:highlight w:val="none"/>
                <w:lang w:val="en-US" w:eastAsia="zh-CN"/>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得</w:t>
            </w:r>
            <w:bookmarkEnd w:id="8"/>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本小项最高4分</w:t>
            </w:r>
            <w:r>
              <w:rPr>
                <w:rFonts w:hint="eastAsia" w:ascii="宋体" w:hAnsi="宋体" w:cs="宋体"/>
                <w:color w:val="000000" w:themeColor="text1"/>
                <w:szCs w:val="21"/>
                <w:highlight w:val="none"/>
                <w14:textFill>
                  <w14:solidFill>
                    <w14:schemeClr w14:val="tx1"/>
                  </w14:solidFill>
                </w14:textFill>
              </w:rPr>
              <w:t>。</w:t>
            </w:r>
          </w:p>
          <w:p>
            <w:pPr>
              <w:pStyle w:val="3"/>
              <w:keepNext w:val="0"/>
              <w:keepLines w:val="0"/>
              <w:pageBreakBefore w:val="0"/>
              <w:tabs>
                <w:tab w:val="left" w:pos="562"/>
                <w:tab w:val="left" w:pos="3372"/>
                <w:tab w:val="left" w:pos="3653"/>
              </w:tabs>
              <w:kinsoku/>
              <w:overflowPunct/>
              <w:topLinePunct w:val="0"/>
              <w:bidi w:val="0"/>
              <w:adjustRightInd w:val="0"/>
              <w:snapToGrid w:val="0"/>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以上三项累计计分，满分</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1.评分内容1-2：提供奖项照片或获奖（荣誉）证书等证明材料；同时提供政府网站查询截图。</w:t>
            </w:r>
          </w:p>
          <w:p>
            <w:pPr>
              <w:keepNext w:val="0"/>
              <w:keepLines w:val="0"/>
              <w:pageBreakBefore w:val="0"/>
              <w:kinsoku/>
              <w:overflowPunct/>
              <w:topLinePunct w:val="0"/>
              <w:bidi w:val="0"/>
              <w:adjustRightInd w:val="0"/>
              <w:snapToGrid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2.评分内容3：提供奖项照片或获奖（荣誉）证书等证明材料</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kinsoku/>
              <w:overflowPunct/>
              <w:topLinePunct w:val="0"/>
              <w:bidi w:val="0"/>
              <w:adjustRightInd w:val="0"/>
              <w:snapToGrid w:val="0"/>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3.未按要求提供有效证明材料或提供不清晰导致评委无法识别的不计得分</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ascii="宋体" w:hAnsi="宋体" w:cs="宋体"/>
                <w:color w:val="auto"/>
                <w:szCs w:val="21"/>
              </w:rPr>
            </w:pPr>
            <w:r>
              <w:rPr>
                <w:rFonts w:hint="eastAsia" w:ascii="宋体" w:hAnsi="宋体" w:cs="宋体"/>
                <w:color w:val="auto"/>
                <w:szCs w:val="21"/>
              </w:rPr>
              <w:t>2</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ascii="宋体" w:hAnsi="宋体" w:cs="宋体"/>
                <w:color w:val="auto"/>
                <w:szCs w:val="21"/>
              </w:rPr>
            </w:pPr>
            <w:bookmarkStart w:id="9" w:name="_Hlk151989729"/>
            <w:r>
              <w:rPr>
                <w:rFonts w:hint="eastAsia" w:ascii="宋体" w:hAnsi="宋体" w:cs="宋体"/>
                <w:color w:val="auto"/>
                <w:szCs w:val="21"/>
              </w:rPr>
              <w:t>相关认证情况</w:t>
            </w:r>
            <w:bookmarkEnd w:id="9"/>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6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kinsoku/>
              <w:overflowPunct/>
              <w:topLinePunct w:val="0"/>
              <w:bidi w:val="0"/>
              <w:adjustRightInd w:val="0"/>
              <w:snapToGrid w:val="0"/>
              <w:rPr>
                <w:rFonts w:hint="eastAsia" w:ascii="宋体" w:hAnsi="宋体" w:eastAsia="宋体" w:cs="宋体"/>
                <w:color w:val="000000" w:themeColor="text1"/>
                <w:szCs w:val="21"/>
                <w:highlight w:val="none"/>
                <w:lang w:val="en-US" w:eastAsia="zh-CN"/>
                <w14:textFill>
                  <w14:solidFill>
                    <w14:schemeClr w14:val="tx1"/>
                  </w14:solidFill>
                </w14:textFill>
              </w:rPr>
            </w:pPr>
            <w:bookmarkStart w:id="10" w:name="_Hlk151989846"/>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投标人具有应急预案管理能力评价体系认证、培训管理体系认证、业务连续性管理体系认证、服务质量评价体系认证，每提供一项认证证书的得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分，本小项最高得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pPr>
              <w:keepNext w:val="0"/>
              <w:keepLines w:val="0"/>
              <w:pageBreakBefore w:val="0"/>
              <w:kinsoku/>
              <w:overflowPunct/>
              <w:topLinePunct w:val="0"/>
              <w:bidi w:val="0"/>
              <w:adjustRightInd w:val="0"/>
              <w:snapToGrid w:val="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default" w:ascii="宋体" w:hAnsi="宋体" w:eastAsia="宋体" w:cs="宋体"/>
                <w:color w:val="000000" w:themeColor="text1"/>
                <w:szCs w:val="21"/>
                <w:highlight w:val="none"/>
                <w:lang w:val="en-US" w:eastAsia="zh-CN"/>
                <w14:textFill>
                  <w14:solidFill>
                    <w14:schemeClr w14:val="tx1"/>
                  </w14:solidFill>
                </w14:textFill>
              </w:rPr>
              <w:t>投标人获得过副省级（或以上）应急管理部门颁发的安全生产标准化二级（或以上）</w:t>
            </w:r>
            <w:r>
              <w:rPr>
                <w:rFonts w:hint="eastAsia" w:ascii="宋体" w:hAnsi="宋体" w:eastAsia="宋体" w:cs="宋体"/>
                <w:color w:val="000000" w:themeColor="text1"/>
                <w:szCs w:val="21"/>
                <w:highlight w:val="none"/>
                <w:lang w:val="en-US" w:eastAsia="zh-CN"/>
                <w14:textFill>
                  <w14:solidFill>
                    <w14:schemeClr w14:val="tx1"/>
                  </w14:solidFill>
                </w14:textFill>
              </w:rPr>
              <w:t>企业</w:t>
            </w:r>
            <w:r>
              <w:rPr>
                <w:rFonts w:hint="default" w:ascii="宋体" w:hAnsi="宋体" w:eastAsia="宋体" w:cs="宋体"/>
                <w:color w:val="000000" w:themeColor="text1"/>
                <w:szCs w:val="21"/>
                <w:highlight w:val="none"/>
                <w:lang w:val="en-US" w:eastAsia="zh-CN"/>
                <w14:textFill>
                  <w14:solidFill>
                    <w14:schemeClr w14:val="tx1"/>
                  </w14:solidFill>
                </w14:textFill>
              </w:rPr>
              <w:t>证书</w:t>
            </w:r>
            <w:r>
              <w:rPr>
                <w:rFonts w:hint="eastAsia" w:ascii="宋体" w:hAnsi="宋体" w:eastAsia="宋体" w:cs="宋体"/>
                <w:color w:val="000000" w:themeColor="text1"/>
                <w:szCs w:val="21"/>
                <w:highlight w:val="none"/>
                <w:lang w:val="en-US"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分，本小项最高得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pPr>
              <w:pStyle w:val="3"/>
              <w:keepNext w:val="0"/>
              <w:keepLines w:val="0"/>
              <w:pageBreakBefore w:val="0"/>
              <w:tabs>
                <w:tab w:val="left" w:pos="562"/>
                <w:tab w:val="left" w:pos="3372"/>
                <w:tab w:val="left" w:pos="3653"/>
              </w:tabs>
              <w:kinsoku/>
              <w:overflowPunct/>
              <w:topLinePunct w:val="0"/>
              <w:bidi w:val="0"/>
              <w:adjustRightInd w:val="0"/>
              <w:snapToGrid w:val="0"/>
              <w:spacing w:line="240" w:lineRule="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w:t>
            </w:r>
            <w:r>
              <w:rPr>
                <w:rFonts w:hint="eastAsia" w:ascii="宋体" w:hAnsi="宋体" w:cs="宋体"/>
                <w:color w:val="000000" w:themeColor="text1"/>
                <w:sz w:val="21"/>
                <w:szCs w:val="21"/>
                <w:highlight w:val="none"/>
                <w:lang w:val="en-US" w:eastAsia="zh-CN"/>
                <w14:textFill>
                  <w14:solidFill>
                    <w14:schemeClr w14:val="tx1"/>
                  </w14:solidFill>
                </w14:textFill>
              </w:rPr>
              <w:t>两</w:t>
            </w:r>
            <w:r>
              <w:rPr>
                <w:rFonts w:hint="eastAsia" w:ascii="宋体" w:hAnsi="宋体" w:cs="宋体"/>
                <w:color w:val="000000" w:themeColor="text1"/>
                <w:sz w:val="21"/>
                <w:szCs w:val="21"/>
                <w:highlight w:val="none"/>
                <w14:textFill>
                  <w14:solidFill>
                    <w14:schemeClr w14:val="tx1"/>
                  </w14:solidFill>
                </w14:textFill>
              </w:rPr>
              <w:t>项累计计分，满分</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cs="宋体"/>
                <w:color w:val="000000" w:themeColor="text1"/>
                <w:sz w:val="21"/>
                <w:szCs w:val="21"/>
                <w:highlight w:val="none"/>
                <w14:textFill>
                  <w14:solidFill>
                    <w14:schemeClr w14:val="tx1"/>
                  </w14:solidFill>
                </w14:textFill>
              </w:rPr>
              <w:t>分。</w:t>
            </w:r>
          </w:p>
          <w:bookmarkEnd w:id="10"/>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widowControl/>
              <w:kinsoku/>
              <w:overflowPunct/>
              <w:topLinePunct w:val="0"/>
              <w:bidi w:val="0"/>
              <w:adjustRightInd w:val="0"/>
              <w:snapToGrid w:val="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评分内容1提供有效的体系认证证书扫描件及全国认证认可信息公共服务平台（http://cx.cnca.cn/CertECloud/result/skipResultList）查询截图。</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评分内容2提供证书扫描件及政府网站截图作为得分依据。</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center"/>
              <w:rPr>
                <w:rFonts w:ascii="宋体" w:hAnsi="宋体" w:cs="宋体"/>
                <w:color w:val="auto"/>
                <w:szCs w:val="21"/>
              </w:rPr>
            </w:pPr>
            <w:r>
              <w:rPr>
                <w:rFonts w:hint="eastAsia" w:ascii="宋体" w:hAnsi="宋体" w:cs="宋体"/>
                <w:color w:val="auto"/>
                <w:szCs w:val="21"/>
              </w:rPr>
              <w:t>3</w:t>
            </w:r>
          </w:p>
        </w:tc>
        <w:tc>
          <w:tcPr>
            <w:tcW w:w="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rPr>
              <w:t>同类业绩</w:t>
            </w:r>
          </w:p>
        </w:tc>
        <w:tc>
          <w:tcPr>
            <w:tcW w:w="5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6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采购小组评分</w:t>
            </w:r>
          </w:p>
        </w:tc>
        <w:tc>
          <w:tcPr>
            <w:tcW w:w="5886"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自2021年1月1日至截止本项目投标截止日前（以合同签订时间为准），投标人具有正在履约或履约完成的服务类项目（服务内容包含治安巡查或安全管理等相关服务内容）或安全巡查服务项目，每提供一个得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分，本项最高得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pStyle w:val="7"/>
              <w:keepNext w:val="0"/>
              <w:keepLines w:val="0"/>
              <w:pageBreakBefore w:val="0"/>
              <w:kinsoku/>
              <w:overflowPunct/>
              <w:topLinePunct w:val="0"/>
              <w:bidi w:val="0"/>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提供合同关键页（包含但不限于服务内容、合同签订日期、合同双方盖章页）作为得分依据。</w:t>
            </w:r>
          </w:p>
          <w:p>
            <w:pPr>
              <w:keepNext w:val="0"/>
              <w:keepLines w:val="0"/>
              <w:pageBreakBefore w:val="0"/>
              <w:widowControl/>
              <w:kinsoku/>
              <w:overflowPunct/>
              <w:topLinePunct w:val="0"/>
              <w:bidi w:val="0"/>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以上资料均要求原件备查。未提供相关证明材料或者提供的证明材料不符合要求的或提供的证明材料不清晰导致评审专家无法辨认的，不得分。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textAlignment w:val="top"/>
              <w:rPr>
                <w:rFonts w:ascii="宋体" w:hAnsi="宋体" w:cs="宋体"/>
                <w:color w:val="auto"/>
                <w:szCs w:val="21"/>
              </w:rPr>
            </w:pPr>
            <w:r>
              <w:rPr>
                <w:rFonts w:hint="eastAsia" w:ascii="宋体" w:hAnsi="宋体" w:cs="宋体"/>
                <w:color w:val="auto"/>
                <w:szCs w:val="21"/>
              </w:rPr>
              <w:t>4</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履约评价</w:t>
            </w:r>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bidi w:val="0"/>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6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采购小组评分</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（一）评分内容：</w:t>
            </w:r>
          </w:p>
          <w:p>
            <w:pPr>
              <w:rPr>
                <w:rFonts w:hint="eastAsia" w:ascii="宋体" w:hAnsi="宋体" w:cs="宋体"/>
                <w:color w:val="000000" w:themeColor="text1"/>
                <w:szCs w:val="21"/>
                <w:highlight w:val="none"/>
                <w14:textFill>
                  <w14:solidFill>
                    <w14:schemeClr w14:val="tx1"/>
                  </w14:solidFill>
                </w14:textFill>
              </w:rPr>
            </w:pPr>
            <w:bookmarkStart w:id="11" w:name="_Hlk151993826"/>
            <w:r>
              <w:rPr>
                <w:rFonts w:hint="eastAsia" w:ascii="宋体" w:hAnsi="宋体" w:cs="宋体"/>
                <w:szCs w:val="21"/>
              </w:rPr>
              <w:t>投标人在上述“同类业绩”中，符合评审得分的业绩，能够提供合同</w:t>
            </w:r>
            <w:r>
              <w:rPr>
                <w:rFonts w:hint="eastAsia" w:ascii="宋体" w:hAnsi="宋体" w:cs="宋体"/>
                <w:szCs w:val="21"/>
                <w:lang w:val="en-US" w:eastAsia="zh-CN"/>
              </w:rPr>
              <w:t>甲方</w:t>
            </w:r>
            <w:r>
              <w:rPr>
                <w:rFonts w:hint="eastAsia" w:ascii="宋体" w:hAnsi="宋体" w:cs="宋体"/>
                <w:szCs w:val="21"/>
              </w:rPr>
              <w:t>出具的履约评价相关证明，且评价为优（优或优秀或满意或其他最高等级的表述均可），每提供一份得</w:t>
            </w:r>
            <w:r>
              <w:rPr>
                <w:rFonts w:hint="eastAsia" w:ascii="宋体" w:hAnsi="宋体" w:cs="宋体"/>
                <w:szCs w:val="21"/>
                <w:lang w:val="en-US" w:eastAsia="zh-CN"/>
              </w:rPr>
              <w:t>2</w:t>
            </w:r>
            <w:r>
              <w:rPr>
                <w:rFonts w:hint="eastAsia" w:ascii="宋体" w:hAnsi="宋体" w:cs="宋体"/>
                <w:szCs w:val="21"/>
              </w:rPr>
              <w:t>分，本项最高得</w:t>
            </w:r>
            <w:r>
              <w:rPr>
                <w:rFonts w:hint="eastAsia" w:ascii="宋体" w:hAnsi="宋体" w:cs="宋体"/>
                <w:szCs w:val="21"/>
                <w:lang w:val="en-US" w:eastAsia="zh-CN"/>
              </w:rPr>
              <w:t>4</w:t>
            </w:r>
            <w:r>
              <w:rPr>
                <w:rFonts w:hint="eastAsia" w:ascii="宋体" w:hAnsi="宋体" w:cs="宋体"/>
                <w:szCs w:val="21"/>
              </w:rPr>
              <w:t>分。</w:t>
            </w:r>
          </w:p>
          <w:bookmarkEnd w:id="11"/>
          <w:p>
            <w:pPr>
              <w:keepNext w:val="0"/>
              <w:keepLines w:val="0"/>
              <w:pageBreakBefore w:val="0"/>
              <w:kinsoku/>
              <w:overflowPunct/>
              <w:topLinePunct w:val="0"/>
              <w:bidi w:val="0"/>
              <w:adjustRightInd w:val="0"/>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（二）评分依据：</w:t>
            </w:r>
          </w:p>
          <w:p>
            <w:pPr>
              <w:keepNext w:val="0"/>
              <w:keepLines w:val="0"/>
              <w:pageBreakBefore w:val="0"/>
              <w:kinsoku/>
              <w:overflowPunct/>
              <w:topLinePunct w:val="0"/>
              <w:bidi w:val="0"/>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rPr>
              <w:t>投标人提供盖有合同</w:t>
            </w:r>
            <w:r>
              <w:rPr>
                <w:rFonts w:hint="eastAsia" w:ascii="宋体" w:hAnsi="宋体" w:cs="宋体"/>
                <w:szCs w:val="21"/>
                <w:lang w:val="en-US" w:eastAsia="zh-CN"/>
              </w:rPr>
              <w:t>甲方</w:t>
            </w:r>
            <w:r>
              <w:rPr>
                <w:rFonts w:hint="eastAsia" w:ascii="宋体" w:hAnsi="宋体" w:cs="宋体"/>
                <w:szCs w:val="21"/>
              </w:rPr>
              <w:t>公章（或业务章）的履约评价扫描件，原件备查，未提供或未按要求提供或提供的扫描件不清晰导致专家无法判断的，不得分。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4</w:t>
            </w:r>
          </w:p>
        </w:tc>
        <w:tc>
          <w:tcPr>
            <w:tcW w:w="934"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ascii="宋体" w:hAnsi="宋体" w:cs="宋体"/>
                <w:b/>
                <w:bCs/>
                <w:color w:val="auto"/>
                <w:szCs w:val="21"/>
              </w:rPr>
            </w:pPr>
            <w:r>
              <w:rPr>
                <w:rFonts w:hint="eastAsia" w:ascii="宋体" w:hAnsi="宋体" w:cs="宋体"/>
                <w:b/>
                <w:bCs/>
                <w:color w:val="auto"/>
                <w:szCs w:val="21"/>
              </w:rPr>
              <w:t>诚信情况</w:t>
            </w:r>
          </w:p>
        </w:tc>
        <w:tc>
          <w:tcPr>
            <w:tcW w:w="359"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eastAsia" w:ascii="宋体" w:hAnsi="宋体" w:cs="宋体"/>
                <w:b/>
                <w:bCs/>
                <w:color w:val="auto"/>
                <w:szCs w:val="21"/>
              </w:rPr>
            </w:pP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250"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序号</w:t>
            </w:r>
          </w:p>
        </w:tc>
        <w:tc>
          <w:tcPr>
            <w:tcW w:w="3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评分因素</w:t>
            </w:r>
          </w:p>
        </w:tc>
        <w:tc>
          <w:tcPr>
            <w:tcW w:w="311"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权重</w:t>
            </w:r>
          </w:p>
        </w:tc>
        <w:tc>
          <w:tcPr>
            <w:tcW w:w="35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auto"/>
                <w:szCs w:val="21"/>
              </w:rPr>
            </w:pPr>
            <w:r>
              <w:rPr>
                <w:rFonts w:hint="eastAsia" w:ascii="宋体" w:hAnsi="宋体" w:cs="宋体"/>
                <w:color w:val="auto"/>
                <w:szCs w:val="21"/>
                <w:lang w:val="en-US" w:eastAsia="zh-CN"/>
              </w:rPr>
              <w:t>评标方法</w:t>
            </w:r>
          </w:p>
        </w:tc>
        <w:tc>
          <w:tcPr>
            <w:tcW w:w="345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50"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bidi w:val="0"/>
              <w:adjustRightInd w:val="0"/>
              <w:snapToGrid w:val="0"/>
              <w:rPr>
                <w:rFonts w:ascii="宋体" w:hAnsi="宋体" w:cs="宋体"/>
                <w:b/>
                <w:bCs/>
                <w:color w:val="auto"/>
                <w:szCs w:val="21"/>
              </w:rPr>
            </w:pPr>
          </w:p>
        </w:tc>
        <w:tc>
          <w:tcPr>
            <w:tcW w:w="25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1</w:t>
            </w:r>
          </w:p>
        </w:tc>
        <w:tc>
          <w:tcPr>
            <w:tcW w:w="3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ascii="宋体" w:hAnsi="宋体" w:cs="宋体"/>
                <w:color w:val="auto"/>
                <w:szCs w:val="21"/>
              </w:rPr>
            </w:pPr>
            <w:r>
              <w:rPr>
                <w:rFonts w:hint="eastAsia" w:ascii="宋体" w:hAnsi="宋体" w:cs="宋体"/>
                <w:color w:val="auto"/>
                <w:szCs w:val="21"/>
              </w:rPr>
              <w:t>诚信情况</w:t>
            </w:r>
          </w:p>
        </w:tc>
        <w:tc>
          <w:tcPr>
            <w:tcW w:w="311"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6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bidi w:val="0"/>
              <w:adjustRightInd w:val="0"/>
              <w:snapToGrid w:val="0"/>
              <w:jc w:val="center"/>
              <w:rPr>
                <w:rFonts w:hint="eastAsia" w:ascii="宋体" w:hAnsi="宋体" w:cs="宋体"/>
                <w:color w:val="auto"/>
                <w:szCs w:val="21"/>
              </w:rPr>
            </w:pPr>
            <w:r>
              <w:rPr>
                <w:rFonts w:hint="eastAsia" w:ascii="宋体" w:hAnsi="宋体" w:cs="宋体"/>
                <w:color w:val="auto"/>
                <w:szCs w:val="21"/>
              </w:rPr>
              <w:t>采购小组评分</w:t>
            </w:r>
          </w:p>
        </w:tc>
        <w:tc>
          <w:tcPr>
            <w:tcW w:w="3454" w:type="pct"/>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val="0"/>
              <w:overflowPunct/>
              <w:topLinePunct w:val="0"/>
              <w:bidi w:val="0"/>
              <w:adjustRightInd w:val="0"/>
              <w:snapToGrid w:val="0"/>
              <w:rPr>
                <w:rFonts w:ascii="宋体" w:hAnsi="宋体" w:cs="宋体"/>
                <w:color w:val="auto"/>
                <w:szCs w:val="21"/>
              </w:rPr>
            </w:pPr>
            <w:r>
              <w:rPr>
                <w:rFonts w:hint="eastAsia" w:ascii="宋体" w:hAnsi="宋体" w:cs="宋体"/>
                <w:color w:val="auto"/>
                <w:szCs w:val="21"/>
              </w:rPr>
              <w:t>投标人在参与政府采购活动中存在诚信相关问题且在主管部门相关处理措施实施期限内的，本项不得分，否则得</w:t>
            </w:r>
            <w:r>
              <w:rPr>
                <w:rFonts w:hint="eastAsia" w:ascii="宋体" w:hAnsi="宋体" w:cs="宋体"/>
                <w:color w:val="auto"/>
                <w:szCs w:val="21"/>
                <w:lang w:val="en-US" w:eastAsia="zh-CN"/>
              </w:rPr>
              <w:t>1</w:t>
            </w:r>
            <w:r>
              <w:rPr>
                <w:rFonts w:hint="eastAsia" w:ascii="宋体" w:hAnsi="宋体" w:cs="宋体"/>
                <w:color w:val="auto"/>
                <w:szCs w:val="21"/>
              </w:rPr>
              <w:t>分。投标人无需提供任何证明材料，由政府集中采购机构工作人员查询后向评审委员会提供相关信息。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 w:val="0"/>
          <w:i w:val="0"/>
          <w:sz w:val="32"/>
          <w:szCs w:val="32"/>
        </w:rPr>
      </w:pPr>
      <w:r>
        <w:rPr>
          <w:rFonts w:hint="eastAsia" w:ascii="黑体" w:hAnsi="黑体" w:eastAsia="黑体" w:cs="Times New Roman"/>
          <w:b w:val="0"/>
          <w:i w:val="0"/>
          <w:sz w:val="32"/>
          <w:szCs w:val="32"/>
          <w:lang w:eastAsia="zh-CN"/>
        </w:rPr>
        <w:t>六</w:t>
      </w:r>
      <w:r>
        <w:rPr>
          <w:rFonts w:hint="eastAsia" w:ascii="黑体" w:hAnsi="黑体" w:eastAsia="黑体" w:cs="Times New Roman"/>
          <w:b w:val="0"/>
          <w:i w:val="0"/>
          <w:sz w:val="32"/>
          <w:szCs w:val="32"/>
        </w:rPr>
        <w:t>、商务需求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（一）服务期</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本项目服务期为一年，具体以签订合同为准。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（二）服务地点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沙湖社区范围。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（三）报价要求</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2.投标供应商应当根据本企业的成本自行决定报价，但不得以低于其企业成本的报价投标。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3.投标供应商的报价不得超过项目预算金额。</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除非采购人通过修改采购文件予以更正，否则，投标供应商应毫无例外地按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（四）付款方式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按深圳市坪山区财政局及碧岭街道办事处有关规定执行，按月支付，经考核后，当月15日前支付上月的综合服务费用。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（五）履约担保金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由双方协商。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b w:val="0"/>
          <w:bCs w:val="0"/>
          <w:i w:val="0"/>
          <w:caps w:val="0"/>
          <w:color w:val="000000"/>
          <w:spacing w:val="0"/>
          <w:kern w:val="0"/>
          <w:sz w:val="32"/>
          <w:szCs w:val="32"/>
          <w:lang w:val="en-US" w:eastAsia="zh-CN" w:bidi="ar"/>
        </w:rPr>
      </w:pPr>
      <w:r>
        <w:rPr>
          <w:rFonts w:hint="eastAsia" w:ascii="CESI楷体-GB2312" w:hAnsi="CESI楷体-GB2312" w:eastAsia="CESI楷体-GB2312" w:cs="CESI楷体-GB2312"/>
          <w:b w:val="0"/>
          <w:bCs w:val="0"/>
          <w:i w:val="0"/>
          <w:caps w:val="0"/>
          <w:color w:val="000000"/>
          <w:spacing w:val="0"/>
          <w:kern w:val="0"/>
          <w:sz w:val="32"/>
          <w:szCs w:val="32"/>
          <w:lang w:val="en-US" w:eastAsia="zh-CN" w:bidi="ar"/>
        </w:rPr>
        <w:t>（六）违约责任</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1.任何一方未经协商一致而单方提前终止、解除合同的，违约方须向对方支付相当于两个月综合服务费的金额作为违约赔偿金。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如中标单位拒绝采购单位更换不合格综合服务员的要求或中标单位累计更换二次综合服务人员后仍不符合采购单位的要求时，采购单位有权解除本合同并要求中标单位承担相当于两个月的综合服务服务费的违约金并应赔偿采购单位遭受的其他损失（包括但不限于为应对相关诉讼的诉讼费、律师费、交通费等费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如中标单位提供的综合服务（无论过失或故意行为）造成采购单位损失或不良影响的，采购单位有权暂停向中标单位发放当月的综合服务费，中标单位应赔偿采购单位因此产生的经济损失，且采购单位有权要求中标单位支付相当于一个月的综合服务费的违约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如中标单位提供的综合服务（无论过失或故意行为）或非履行职务行为造成第三方损失或不良影响的，中标单位应向第三人承担相应法律责任，如因此造成采购单位承担连带责任的，中标单位应赔偿采购单位因此产生的全部经济损失，并应向采购单位支付相当于一个月的综合服务费的违约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5.以下情况所造成的损失，中标单位无须承担赔偿责任：</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（1）不可抗力、战争、游行示威、政府行为、自然灾害；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（2）采购单位管理不当或采购单位人员的故意或重大过失；</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（3）采购单位对于损害事实发生后，未采取必要措施致使扩大的损失；</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（4）综合服务员履行与工作职责无关的或工作期间以外的个人行为；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（5）综合服务员接受采购单位相关人员具体指示或日常已形成指示性、惯例性的安排行为，而造成损害的；</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（6）由于第三方的行为所致。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b w:val="0"/>
          <w:i w:val="0"/>
          <w:sz w:val="32"/>
          <w:szCs w:val="32"/>
          <w:lang w:val="en-US" w:eastAsia="zh-CN"/>
        </w:rPr>
      </w:pPr>
      <w:r>
        <w:rPr>
          <w:rFonts w:hint="eastAsia" w:ascii="黑体" w:hAnsi="黑体" w:eastAsia="黑体" w:cs="Times New Roman"/>
          <w:b w:val="0"/>
          <w:i w:val="0"/>
          <w:sz w:val="32"/>
          <w:szCs w:val="32"/>
          <w:lang w:val="en-US" w:eastAsia="zh-CN"/>
        </w:rPr>
        <w:t>七、其他</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rPr>
          <w:rFonts w:asciiTheme="minorEastAsia" w:hAnsiTheme="minorEastAsia" w:eastAsiaTheme="minorEastAsia"/>
        </w:rPr>
      </w:pPr>
      <w:r>
        <w:rPr>
          <w:rFonts w:hint="eastAsia" w:ascii="仿宋_GB2312" w:hAnsi="仿宋_GB2312" w:eastAsia="仿宋_GB2312" w:cs="仿宋_GB2312"/>
          <w:color w:val="auto"/>
          <w:kern w:val="2"/>
          <w:sz w:val="32"/>
          <w:szCs w:val="32"/>
          <w:highlight w:val="none"/>
          <w:lang w:val="en-US" w:eastAsia="zh-CN" w:bidi="ar-SA"/>
        </w:rPr>
        <w:t>如对本需求发生歧义或纠纷，由坪山区人民法院进行管辖。</w:t>
      </w:r>
    </w:p>
    <w:sectPr>
      <w:headerReference r:id="rId4" w:type="first"/>
      <w:footerReference r:id="rId6" w:type="first"/>
      <w:headerReference r:id="rId3" w:type="default"/>
      <w:footerReference r:id="rId5" w:type="default"/>
      <w:pgSz w:w="11906" w:h="16838"/>
      <w:pgMar w:top="1440" w:right="1800" w:bottom="1118"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MingLiU">
    <w:altName w:val="方正书宋_GBK"/>
    <w:panose1 w:val="02020509000000000000"/>
    <w:charset w:val="88"/>
    <w:family w:val="modern"/>
    <w:pitch w:val="default"/>
    <w:sig w:usb0="00000000" w:usb1="00000000" w:usb2="00000016" w:usb3="00000000" w:csb0="00100001" w:csb1="00000000"/>
  </w:font>
  <w:font w:name="H Yb 2gj">
    <w:altName w:val="华文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- 3 -</w:t>
                          </w:r>
                          <w:r>
                            <w:rPr>
                              <w:rStyle w:val="18"/>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9"/>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- 3 -</w:t>
                    </w:r>
                    <w:r>
                      <w:rPr>
                        <w:rStyle w:val="18"/>
                        <w:rFonts w:ascii="宋体" w:hAnsi="宋体"/>
                        <w:sz w:val="28"/>
                        <w:szCs w:val="28"/>
                      </w:rPr>
                      <w:fldChar w:fldCharType="end"/>
                    </w:r>
                  </w:p>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O72CokiAgAANw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yZ5CsyHfowqatz&#10;6UmK3bbrW93a6ohOvT1TJTi+blDKhoX4yDy4gfLB9/iAQyqLlLaXKKmt//S39+SPkcFKSQuuldRg&#10;GShRbw1GmWg5CH4QtoNg9vrOgrwT7JHjWcQHH9UgSm/1RyzBKuWQTAUEZoYjGwY1iHcRWm/EMnGx&#10;Wl30vfPNrr5+BjEdixvz5Hg/6oRecKt9BNp5CAmzM1AYXlLAzjzGfpMS/X/Vs9d135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GyJCJDYAAAADAEAAA8AAAAAAAAAAQAgAAAAOAAAAGRycy9kb3du&#10;cmV2LnhtbFBLAQIUABQAAAAIAIdO4kDu9gqJIgIAADcEAAAOAAAAAAAAAAEAIAAAAD0BAABkcnMv&#10;ZTJvRG9jLnhtbFBLBQYAAAAABgAGAFkBAADR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OTNlNmM1M2IyMWZmNGNiY2Q5M2Q0MDlmNmMwYzkifQ=="/>
  </w:docVars>
  <w:rsids>
    <w:rsidRoot w:val="19D65709"/>
    <w:rsid w:val="000044ED"/>
    <w:rsid w:val="00051ACE"/>
    <w:rsid w:val="001575D3"/>
    <w:rsid w:val="0025244E"/>
    <w:rsid w:val="002B3FF5"/>
    <w:rsid w:val="002C051D"/>
    <w:rsid w:val="003074B5"/>
    <w:rsid w:val="003477A0"/>
    <w:rsid w:val="00354054"/>
    <w:rsid w:val="003A265B"/>
    <w:rsid w:val="003C039C"/>
    <w:rsid w:val="00485A6D"/>
    <w:rsid w:val="005021BB"/>
    <w:rsid w:val="005958D3"/>
    <w:rsid w:val="005A4585"/>
    <w:rsid w:val="005E29C1"/>
    <w:rsid w:val="006123C0"/>
    <w:rsid w:val="00622A93"/>
    <w:rsid w:val="0068096B"/>
    <w:rsid w:val="006E178A"/>
    <w:rsid w:val="007006F9"/>
    <w:rsid w:val="007577AB"/>
    <w:rsid w:val="00775463"/>
    <w:rsid w:val="007D6A2E"/>
    <w:rsid w:val="007F4C18"/>
    <w:rsid w:val="00823834"/>
    <w:rsid w:val="008403C6"/>
    <w:rsid w:val="009267CA"/>
    <w:rsid w:val="009363B1"/>
    <w:rsid w:val="0097661C"/>
    <w:rsid w:val="009C6377"/>
    <w:rsid w:val="00A20A2B"/>
    <w:rsid w:val="00A26E47"/>
    <w:rsid w:val="00A43C58"/>
    <w:rsid w:val="00AD73AC"/>
    <w:rsid w:val="00AF1887"/>
    <w:rsid w:val="00AF4CF7"/>
    <w:rsid w:val="00AF73E7"/>
    <w:rsid w:val="00B11C36"/>
    <w:rsid w:val="00B927DC"/>
    <w:rsid w:val="00BB4810"/>
    <w:rsid w:val="00BD0D01"/>
    <w:rsid w:val="00C32440"/>
    <w:rsid w:val="00C50075"/>
    <w:rsid w:val="00C602B0"/>
    <w:rsid w:val="00D13335"/>
    <w:rsid w:val="00D37AF5"/>
    <w:rsid w:val="00DD3346"/>
    <w:rsid w:val="00DF75E7"/>
    <w:rsid w:val="00E07474"/>
    <w:rsid w:val="00E811F7"/>
    <w:rsid w:val="00EA514B"/>
    <w:rsid w:val="00EB19BF"/>
    <w:rsid w:val="00F06D28"/>
    <w:rsid w:val="00F51F83"/>
    <w:rsid w:val="00F5377C"/>
    <w:rsid w:val="00FA4379"/>
    <w:rsid w:val="00FC753C"/>
    <w:rsid w:val="00FF5A3A"/>
    <w:rsid w:val="01857094"/>
    <w:rsid w:val="08CE609D"/>
    <w:rsid w:val="0B933FC0"/>
    <w:rsid w:val="0CF77A70"/>
    <w:rsid w:val="0D6C094E"/>
    <w:rsid w:val="10311F43"/>
    <w:rsid w:val="13BA21F9"/>
    <w:rsid w:val="19D65709"/>
    <w:rsid w:val="1DDD1C89"/>
    <w:rsid w:val="1DDF5415"/>
    <w:rsid w:val="218E24FF"/>
    <w:rsid w:val="29514723"/>
    <w:rsid w:val="2FEB8EB1"/>
    <w:rsid w:val="436018CB"/>
    <w:rsid w:val="55B7333C"/>
    <w:rsid w:val="56EF2533"/>
    <w:rsid w:val="57FF4C26"/>
    <w:rsid w:val="580A0801"/>
    <w:rsid w:val="58163385"/>
    <w:rsid w:val="58880DCA"/>
    <w:rsid w:val="6BDA649C"/>
    <w:rsid w:val="6D816F66"/>
    <w:rsid w:val="6EBE553C"/>
    <w:rsid w:val="6FBB3B52"/>
    <w:rsid w:val="73D91203"/>
    <w:rsid w:val="755FF52E"/>
    <w:rsid w:val="75D3391D"/>
    <w:rsid w:val="77092214"/>
    <w:rsid w:val="78497BBD"/>
    <w:rsid w:val="7C863B14"/>
    <w:rsid w:val="7FEB4DFF"/>
    <w:rsid w:val="9EEFEE30"/>
    <w:rsid w:val="ACFC6321"/>
    <w:rsid w:val="DEBFB626"/>
    <w:rsid w:val="EFED3596"/>
    <w:rsid w:val="FF5D329C"/>
    <w:rsid w:val="FFBC6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5"/>
    <w:next w:val="6"/>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23"/>
    <w:qFormat/>
    <w:uiPriority w:val="0"/>
    <w:pPr>
      <w:spacing w:line="360" w:lineRule="auto"/>
    </w:pPr>
    <w:rPr>
      <w:rFonts w:ascii="Times New Roman" w:hAnsi="Times New Roman"/>
      <w:b/>
      <w:bCs/>
      <w:sz w:val="24"/>
      <w:szCs w:val="24"/>
    </w:rPr>
  </w:style>
  <w:style w:type="paragraph" w:styleId="7">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8">
    <w:name w:val="Body Text Indent 2"/>
    <w:basedOn w:val="1"/>
    <w:link w:val="22"/>
    <w:qFormat/>
    <w:uiPriority w:val="0"/>
    <w:pPr>
      <w:spacing w:beforeLines="50" w:afterLines="50" w:line="120" w:lineRule="auto"/>
      <w:ind w:firstLine="840" w:firstLineChars="400"/>
      <w:jc w:val="left"/>
    </w:pPr>
    <w:rPr>
      <w:rFonts w:ascii="宋体" w:hAnsi="宋体"/>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Times New Roman" w:hAnsi="Times New Roman"/>
      <w:b/>
      <w:bCs/>
      <w:caps/>
      <w:szCs w:val="24"/>
    </w:rPr>
  </w:style>
  <w:style w:type="paragraph" w:styleId="12">
    <w:name w:val="toc 2"/>
    <w:basedOn w:val="1"/>
    <w:next w:val="1"/>
    <w:qFormat/>
    <w:uiPriority w:val="0"/>
    <w:pPr>
      <w:tabs>
        <w:tab w:val="right" w:leader="dot" w:pos="8296"/>
      </w:tabs>
      <w:ind w:left="210"/>
      <w:jc w:val="left"/>
    </w:pPr>
    <w:rPr>
      <w:rFonts w:ascii="Times New Roman" w:hAnsi="Times New Roman"/>
      <w:smallCaps/>
      <w:szCs w:val="24"/>
    </w:rPr>
  </w:style>
  <w:style w:type="paragraph" w:styleId="13">
    <w:name w:val="Normal (Web)"/>
    <w:basedOn w:val="1"/>
    <w:qFormat/>
    <w:uiPriority w:val="99"/>
    <w:rPr>
      <w:sz w:val="24"/>
    </w:rPr>
  </w:style>
  <w:style w:type="paragraph" w:styleId="14">
    <w:name w:val="Body Text First Indent 2"/>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正文文本缩进 2 Char"/>
    <w:link w:val="8"/>
    <w:qFormat/>
    <w:uiPriority w:val="0"/>
    <w:rPr>
      <w:rFonts w:ascii="宋体" w:hAnsi="宋体"/>
      <w:kern w:val="2"/>
      <w:sz w:val="21"/>
      <w:szCs w:val="24"/>
    </w:rPr>
  </w:style>
  <w:style w:type="character" w:customStyle="1" w:styleId="20">
    <w:name w:val="正文文本 Char"/>
    <w:link w:val="3"/>
    <w:qFormat/>
    <w:uiPriority w:val="0"/>
    <w:rPr>
      <w:b/>
      <w:bCs/>
      <w:kern w:val="2"/>
      <w:sz w:val="24"/>
      <w:szCs w:val="24"/>
    </w:rPr>
  </w:style>
  <w:style w:type="paragraph" w:customStyle="1" w:styleId="21">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character" w:customStyle="1" w:styleId="22">
    <w:name w:val="正文文本缩进 2 Char1"/>
    <w:basedOn w:val="17"/>
    <w:link w:val="8"/>
    <w:qFormat/>
    <w:uiPriority w:val="0"/>
    <w:rPr>
      <w:rFonts w:ascii="Calibri" w:hAnsi="Calibri"/>
      <w:kern w:val="2"/>
      <w:sz w:val="21"/>
      <w:szCs w:val="22"/>
    </w:rPr>
  </w:style>
  <w:style w:type="character" w:customStyle="1" w:styleId="23">
    <w:name w:val="正文文本 Char1"/>
    <w:basedOn w:val="17"/>
    <w:link w:val="3"/>
    <w:qFormat/>
    <w:uiPriority w:val="0"/>
    <w:rPr>
      <w:rFonts w:ascii="Calibri" w:hAnsi="Calibri"/>
      <w:kern w:val="2"/>
      <w:sz w:val="21"/>
      <w:szCs w:val="22"/>
    </w:rPr>
  </w:style>
  <w:style w:type="paragraph" w:customStyle="1" w:styleId="24">
    <w:name w:val="Other|1"/>
    <w:basedOn w:val="1"/>
    <w:qFormat/>
    <w:uiPriority w:val="0"/>
    <w:pPr>
      <w:spacing w:line="314" w:lineRule="auto"/>
    </w:pPr>
    <w:rPr>
      <w:rFonts w:ascii="MingLiU" w:hAnsi="MingLiU" w:eastAsia="MingLiU" w:cs="MingLiU"/>
      <w:sz w:val="20"/>
      <w:szCs w:val="20"/>
      <w:lang w:val="zh-TW" w:eastAsia="zh-TW" w:bidi="zh-TW"/>
    </w:rPr>
  </w:style>
  <w:style w:type="paragraph" w:customStyle="1" w:styleId="2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900</Words>
  <Characters>5131</Characters>
  <Lines>42</Lines>
  <Paragraphs>12</Paragraphs>
  <TotalTime>66</TotalTime>
  <ScaleCrop>false</ScaleCrop>
  <LinksUpToDate>false</LinksUpToDate>
  <CharactersWithSpaces>6019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2021-02-01T01:47:00Z</dcterms:created>
  <dc:creator>Administrator</dc:creator>
  <cp:lastModifiedBy>yan</cp:lastModifiedBy>
  <dcterms:modified xsi:type="dcterms:W3CDTF">2024-05-06T15:50:55Z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9B1480517F984BAEAA1791ECCD2182C1_13</vt:lpwstr>
  </property>
</Properties>
</file>