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before="0" w:after="0" w:line="560" w:lineRule="exact"/>
        <w:ind w:firstLine="0" w:firstLineChars="0"/>
        <w:jc w:val="left"/>
        <w:textAlignment w:val="auto"/>
        <w:rPr>
          <w:rFonts w:hint="eastAsia"/>
          <w:lang w:val="en-US" w:eastAsia="zh-CN"/>
        </w:rPr>
      </w:pPr>
      <w:r>
        <w:rPr>
          <w:rFonts w:hint="eastAsia" w:ascii="方正黑体_GBK" w:hAnsi="方正黑体_GBK" w:eastAsia="方正黑体_GBK" w:cs="方正黑体_GBK"/>
          <w:color w:val="auto"/>
          <w:sz w:val="32"/>
          <w:szCs w:val="32"/>
          <w:lang w:val="en-US" w:eastAsia="zh-CN"/>
        </w:rPr>
        <w:t>附件</w:t>
      </w:r>
    </w:p>
    <w:p>
      <w:pPr>
        <w:pageBreakBefore w:val="0"/>
        <w:kinsoku/>
        <w:wordWrap/>
        <w:overflowPunct/>
        <w:topLinePunct w:val="0"/>
        <w:autoSpaceDE/>
        <w:autoSpaceDN/>
        <w:bidi w:val="0"/>
        <w:adjustRightInd/>
        <w:snapToGrid/>
        <w:spacing w:before="0" w:after="0" w:line="560" w:lineRule="exact"/>
        <w:ind w:firstLine="0" w:firstLineChars="0"/>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color w:val="auto"/>
          <w:sz w:val="44"/>
          <w:szCs w:val="44"/>
          <w:lang w:val="en-US" w:eastAsia="zh-CN"/>
        </w:rPr>
        <w:t>坪山街道公共文化服务中心服务</w:t>
      </w:r>
      <w:bookmarkStart w:id="0" w:name="_GoBack"/>
      <w:bookmarkEnd w:id="0"/>
      <w:r>
        <w:rPr>
          <w:rFonts w:hint="eastAsia" w:ascii="方正小标宋_GBK" w:hAnsi="方正小标宋_GBK" w:eastAsia="方正小标宋_GBK" w:cs="方正小标宋_GBK"/>
          <w:b w:val="0"/>
          <w:bCs/>
          <w:color w:val="auto"/>
          <w:sz w:val="44"/>
          <w:szCs w:val="44"/>
        </w:rPr>
        <w:t>项目采购需求</w:t>
      </w:r>
    </w:p>
    <w:p>
      <w:pPr>
        <w:pStyle w:val="5"/>
        <w:pageBreakBefore w:val="0"/>
        <w:kinsoku/>
        <w:wordWrap/>
        <w:overflowPunct/>
        <w:topLinePunct w:val="0"/>
        <w:autoSpaceDE/>
        <w:autoSpaceDN/>
        <w:bidi w:val="0"/>
        <w:adjustRightInd/>
        <w:snapToGrid/>
        <w:spacing w:before="0" w:after="0" w:line="560" w:lineRule="exact"/>
        <w:textAlignment w:val="auto"/>
        <w:rPr>
          <w:color w:val="auto"/>
        </w:rPr>
      </w:pPr>
    </w:p>
    <w:p>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rPr>
        <w:t>一、采购项目概况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根据《坪山区推进基层公共文化服务中心标准化建设行动方案》要求，文化服务中心坚持“共建共治共享”的运营理念，以居民的基层公共文化需求为出发点，切实做好文化中心工作，提供读书看报阅读活动、文化娱乐、文体培训、演出展览等活动，打造精品文化产品，调动社会资源和社会力量，满足群众多层次、个性化、类别化服务需求，增强基层公共文化服务惠民实效。坪山街道已完成建设并投入使用的中心有两个，分别是：坪山街道（</w:t>
      </w:r>
      <w:r>
        <w:rPr>
          <w:rFonts w:hint="default" w:ascii="仿宋_GB2312" w:hAnsi="仿宋_GB2312" w:eastAsia="仿宋_GB2312" w:cs="仿宋_GB2312"/>
          <w:color w:val="auto"/>
          <w:sz w:val="32"/>
          <w:szCs w:val="32"/>
          <w:lang w:val="en" w:eastAsia="zh-CN"/>
        </w:rPr>
        <w:t>新</w:t>
      </w:r>
      <w:r>
        <w:rPr>
          <w:rFonts w:hint="eastAsia" w:ascii="仿宋_GB2312" w:hAnsi="仿宋_GB2312" w:eastAsia="仿宋_GB2312" w:cs="仿宋_GB2312"/>
          <w:color w:val="auto"/>
          <w:sz w:val="32"/>
          <w:szCs w:val="32"/>
          <w:lang w:val="en-US" w:eastAsia="zh-CN"/>
        </w:rPr>
        <w:t>和社区）公共文化服务中心和坪山街道（六和城）公共文化服务中心。现由坪山街道公共服务办公室进行统一采购两个中心服务项目。</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仿宋"/>
          <w:color w:val="auto"/>
          <w:sz w:val="32"/>
          <w:szCs w:val="32"/>
          <w:lang w:val="en-US" w:eastAsia="zh-CN"/>
        </w:rPr>
      </w:pPr>
      <w:r>
        <w:rPr>
          <w:rFonts w:hint="eastAsia" w:ascii="黑体" w:hAnsi="黑体" w:eastAsia="黑体" w:cs="仿宋"/>
          <w:color w:val="auto"/>
          <w:sz w:val="32"/>
          <w:szCs w:val="32"/>
        </w:rPr>
        <w:t>二、</w:t>
      </w:r>
      <w:r>
        <w:rPr>
          <w:rFonts w:hint="eastAsia" w:ascii="黑体" w:hAnsi="黑体" w:eastAsia="黑体" w:cs="仿宋"/>
          <w:color w:val="auto"/>
          <w:sz w:val="32"/>
          <w:szCs w:val="32"/>
          <w:lang w:val="en-US" w:eastAsia="zh-CN"/>
        </w:rPr>
        <w:t>服务内容</w:t>
      </w:r>
    </w:p>
    <w:tbl>
      <w:tblPr>
        <w:tblStyle w:val="19"/>
        <w:tblW w:w="47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456"/>
        <w:gridCol w:w="1305"/>
        <w:gridCol w:w="1145"/>
        <w:gridCol w:w="5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1021" w:type="pct"/>
            <w:gridSpan w:val="2"/>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指标项目</w:t>
            </w:r>
          </w:p>
        </w:tc>
        <w:tc>
          <w:tcPr>
            <w:tcW w:w="664"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数量</w:t>
            </w:r>
          </w:p>
        </w:tc>
        <w:tc>
          <w:tcPr>
            <w:tcW w:w="2957"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服务说明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264" w:type="pct"/>
            <w:vMerge w:val="restar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平台打造与维护</w:t>
            </w:r>
          </w:p>
        </w:tc>
        <w:tc>
          <w:tcPr>
            <w:tcW w:w="757"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平台打造</w:t>
            </w:r>
          </w:p>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kern w:val="2"/>
                <w:sz w:val="24"/>
                <w:szCs w:val="24"/>
                <w:lang w:val="en-US" w:eastAsia="zh-CN" w:bidi="ar"/>
              </w:rPr>
            </w:pPr>
            <w:r>
              <w:rPr>
                <w:rFonts w:hint="eastAsia" w:ascii="仿宋_GB2312" w:hAnsi="仿宋_GB2312" w:eastAsia="仿宋_GB2312" w:cs="仿宋_GB2312"/>
                <w:sz w:val="24"/>
                <w:szCs w:val="24"/>
                <w:lang w:eastAsia="zh-CN" w:bidi="ar"/>
              </w:rPr>
              <w:t>与运维</w:t>
            </w:r>
          </w:p>
        </w:tc>
        <w:tc>
          <w:tcPr>
            <w:tcW w:w="664"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1项</w:t>
            </w:r>
          </w:p>
        </w:tc>
        <w:tc>
          <w:tcPr>
            <w:tcW w:w="2957"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1.持续深化打造群众文化社交服务平台，制定平台的宣传策略，明确品牌定位，塑造平台形象，提升平台的知名度和美誉度；</w:t>
            </w:r>
          </w:p>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val="en-US" w:eastAsia="zh-CN" w:bidi="ar"/>
              </w:rPr>
              <w:t>2.通过多渠道宣传平台的特色和优势，如区文化馆“文化坪山”公众号（视频号）、线下活动等。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5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264"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eastAsia="zh-CN" w:bidi="ar"/>
              </w:rPr>
            </w:pPr>
          </w:p>
        </w:tc>
        <w:tc>
          <w:tcPr>
            <w:tcW w:w="757"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新特品牌</w:t>
            </w:r>
          </w:p>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sz w:val="24"/>
                <w:szCs w:val="24"/>
                <w:lang w:eastAsia="zh-CN" w:bidi="ar"/>
              </w:rPr>
              <w:t>构建</w:t>
            </w:r>
          </w:p>
        </w:tc>
        <w:tc>
          <w:tcPr>
            <w:tcW w:w="664"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1项</w:t>
            </w:r>
          </w:p>
        </w:tc>
        <w:tc>
          <w:tcPr>
            <w:tcW w:w="2957" w:type="pct"/>
            <w:noWrap w:val="0"/>
            <w:vAlign w:val="center"/>
          </w:tcPr>
          <w:p>
            <w:pPr>
              <w:pStyle w:val="7"/>
              <w:keepNext w:val="0"/>
              <w:keepLines w:val="0"/>
              <w:pageBreakBefore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color w:val="auto"/>
                <w:sz w:val="24"/>
                <w:szCs w:val="24"/>
                <w:lang w:val="en-US" w:eastAsia="zh-CN" w:bidi="ar"/>
              </w:rPr>
              <w:t>依托</w:t>
            </w:r>
            <w:r>
              <w:rPr>
                <w:rFonts w:hint="eastAsia" w:ascii="仿宋_GB2312" w:hAnsi="仿宋_GB2312" w:eastAsia="仿宋_GB2312" w:cs="仿宋_GB2312"/>
                <w:sz w:val="24"/>
                <w:szCs w:val="24"/>
                <w:lang w:val="en-US" w:eastAsia="zh-CN" w:bidi="ar"/>
              </w:rPr>
              <w:t>群众文化社交服务平台</w:t>
            </w:r>
            <w:r>
              <w:rPr>
                <w:rFonts w:hint="eastAsia" w:ascii="仿宋_GB2312" w:hAnsi="仿宋_GB2312" w:eastAsia="仿宋_GB2312" w:cs="仿宋_GB2312"/>
                <w:color w:val="auto"/>
                <w:sz w:val="24"/>
                <w:szCs w:val="24"/>
                <w:lang w:val="en-US" w:eastAsia="zh-CN" w:bidi="ar"/>
              </w:rPr>
              <w:t>，新增1个“文化四季”特色服务板块，开展阳春乐章、盛夏文韵、红实金秋、万象九冬4个服务内容。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5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264"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eastAsia="zh-CN" w:bidi="ar"/>
              </w:rPr>
            </w:pPr>
          </w:p>
        </w:tc>
        <w:tc>
          <w:tcPr>
            <w:tcW w:w="757"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构建服务</w:t>
            </w:r>
          </w:p>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资源库</w:t>
            </w:r>
          </w:p>
        </w:tc>
        <w:tc>
          <w:tcPr>
            <w:tcW w:w="664" w:type="pct"/>
            <w:noWrap w:val="0"/>
            <w:vAlign w:val="center"/>
          </w:tcPr>
          <w:p>
            <w:pPr>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1项</w:t>
            </w:r>
          </w:p>
        </w:tc>
        <w:tc>
          <w:tcPr>
            <w:tcW w:w="2957"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1.通过走访、电话、微信、宣传等多渠道链接资源不少于10次，构建公益团队资源库，提供各类公益服务；</w:t>
            </w:r>
          </w:p>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2.链接辖区校区、厂区、园区等场地资源不少于10次，搭建群众展示平台。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5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264"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eastAsia="zh-CN" w:bidi="ar"/>
              </w:rPr>
            </w:pPr>
          </w:p>
        </w:tc>
        <w:tc>
          <w:tcPr>
            <w:tcW w:w="757"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档案规范管理</w:t>
            </w:r>
          </w:p>
        </w:tc>
        <w:tc>
          <w:tcPr>
            <w:tcW w:w="664"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1年</w:t>
            </w:r>
          </w:p>
        </w:tc>
        <w:tc>
          <w:tcPr>
            <w:tcW w:w="2957" w:type="pct"/>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1.各类文体活动资料精细化管理，归类成档；</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2.建立并完善辖区社会体育指导员的花名册。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w:t>
            </w:r>
          </w:p>
        </w:tc>
        <w:tc>
          <w:tcPr>
            <w:tcW w:w="264"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eastAsia="zh-CN" w:bidi="ar"/>
              </w:rPr>
            </w:pPr>
          </w:p>
        </w:tc>
        <w:tc>
          <w:tcPr>
            <w:tcW w:w="757" w:type="pct"/>
            <w:vMerge w:val="restar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宣传推广</w:t>
            </w:r>
          </w:p>
        </w:tc>
        <w:tc>
          <w:tcPr>
            <w:tcW w:w="664"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1项</w:t>
            </w:r>
          </w:p>
        </w:tc>
        <w:tc>
          <w:tcPr>
            <w:tcW w:w="2957" w:type="pct"/>
            <w:noWrap w:val="0"/>
            <w:vAlign w:val="center"/>
          </w:tcPr>
          <w:p>
            <w:pPr>
              <w:pStyle w:val="7"/>
              <w:keepNext w:val="0"/>
              <w:keepLines w:val="0"/>
              <w:pageBreakBefore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在“深圳文化云”、“深圳文体旅智慧服务系统”、广东省社会体育指导员服务平台、宣传栏及微信居民群等平台进行日常宣传。</w:t>
            </w:r>
          </w:p>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1.日常宣传活动不少于100次；</w:t>
            </w:r>
          </w:p>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2.新时代思想道德和群众性精神文明宣传不少于10次；</w:t>
            </w:r>
          </w:p>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3.制作并更换服务计划宣传信息不少于12次；</w:t>
            </w:r>
          </w:p>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4.宣传栏服务及信息更换不少于20期；</w:t>
            </w:r>
          </w:p>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5.编印文艺、信息等刊物资料不少于4期，1期25份；</w:t>
            </w:r>
          </w:p>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6.编印本地业余作者文艺作品集不少于3次，1次10份；</w:t>
            </w:r>
          </w:p>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sz w:val="24"/>
                <w:szCs w:val="24"/>
                <w:lang w:val="en-US" w:eastAsia="zh-CN" w:bidi="ar"/>
              </w:rPr>
              <w:t>7.阵地服务成果摄影展更新不少于2次。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w:t>
            </w:r>
          </w:p>
        </w:tc>
        <w:tc>
          <w:tcPr>
            <w:tcW w:w="264"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eastAsia="zh-CN" w:bidi="ar"/>
              </w:rPr>
            </w:pPr>
          </w:p>
        </w:tc>
        <w:tc>
          <w:tcPr>
            <w:tcW w:w="757"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
              </w:rPr>
            </w:pPr>
          </w:p>
        </w:tc>
        <w:tc>
          <w:tcPr>
            <w:tcW w:w="664"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1项</w:t>
            </w:r>
          </w:p>
        </w:tc>
        <w:tc>
          <w:tcPr>
            <w:tcW w:w="2957"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各类文体活动的摄影摄像不少于100次。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w:t>
            </w:r>
          </w:p>
        </w:tc>
        <w:tc>
          <w:tcPr>
            <w:tcW w:w="264"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eastAsia="zh-CN" w:bidi="ar"/>
              </w:rPr>
            </w:pPr>
          </w:p>
        </w:tc>
        <w:tc>
          <w:tcPr>
            <w:tcW w:w="757"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
              </w:rPr>
            </w:pPr>
          </w:p>
        </w:tc>
        <w:tc>
          <w:tcPr>
            <w:tcW w:w="664"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1项</w:t>
            </w:r>
          </w:p>
        </w:tc>
        <w:tc>
          <w:tcPr>
            <w:tcW w:w="2957"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视频后期剪辑不少于50次。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w:t>
            </w:r>
          </w:p>
        </w:tc>
        <w:tc>
          <w:tcPr>
            <w:tcW w:w="264"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eastAsia="zh-CN" w:bidi="ar"/>
              </w:rPr>
            </w:pPr>
          </w:p>
        </w:tc>
        <w:tc>
          <w:tcPr>
            <w:tcW w:w="757" w:type="pct"/>
            <w:vMerge w:val="restar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场馆管理</w:t>
            </w:r>
          </w:p>
        </w:tc>
        <w:tc>
          <w:tcPr>
            <w:tcW w:w="664"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1项</w:t>
            </w:r>
          </w:p>
        </w:tc>
        <w:tc>
          <w:tcPr>
            <w:tcW w:w="2957"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1.提供场馆免费错时开放，每个场馆每周开放时间不少于48小时，服务总人次不少于40000人次；</w:t>
            </w:r>
          </w:p>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2.针对管理人员、安保、服务人员开展业务提升活动不少于24次；</w:t>
            </w:r>
          </w:p>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3.日用品（场馆服务群众含饮用水、纸巾、清洁用品等）；</w:t>
            </w:r>
          </w:p>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4.应急物资的储备（防护用品、应急药品等）；</w:t>
            </w:r>
          </w:p>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5.建立健全场馆预约、服务管</w:t>
            </w:r>
            <w:r>
              <w:rPr>
                <w:rFonts w:hint="eastAsia" w:ascii="仿宋_GB2312" w:hAnsi="仿宋_GB2312" w:eastAsia="仿宋_GB2312" w:cs="仿宋_GB2312"/>
                <w:i w:val="0"/>
                <w:color w:val="000000"/>
                <w:kern w:val="0"/>
                <w:sz w:val="24"/>
                <w:szCs w:val="24"/>
                <w:u w:val="none"/>
                <w:lang w:val="en-US" w:eastAsia="zh-CN" w:bidi="ar"/>
              </w:rPr>
              <w:t>理、志愿者管理、档案管理、功能室管理、安全保卫等制度。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w:t>
            </w:r>
          </w:p>
        </w:tc>
        <w:tc>
          <w:tcPr>
            <w:tcW w:w="264"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eastAsia="zh-CN" w:bidi="ar"/>
              </w:rPr>
            </w:pPr>
          </w:p>
        </w:tc>
        <w:tc>
          <w:tcPr>
            <w:tcW w:w="757"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
              </w:rPr>
            </w:pPr>
          </w:p>
        </w:tc>
        <w:tc>
          <w:tcPr>
            <w:tcW w:w="664" w:type="pct"/>
            <w:noWrap w:val="0"/>
            <w:vAlign w:val="center"/>
          </w:tcPr>
          <w:p>
            <w:pPr>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1年</w:t>
            </w:r>
          </w:p>
        </w:tc>
        <w:tc>
          <w:tcPr>
            <w:tcW w:w="2957" w:type="pct"/>
            <w:noWrap w:val="0"/>
            <w:vAlign w:val="center"/>
          </w:tcPr>
          <w:p>
            <w:pPr>
              <w:pStyle w:val="7"/>
              <w:keepNext w:val="0"/>
              <w:keepLines w:val="0"/>
              <w:pageBreakBefore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购买两个场馆场地险。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w:t>
            </w:r>
          </w:p>
        </w:tc>
        <w:tc>
          <w:tcPr>
            <w:tcW w:w="264"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eastAsia="zh-CN" w:bidi="ar"/>
              </w:rPr>
            </w:pPr>
          </w:p>
        </w:tc>
        <w:tc>
          <w:tcPr>
            <w:tcW w:w="757"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
              </w:rPr>
            </w:pPr>
          </w:p>
        </w:tc>
        <w:tc>
          <w:tcPr>
            <w:tcW w:w="664" w:type="pct"/>
            <w:noWrap w:val="0"/>
            <w:vAlign w:val="center"/>
          </w:tcPr>
          <w:p>
            <w:pPr>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1年</w:t>
            </w:r>
          </w:p>
        </w:tc>
        <w:tc>
          <w:tcPr>
            <w:tcW w:w="2957" w:type="pct"/>
            <w:noWrap w:val="0"/>
            <w:vAlign w:val="center"/>
          </w:tcPr>
          <w:p>
            <w:pPr>
              <w:pStyle w:val="7"/>
              <w:keepNext w:val="0"/>
              <w:keepLines w:val="0"/>
              <w:pageBreakBefore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两个场馆</w:t>
            </w:r>
            <w:r>
              <w:rPr>
                <w:rFonts w:hint="eastAsia" w:ascii="仿宋_GB2312" w:hAnsi="仿宋_GB2312" w:eastAsia="仿宋_GB2312" w:cs="仿宋_GB2312"/>
                <w:sz w:val="24"/>
                <w:szCs w:val="24"/>
                <w:lang w:eastAsia="zh-CN" w:bidi="ar"/>
              </w:rPr>
              <w:t>设备</w:t>
            </w:r>
            <w:r>
              <w:rPr>
                <w:rFonts w:hint="eastAsia" w:ascii="仿宋_GB2312" w:hAnsi="仿宋_GB2312" w:eastAsia="仿宋_GB2312" w:cs="仿宋_GB2312"/>
                <w:sz w:val="24"/>
                <w:szCs w:val="24"/>
                <w:lang w:val="en-US" w:eastAsia="zh-CN" w:bidi="ar"/>
              </w:rPr>
              <w:t>维修维护。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11</w:t>
            </w:r>
          </w:p>
        </w:tc>
        <w:tc>
          <w:tcPr>
            <w:tcW w:w="264"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eastAsia="zh-CN" w:bidi="ar"/>
              </w:rPr>
            </w:pPr>
          </w:p>
        </w:tc>
        <w:tc>
          <w:tcPr>
            <w:tcW w:w="757" w:type="pct"/>
            <w:vMerge w:val="restar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需求调研</w:t>
            </w:r>
          </w:p>
        </w:tc>
        <w:tc>
          <w:tcPr>
            <w:tcW w:w="664" w:type="pct"/>
            <w:noWrap w:val="0"/>
            <w:vAlign w:val="center"/>
          </w:tcPr>
          <w:p>
            <w:pPr>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1项</w:t>
            </w:r>
          </w:p>
        </w:tc>
        <w:tc>
          <w:tcPr>
            <w:tcW w:w="2957" w:type="pct"/>
            <w:noWrap w:val="0"/>
            <w:vAlign w:val="center"/>
          </w:tcPr>
          <w:p>
            <w:pPr>
              <w:pStyle w:val="7"/>
              <w:keepNext w:val="0"/>
              <w:keepLines w:val="0"/>
              <w:pageBreakBefore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开展民众心声沙龙活动不少于2场，收集群众意见，并针对群众意见进行分析。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35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12</w:t>
            </w:r>
          </w:p>
        </w:tc>
        <w:tc>
          <w:tcPr>
            <w:tcW w:w="264"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eastAsia="zh-CN" w:bidi="ar"/>
              </w:rPr>
            </w:pPr>
          </w:p>
        </w:tc>
        <w:tc>
          <w:tcPr>
            <w:tcW w:w="757"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
              </w:rPr>
            </w:pPr>
          </w:p>
        </w:tc>
        <w:tc>
          <w:tcPr>
            <w:tcW w:w="664" w:type="pct"/>
            <w:noWrap w:val="0"/>
            <w:vAlign w:val="center"/>
          </w:tcPr>
          <w:p>
            <w:pPr>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1项</w:t>
            </w:r>
          </w:p>
        </w:tc>
        <w:tc>
          <w:tcPr>
            <w:tcW w:w="2957" w:type="pct"/>
            <w:noWrap w:val="0"/>
            <w:vAlign w:val="center"/>
          </w:tcPr>
          <w:p>
            <w:pPr>
              <w:pStyle w:val="7"/>
              <w:keepNext w:val="0"/>
              <w:keepLines w:val="0"/>
              <w:pageBreakBefore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val="en-US" w:eastAsia="zh-CN" w:bidi="ar"/>
              </w:rPr>
              <w:t>每年不少于2次公共文体服务满意度调查（含问卷设计、数据采集、数据分析等），并针对群众意见进行分析。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13</w:t>
            </w:r>
          </w:p>
        </w:tc>
        <w:tc>
          <w:tcPr>
            <w:tcW w:w="264" w:type="pct"/>
            <w:vMerge w:val="restar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kern w:val="2"/>
                <w:sz w:val="24"/>
                <w:szCs w:val="24"/>
                <w:lang w:val="en-US" w:eastAsia="zh-CN" w:bidi="ar"/>
              </w:rPr>
              <w:t>志愿者管理</w:t>
            </w:r>
          </w:p>
        </w:tc>
        <w:tc>
          <w:tcPr>
            <w:tcW w:w="757" w:type="pct"/>
            <w:vMerge w:val="restar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志愿者</w:t>
            </w:r>
          </w:p>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队伍建设</w:t>
            </w:r>
          </w:p>
        </w:tc>
        <w:tc>
          <w:tcPr>
            <w:tcW w:w="664" w:type="pct"/>
            <w:noWrap w:val="0"/>
            <w:vAlign w:val="center"/>
          </w:tcPr>
          <w:p>
            <w:pPr>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1项</w:t>
            </w:r>
          </w:p>
        </w:tc>
        <w:tc>
          <w:tcPr>
            <w:tcW w:w="2957" w:type="pct"/>
            <w:noWrap w:val="0"/>
            <w:vAlign w:val="center"/>
          </w:tcPr>
          <w:p>
            <w:pPr>
              <w:pStyle w:val="7"/>
              <w:keepNext w:val="0"/>
              <w:keepLines w:val="0"/>
              <w:pageBreakBefore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打造并拓展“文化星光”志愿服务队，完善队伍架构及管理制度，新增不少于20名中青年志愿者，开展团建活动不少于2场。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14</w:t>
            </w:r>
          </w:p>
        </w:tc>
        <w:tc>
          <w:tcPr>
            <w:tcW w:w="264"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eastAsia="zh-CN" w:bidi="ar"/>
              </w:rPr>
            </w:pPr>
          </w:p>
        </w:tc>
        <w:tc>
          <w:tcPr>
            <w:tcW w:w="757"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
              </w:rPr>
            </w:pPr>
          </w:p>
        </w:tc>
        <w:tc>
          <w:tcPr>
            <w:tcW w:w="664" w:type="pct"/>
            <w:noWrap w:val="0"/>
            <w:vAlign w:val="center"/>
          </w:tcPr>
          <w:p>
            <w:pPr>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1项</w:t>
            </w:r>
          </w:p>
        </w:tc>
        <w:tc>
          <w:tcPr>
            <w:tcW w:w="2957" w:type="pct"/>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1.通过线上线下多渠道发布招募信息，广泛动员热心公益事业、具有竞技特长或相关体育背景的志愿者，组建“竞技先锋”志愿服务队；</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2.设计队伍架构，制定规章制度，建立志愿者档案，制定志愿服务活动流程，开展专项团建活动不少于2场，提升队伍的凝聚力。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5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15</w:t>
            </w:r>
          </w:p>
        </w:tc>
        <w:tc>
          <w:tcPr>
            <w:tcW w:w="264"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eastAsia="zh-CN" w:bidi="ar"/>
              </w:rPr>
            </w:pPr>
          </w:p>
        </w:tc>
        <w:tc>
          <w:tcPr>
            <w:tcW w:w="757"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kern w:val="2"/>
                <w:sz w:val="24"/>
                <w:szCs w:val="24"/>
                <w:lang w:val="en-US" w:eastAsia="zh-CN" w:bidi="ar"/>
              </w:rPr>
            </w:pPr>
          </w:p>
        </w:tc>
        <w:tc>
          <w:tcPr>
            <w:tcW w:w="664"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1项</w:t>
            </w:r>
          </w:p>
        </w:tc>
        <w:tc>
          <w:tcPr>
            <w:tcW w:w="2957" w:type="pct"/>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1.开展针对文化、体育指导员等志愿者不少于3场业务提升活动；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2.志愿者队伍的日常组织管理及志愿深圳系统志愿服务时长录入工作。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16</w:t>
            </w:r>
          </w:p>
        </w:tc>
        <w:tc>
          <w:tcPr>
            <w:tcW w:w="264" w:type="pct"/>
            <w:vMerge w:val="restar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color w:val="auto"/>
                <w:sz w:val="24"/>
                <w:szCs w:val="24"/>
                <w:lang w:val="en-US" w:eastAsia="zh-CN" w:bidi="ar"/>
              </w:rPr>
              <w:t>文化四季特色服务板块</w:t>
            </w:r>
          </w:p>
        </w:tc>
        <w:tc>
          <w:tcPr>
            <w:tcW w:w="757" w:type="pct"/>
            <w:vMerge w:val="restar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文体活动开展</w:t>
            </w:r>
          </w:p>
        </w:tc>
        <w:tc>
          <w:tcPr>
            <w:tcW w:w="664" w:type="pct"/>
            <w:noWrap w:val="0"/>
            <w:vAlign w:val="center"/>
          </w:tcPr>
          <w:p>
            <w:pPr>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1项</w:t>
            </w:r>
          </w:p>
        </w:tc>
        <w:tc>
          <w:tcPr>
            <w:tcW w:w="29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举办公益性文体活动（含展演赛事、阅读推广、传统文化、民俗文化等）不少于150场，服务不少于10000人次，丰富群众文化生活，提高群众文化素养，推动文化事业发展。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17</w:t>
            </w:r>
          </w:p>
        </w:tc>
        <w:tc>
          <w:tcPr>
            <w:tcW w:w="264"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757"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val="en-US" w:eastAsia="zh-CN" w:bidi="ar"/>
              </w:rPr>
            </w:pPr>
          </w:p>
        </w:tc>
        <w:tc>
          <w:tcPr>
            <w:tcW w:w="664" w:type="pct"/>
            <w:noWrap w:val="0"/>
            <w:vAlign w:val="center"/>
          </w:tcPr>
          <w:p>
            <w:pPr>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1项</w:t>
            </w:r>
          </w:p>
        </w:tc>
        <w:tc>
          <w:tcPr>
            <w:tcW w:w="29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组织综合性大型文体活动不少于4场，服务不少于2000人次。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18</w:t>
            </w:r>
          </w:p>
        </w:tc>
        <w:tc>
          <w:tcPr>
            <w:tcW w:w="264"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val="en-US" w:eastAsia="zh-CN" w:bidi="ar"/>
              </w:rPr>
            </w:pPr>
          </w:p>
        </w:tc>
        <w:tc>
          <w:tcPr>
            <w:tcW w:w="757"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val="en-US" w:eastAsia="zh-CN" w:bidi="ar"/>
              </w:rPr>
            </w:pPr>
          </w:p>
        </w:tc>
        <w:tc>
          <w:tcPr>
            <w:tcW w:w="664" w:type="pct"/>
            <w:noWrap w:val="0"/>
            <w:vAlign w:val="center"/>
          </w:tcPr>
          <w:p>
            <w:pPr>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1项</w:t>
            </w:r>
          </w:p>
        </w:tc>
        <w:tc>
          <w:tcPr>
            <w:tcW w:w="2957" w:type="pct"/>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bidi="ar"/>
              </w:rPr>
              <w:t>组织创作并展演的文艺作品不少于5部(件)。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19</w:t>
            </w:r>
          </w:p>
        </w:tc>
        <w:tc>
          <w:tcPr>
            <w:tcW w:w="264"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val="en-US" w:eastAsia="zh-CN" w:bidi="ar"/>
              </w:rPr>
            </w:pPr>
          </w:p>
        </w:tc>
        <w:tc>
          <w:tcPr>
            <w:tcW w:w="757"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val="en-US" w:eastAsia="zh-CN" w:bidi="ar"/>
              </w:rPr>
            </w:pPr>
          </w:p>
        </w:tc>
        <w:tc>
          <w:tcPr>
            <w:tcW w:w="664" w:type="pct"/>
            <w:noWrap w:val="0"/>
            <w:vAlign w:val="center"/>
          </w:tcPr>
          <w:p>
            <w:pPr>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1项</w:t>
            </w:r>
          </w:p>
        </w:tc>
        <w:tc>
          <w:tcPr>
            <w:tcW w:w="2957" w:type="pct"/>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bidi="ar"/>
              </w:rPr>
              <w:t>开展非物质文化遗产传承活动不少于3场。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5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20</w:t>
            </w:r>
          </w:p>
        </w:tc>
        <w:tc>
          <w:tcPr>
            <w:tcW w:w="264"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val="en-US" w:eastAsia="zh-CN" w:bidi="ar"/>
              </w:rPr>
            </w:pPr>
          </w:p>
        </w:tc>
        <w:tc>
          <w:tcPr>
            <w:tcW w:w="757"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kern w:val="2"/>
                <w:sz w:val="24"/>
                <w:szCs w:val="24"/>
                <w:lang w:val="en-US" w:eastAsia="zh-CN" w:bidi="ar"/>
              </w:rPr>
            </w:pPr>
            <w:r>
              <w:rPr>
                <w:rFonts w:hint="eastAsia" w:ascii="仿宋_GB2312" w:hAnsi="仿宋_GB2312" w:eastAsia="仿宋_GB2312" w:cs="仿宋_GB2312"/>
                <w:sz w:val="24"/>
                <w:szCs w:val="24"/>
                <w:lang w:val="en-US" w:eastAsia="zh-CN" w:bidi="ar"/>
              </w:rPr>
              <w:t>文体项目沙龙开展</w:t>
            </w:r>
          </w:p>
        </w:tc>
        <w:tc>
          <w:tcPr>
            <w:tcW w:w="664" w:type="pct"/>
            <w:noWrap w:val="0"/>
            <w:vAlign w:val="center"/>
          </w:tcPr>
          <w:p>
            <w:pPr>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1项</w:t>
            </w:r>
          </w:p>
        </w:tc>
        <w:tc>
          <w:tcPr>
            <w:tcW w:w="2957" w:type="pct"/>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bidi="ar"/>
              </w:rPr>
              <w:t>组织开展各类文体项目沙龙,开展项目不少于8期，每期项目不少于20节次，每节次不少于20人。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21</w:t>
            </w:r>
          </w:p>
        </w:tc>
        <w:tc>
          <w:tcPr>
            <w:tcW w:w="264"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val="en-US" w:eastAsia="zh-CN" w:bidi="ar"/>
              </w:rPr>
            </w:pPr>
          </w:p>
        </w:tc>
        <w:tc>
          <w:tcPr>
            <w:tcW w:w="757"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社会体育指导员服务工作</w:t>
            </w:r>
          </w:p>
        </w:tc>
        <w:tc>
          <w:tcPr>
            <w:tcW w:w="664" w:type="pct"/>
            <w:noWrap w:val="0"/>
            <w:vAlign w:val="center"/>
          </w:tcPr>
          <w:p>
            <w:pPr>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1项</w:t>
            </w:r>
          </w:p>
        </w:tc>
        <w:tc>
          <w:tcPr>
            <w:tcW w:w="2957"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val="en-US" w:eastAsia="zh-CN" w:bidi="ar"/>
              </w:rPr>
              <w:t>1.开展不少于5次健身技能传授，服务不少于200人次。</w:t>
            </w:r>
          </w:p>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auto"/>
                <w:sz w:val="24"/>
                <w:szCs w:val="24"/>
                <w:lang w:val="en-US" w:eastAsia="zh-CN" w:bidi="ar"/>
              </w:rPr>
              <w:t>2.开展专项体育活动不少于1场，</w:t>
            </w:r>
            <w:r>
              <w:rPr>
                <w:rFonts w:hint="default" w:ascii="仿宋_GB2312" w:hAnsi="仿宋_GB2312" w:eastAsia="仿宋_GB2312" w:cs="仿宋_GB2312"/>
                <w:color w:val="auto"/>
                <w:sz w:val="24"/>
                <w:szCs w:val="24"/>
                <w:lang w:val="en-US" w:eastAsia="zh-CN" w:bidi="ar"/>
              </w:rPr>
              <w:t>普及体育知识与文化宣传</w:t>
            </w:r>
            <w:r>
              <w:rPr>
                <w:rFonts w:hint="eastAsia" w:ascii="仿宋_GB2312" w:hAnsi="仿宋_GB2312" w:eastAsia="仿宋_GB2312" w:cs="仿宋_GB2312"/>
                <w:color w:val="auto"/>
                <w:sz w:val="24"/>
                <w:szCs w:val="24"/>
                <w:lang w:val="en-US" w:eastAsia="zh-CN" w:bidi="ar"/>
              </w:rPr>
              <w:t>，提供体育健身指导服务。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22</w:t>
            </w:r>
          </w:p>
        </w:tc>
        <w:tc>
          <w:tcPr>
            <w:tcW w:w="264"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协助工作</w:t>
            </w:r>
          </w:p>
        </w:tc>
        <w:tc>
          <w:tcPr>
            <w:tcW w:w="757"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i w:val="0"/>
                <w:color w:val="000000"/>
                <w:kern w:val="0"/>
                <w:sz w:val="24"/>
                <w:szCs w:val="24"/>
                <w:u w:val="none"/>
                <w:lang w:val="en-US" w:eastAsia="zh-CN" w:bidi="ar"/>
              </w:rPr>
              <w:t>其他工作</w:t>
            </w:r>
          </w:p>
        </w:tc>
        <w:tc>
          <w:tcPr>
            <w:tcW w:w="664"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1项</w:t>
            </w:r>
          </w:p>
        </w:tc>
        <w:tc>
          <w:tcPr>
            <w:tcW w:w="2957"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1.协助街道完成省特级文化站评估、社会体育指导员服务站评估工作；</w:t>
            </w:r>
          </w:p>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color w:val="auto"/>
                <w:sz w:val="24"/>
                <w:szCs w:val="24"/>
                <w:lang w:val="en-US" w:eastAsia="zh-CN" w:bidi="ar"/>
              </w:rPr>
              <w:t>2.协助街道完成辖区社会体育指导员在广东省社会体育指导员服务平台(健身行)注册,并督促社会体育指导员每年开展的服务指导时长达到50个小时；</w:t>
            </w:r>
          </w:p>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3.协助开展文化、文物及体育等直属部门安排的其他工作。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23</w:t>
            </w:r>
          </w:p>
        </w:tc>
        <w:tc>
          <w:tcPr>
            <w:tcW w:w="264"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项目管理</w:t>
            </w:r>
          </w:p>
        </w:tc>
        <w:tc>
          <w:tcPr>
            <w:tcW w:w="757"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管理费</w:t>
            </w:r>
          </w:p>
        </w:tc>
        <w:tc>
          <w:tcPr>
            <w:tcW w:w="664"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1项</w:t>
            </w:r>
          </w:p>
        </w:tc>
        <w:tc>
          <w:tcPr>
            <w:tcW w:w="2957"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项目中服务（</w:t>
            </w:r>
            <w:r>
              <w:rPr>
                <w:rFonts w:hint="eastAsia" w:ascii="仿宋_GB2312" w:hAnsi="仿宋_GB2312" w:eastAsia="仿宋_GB2312" w:cs="仿宋_GB2312"/>
                <w:kern w:val="2"/>
                <w:sz w:val="24"/>
                <w:szCs w:val="24"/>
                <w:lang w:val="en-US" w:eastAsia="zh-CN" w:bidi="ar"/>
              </w:rPr>
              <w:t>构建服务资源库、档案规范管理、社群运营、宣传推广、需求调研、志愿者队伍建设、文体活动、文体项目沙龙、社会体育指导员服务工作</w:t>
            </w:r>
            <w:r>
              <w:rPr>
                <w:rFonts w:hint="eastAsia" w:ascii="仿宋_GB2312" w:hAnsi="仿宋_GB2312" w:eastAsia="仿宋_GB2312" w:cs="仿宋_GB2312"/>
                <w:sz w:val="24"/>
                <w:szCs w:val="24"/>
                <w:lang w:val="en-US" w:eastAsia="zh-CN" w:bidi="ar"/>
              </w:rPr>
              <w:t>）的10%。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5"/>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color w:val="000000"/>
                <w:sz w:val="24"/>
                <w:szCs w:val="24"/>
                <w:lang w:val="en-US" w:eastAsia="zh-CN"/>
              </w:rPr>
              <w:t>备注：以上服务配备5名全职人员和2名兼职工作人员。</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rPr>
        <w:t>三、供应商资格要求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Style w:val="38"/>
          <w:rFonts w:hint="eastAsia" w:ascii="楷体_GB2312" w:hAnsi="楷体_GB2312" w:eastAsia="楷体_GB2312" w:cs="楷体_GB2312"/>
          <w:b w:val="0"/>
          <w:i w:val="0"/>
          <w:caps w:val="0"/>
          <w:color w:val="auto"/>
          <w:spacing w:val="0"/>
          <w:w w:val="100"/>
          <w:kern w:val="0"/>
          <w:sz w:val="32"/>
          <w:szCs w:val="32"/>
          <w:lang w:val="en-US" w:eastAsia="zh-CN" w:bidi="ar-SA"/>
        </w:rPr>
        <w:t>（一）</w:t>
      </w:r>
      <w:r>
        <w:rPr>
          <w:rFonts w:hint="eastAsia" w:ascii="楷体_GB2312" w:hAnsi="楷体_GB2312" w:eastAsia="楷体_GB2312" w:cs="楷体_GB2312"/>
          <w:color w:val="auto"/>
          <w:sz w:val="32"/>
          <w:szCs w:val="32"/>
        </w:rPr>
        <w:t>投标</w:t>
      </w:r>
      <w:r>
        <w:rPr>
          <w:rFonts w:hint="eastAsia" w:ascii="楷体_GB2312" w:hAnsi="楷体_GB2312" w:eastAsia="楷体_GB2312" w:cs="楷体_GB2312"/>
          <w:color w:val="auto"/>
          <w:sz w:val="32"/>
          <w:szCs w:val="32"/>
          <w:lang w:val="en-US" w:eastAsia="zh-CN"/>
        </w:rPr>
        <w:t>单位</w:t>
      </w:r>
      <w:r>
        <w:rPr>
          <w:rFonts w:hint="eastAsia" w:ascii="楷体_GB2312" w:hAnsi="楷体_GB2312" w:eastAsia="楷体_GB2312" w:cs="楷体_GB2312"/>
          <w:color w:val="auto"/>
          <w:sz w:val="32"/>
          <w:szCs w:val="32"/>
        </w:rPr>
        <w:t>须为在中华人民共和国境内注册</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具有</w:t>
      </w:r>
      <w:r>
        <w:rPr>
          <w:rFonts w:hint="eastAsia" w:ascii="楷体_GB2312" w:hAnsi="楷体_GB2312" w:eastAsia="楷体_GB2312" w:cs="楷体_GB2312"/>
          <w:color w:val="auto"/>
          <w:sz w:val="32"/>
          <w:szCs w:val="32"/>
        </w:rPr>
        <w:t>独立法人</w:t>
      </w:r>
      <w:r>
        <w:rPr>
          <w:rFonts w:hint="eastAsia" w:ascii="楷体_GB2312" w:hAnsi="楷体_GB2312" w:eastAsia="楷体_GB2312" w:cs="楷体_GB2312"/>
          <w:color w:val="auto"/>
          <w:sz w:val="32"/>
          <w:szCs w:val="32"/>
          <w:lang w:val="en-US" w:eastAsia="zh-CN"/>
        </w:rPr>
        <w:t>资格或是具有独立承担民事责任能力的其他组织（独立法人提供营业执照扫描件或复印件；非法人组织则提供主管部门颁发或批准成立的证书或其他证明文件扫描件或复印件）。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投标</w:t>
      </w:r>
      <w:r>
        <w:rPr>
          <w:rFonts w:hint="eastAsia" w:ascii="楷体_GB2312" w:hAnsi="楷体_GB2312" w:eastAsia="楷体_GB2312" w:cs="楷体_GB2312"/>
          <w:color w:val="auto"/>
          <w:sz w:val="32"/>
          <w:szCs w:val="32"/>
          <w:lang w:val="en-US" w:eastAsia="zh-CN"/>
        </w:rPr>
        <w:t>单位</w:t>
      </w:r>
      <w:r>
        <w:rPr>
          <w:rFonts w:hint="eastAsia" w:ascii="楷体_GB2312" w:hAnsi="楷体_GB2312" w:eastAsia="楷体_GB2312" w:cs="楷体_GB2312"/>
          <w:color w:val="auto"/>
          <w:sz w:val="32"/>
          <w:szCs w:val="32"/>
        </w:rPr>
        <w:t>参加本次政府采购活动前3年内</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在经营活动中没有重大违法记录</w:t>
      </w:r>
      <w:r>
        <w:rPr>
          <w:rFonts w:hint="eastAsia" w:ascii="楷体_GB2312" w:hAnsi="楷体_GB2312" w:eastAsia="楷体_GB2312" w:cs="楷体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三）投标单位应具有良好的商业信誉。拒绝因违法经营受到刑事处罚或者责令停产停业、吊销许可证或者执照、受到较大数额罚款行政处罚的投标单位参与本项目的采购活动。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rPr>
        <w:t>四、评标定标方法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采用</w:t>
      </w:r>
      <w:r>
        <w:rPr>
          <w:rFonts w:hint="eastAsia" w:ascii="仿宋_GB2312" w:hAnsi="仿宋_GB2312" w:eastAsia="仿宋_GB2312" w:cs="仿宋_GB2312"/>
          <w:color w:val="auto"/>
          <w:sz w:val="32"/>
          <w:szCs w:val="32"/>
          <w:u w:val="none"/>
        </w:rPr>
        <w:t>综合评分法</w:t>
      </w:r>
      <w:r>
        <w:rPr>
          <w:rFonts w:hint="eastAsia" w:ascii="仿宋_GB2312" w:hAnsi="仿宋_GB2312" w:eastAsia="仿宋_GB2312" w:cs="仿宋_GB2312"/>
          <w:color w:val="auto"/>
          <w:sz w:val="32"/>
          <w:szCs w:val="32"/>
        </w:rPr>
        <w:t>，是指投标文件满足</w:t>
      </w:r>
      <w:r>
        <w:rPr>
          <w:rFonts w:hint="eastAsia" w:ascii="仿宋_GB2312" w:hAnsi="仿宋_GB2312" w:eastAsia="仿宋_GB2312" w:cs="仿宋_GB2312"/>
          <w:color w:val="auto"/>
          <w:sz w:val="32"/>
          <w:szCs w:val="32"/>
          <w:lang w:val="en-US" w:eastAsia="zh-CN"/>
        </w:rPr>
        <w:t>采购需求</w:t>
      </w:r>
      <w:r>
        <w:rPr>
          <w:rFonts w:hint="eastAsia" w:ascii="仿宋_GB2312" w:hAnsi="仿宋_GB2312" w:eastAsia="仿宋_GB2312" w:cs="仿宋_GB2312"/>
          <w:color w:val="auto"/>
          <w:sz w:val="32"/>
          <w:szCs w:val="32"/>
        </w:rPr>
        <w:t>文件全部实质性要求，且按照评审因素的量化指标评审得分最高的</w:t>
      </w: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rPr>
        <w:t>为中标候选人的评标方法。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确定中标供应商按评审后得分由高到低顺序排列。得分相同的，按投标报价由低到高顺序排列。得分且投标报价相同的，按技术指标优劣顺序排列。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采购小组</w:t>
      </w:r>
      <w:r>
        <w:rPr>
          <w:rFonts w:hint="eastAsia" w:ascii="仿宋_GB2312" w:hAnsi="仿宋_GB2312" w:eastAsia="仿宋_GB2312" w:cs="仿宋_GB2312"/>
          <w:color w:val="auto"/>
          <w:sz w:val="32"/>
          <w:szCs w:val="32"/>
        </w:rPr>
        <w:t>会对每个通过资格性检查和符合性检查且报价不超过预算金额或投标控制价的投标供应商进行评审、打分，然后汇总每个投标供应商每项评分因素的评分。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采购小组</w:t>
      </w:r>
      <w:r>
        <w:rPr>
          <w:rFonts w:hint="eastAsia" w:ascii="仿宋_GB2312" w:hAnsi="仿宋_GB2312" w:eastAsia="仿宋_GB2312" w:cs="仿宋_GB2312"/>
          <w:color w:val="auto"/>
          <w:sz w:val="32"/>
          <w:szCs w:val="32"/>
        </w:rPr>
        <w:t>会在评标时，按照以下量化的评审因素，对进入该阶段评审的各投标文件进行分析和比较：</w:t>
      </w:r>
    </w:p>
    <w:p>
      <w:pPr>
        <w:pStyle w:val="2"/>
        <w:rPr>
          <w:rFonts w:hint="eastAsia"/>
          <w:lang w:eastAsia="zh-CN"/>
        </w:rPr>
      </w:pP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792"/>
        <w:gridCol w:w="1537"/>
        <w:gridCol w:w="692"/>
        <w:gridCol w:w="739"/>
        <w:gridCol w:w="4116"/>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437"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rPr>
            </w:pPr>
          </w:p>
        </w:tc>
        <w:tc>
          <w:tcPr>
            <w:tcW w:w="1638"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评分项</w:t>
            </w:r>
          </w:p>
        </w:tc>
        <w:tc>
          <w:tcPr>
            <w:tcW w:w="22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权重</w:t>
            </w:r>
          </w:p>
        </w:tc>
        <w:tc>
          <w:tcPr>
            <w:tcW w:w="289"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一</w:t>
            </w:r>
          </w:p>
        </w:tc>
        <w:tc>
          <w:tcPr>
            <w:tcW w:w="437"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rPr>
            </w:pPr>
          </w:p>
        </w:tc>
        <w:tc>
          <w:tcPr>
            <w:tcW w:w="1638"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价格评分部分</w:t>
            </w:r>
          </w:p>
        </w:tc>
        <w:tc>
          <w:tcPr>
            <w:tcW w:w="22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cs="宋体"/>
                <w:b/>
                <w:color w:val="auto"/>
                <w:sz w:val="21"/>
                <w:szCs w:val="21"/>
                <w:lang w:val="en-US" w:eastAsia="zh-CN"/>
              </w:rPr>
              <w:t>0</w:t>
            </w:r>
            <w:r>
              <w:rPr>
                <w:rFonts w:hint="eastAsia" w:ascii="宋体" w:hAnsi="宋体" w:eastAsia="宋体" w:cs="宋体"/>
                <w:b/>
                <w:color w:val="auto"/>
                <w:sz w:val="21"/>
                <w:szCs w:val="21"/>
              </w:rPr>
              <w:t>分</w:t>
            </w:r>
          </w:p>
        </w:tc>
        <w:tc>
          <w:tcPr>
            <w:tcW w:w="289"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二</w:t>
            </w:r>
          </w:p>
        </w:tc>
        <w:tc>
          <w:tcPr>
            <w:tcW w:w="437"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rPr>
            </w:pPr>
          </w:p>
        </w:tc>
        <w:tc>
          <w:tcPr>
            <w:tcW w:w="1638"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技术</w:t>
            </w:r>
            <w:r>
              <w:rPr>
                <w:rFonts w:hint="eastAsia" w:ascii="宋体" w:hAnsi="宋体" w:eastAsia="宋体" w:cs="宋体"/>
                <w:b/>
                <w:color w:val="auto"/>
                <w:sz w:val="21"/>
                <w:szCs w:val="21"/>
              </w:rPr>
              <w:t>部分</w:t>
            </w:r>
          </w:p>
        </w:tc>
        <w:tc>
          <w:tcPr>
            <w:tcW w:w="22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rPr>
            </w:pPr>
            <w:r>
              <w:rPr>
                <w:rFonts w:hint="eastAsia" w:ascii="宋体" w:hAnsi="宋体" w:cs="宋体"/>
                <w:b/>
                <w:color w:val="auto"/>
                <w:sz w:val="21"/>
                <w:szCs w:val="21"/>
                <w:lang w:val="en-US" w:eastAsia="zh-CN"/>
              </w:rPr>
              <w:t>45</w:t>
            </w:r>
            <w:r>
              <w:rPr>
                <w:rFonts w:hint="eastAsia" w:ascii="宋体" w:hAnsi="宋体" w:eastAsia="宋体" w:cs="宋体"/>
                <w:b/>
                <w:color w:val="auto"/>
                <w:sz w:val="21"/>
                <w:szCs w:val="21"/>
              </w:rPr>
              <w:t>分</w:t>
            </w:r>
          </w:p>
        </w:tc>
        <w:tc>
          <w:tcPr>
            <w:tcW w:w="289"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三</w:t>
            </w:r>
          </w:p>
        </w:tc>
        <w:tc>
          <w:tcPr>
            <w:tcW w:w="437"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rPr>
            </w:pPr>
          </w:p>
        </w:tc>
        <w:tc>
          <w:tcPr>
            <w:tcW w:w="1638"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商务</w:t>
            </w:r>
            <w:r>
              <w:rPr>
                <w:rFonts w:hint="eastAsia" w:ascii="宋体" w:hAnsi="宋体" w:eastAsia="宋体" w:cs="宋体"/>
                <w:b/>
                <w:color w:val="auto"/>
                <w:sz w:val="21"/>
                <w:szCs w:val="21"/>
              </w:rPr>
              <w:t>部分</w:t>
            </w:r>
          </w:p>
        </w:tc>
        <w:tc>
          <w:tcPr>
            <w:tcW w:w="22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rPr>
            </w:pPr>
            <w:r>
              <w:rPr>
                <w:rFonts w:hint="eastAsia" w:ascii="宋体" w:hAnsi="宋体" w:cs="宋体"/>
                <w:b/>
                <w:color w:val="auto"/>
                <w:sz w:val="21"/>
                <w:szCs w:val="21"/>
                <w:lang w:val="en-US" w:eastAsia="zh-CN"/>
              </w:rPr>
              <w:t>35</w:t>
            </w:r>
            <w:r>
              <w:rPr>
                <w:rFonts w:hint="eastAsia" w:ascii="宋体" w:hAnsi="宋体" w:eastAsia="宋体" w:cs="宋体"/>
                <w:b/>
                <w:color w:val="auto"/>
                <w:sz w:val="21"/>
                <w:szCs w:val="21"/>
              </w:rPr>
              <w:t>分</w:t>
            </w:r>
          </w:p>
        </w:tc>
        <w:tc>
          <w:tcPr>
            <w:tcW w:w="289"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2"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rPr>
            </w:pPr>
          </w:p>
        </w:tc>
        <w:tc>
          <w:tcPr>
            <w:tcW w:w="2075"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合计</w:t>
            </w:r>
          </w:p>
        </w:tc>
        <w:tc>
          <w:tcPr>
            <w:tcW w:w="22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100分</w:t>
            </w:r>
          </w:p>
        </w:tc>
        <w:tc>
          <w:tcPr>
            <w:tcW w:w="289"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项目</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8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评分因素</w:t>
            </w:r>
          </w:p>
        </w:tc>
        <w:tc>
          <w:tcPr>
            <w:tcW w:w="3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权重</w:t>
            </w:r>
          </w:p>
        </w:tc>
        <w:tc>
          <w:tcPr>
            <w:tcW w:w="4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评分</w:t>
            </w:r>
          </w:p>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方式</w:t>
            </w:r>
          </w:p>
        </w:tc>
        <w:tc>
          <w:tcPr>
            <w:tcW w:w="22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left"/>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评分准则</w:t>
            </w:r>
          </w:p>
        </w:tc>
        <w:tc>
          <w:tcPr>
            <w:tcW w:w="289"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362" w:type="pct"/>
            <w:tcBorders>
              <w:left w:val="single" w:color="auto" w:sz="4" w:space="0"/>
              <w:right w:val="single" w:color="auto" w:sz="4" w:space="0"/>
            </w:tcBorders>
            <w:shd w:val="clear" w:color="auto" w:fill="B6DDE8"/>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一</w:t>
            </w:r>
          </w:p>
        </w:tc>
        <w:tc>
          <w:tcPr>
            <w:tcW w:w="2075" w:type="pct"/>
            <w:gridSpan w:val="4"/>
            <w:tcBorders>
              <w:left w:val="single" w:color="auto" w:sz="4" w:space="0"/>
              <w:right w:val="single" w:color="auto" w:sz="4" w:space="0"/>
            </w:tcBorders>
            <w:shd w:val="clear" w:color="auto" w:fill="B6DDE8"/>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价格评分部分</w:t>
            </w:r>
          </w:p>
        </w:tc>
        <w:tc>
          <w:tcPr>
            <w:tcW w:w="2271" w:type="pct"/>
            <w:tcBorders>
              <w:top w:val="single" w:color="auto" w:sz="4" w:space="0"/>
              <w:left w:val="single" w:color="auto" w:sz="4" w:space="0"/>
              <w:bottom w:val="single" w:color="auto" w:sz="4" w:space="0"/>
              <w:right w:val="single" w:color="auto" w:sz="4" w:space="0"/>
            </w:tcBorders>
            <w:shd w:val="clear" w:color="auto" w:fill="B6DDE8"/>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w:t>
            </w:r>
            <w:r>
              <w:rPr>
                <w:rFonts w:hint="eastAsia" w:ascii="宋体" w:hAnsi="宋体" w:cs="宋体"/>
                <w:b/>
                <w:bCs w:val="0"/>
                <w:color w:val="auto"/>
                <w:sz w:val="21"/>
                <w:szCs w:val="21"/>
                <w:highlight w:val="none"/>
                <w:lang w:val="en-US" w:eastAsia="zh-CN"/>
              </w:rPr>
              <w:t>0</w:t>
            </w:r>
            <w:r>
              <w:rPr>
                <w:rFonts w:hint="eastAsia" w:ascii="宋体" w:hAnsi="宋体" w:eastAsia="宋体" w:cs="宋体"/>
                <w:b/>
                <w:bCs w:val="0"/>
                <w:color w:val="auto"/>
                <w:sz w:val="21"/>
                <w:szCs w:val="21"/>
                <w:highlight w:val="none"/>
              </w:rPr>
              <w:t>分</w:t>
            </w:r>
          </w:p>
        </w:tc>
        <w:tc>
          <w:tcPr>
            <w:tcW w:w="289" w:type="pct"/>
            <w:tcBorders>
              <w:top w:val="single" w:color="auto" w:sz="4" w:space="0"/>
              <w:left w:val="single" w:color="auto" w:sz="4" w:space="0"/>
              <w:bottom w:val="single" w:color="auto" w:sz="4" w:space="0"/>
              <w:right w:val="single" w:color="auto" w:sz="4" w:space="0"/>
            </w:tcBorders>
            <w:shd w:val="clear" w:color="auto" w:fill="B6DDE8"/>
            <w:vAlign w:val="top"/>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362" w:type="pct"/>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1"/>
                <w:szCs w:val="21"/>
              </w:rPr>
            </w:pPr>
          </w:p>
        </w:tc>
        <w:tc>
          <w:tcPr>
            <w:tcW w:w="437" w:type="pct"/>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1"/>
                <w:szCs w:val="21"/>
              </w:rPr>
            </w:pPr>
            <w:r>
              <w:rPr>
                <w:rStyle w:val="38"/>
                <w:rFonts w:hint="eastAsia" w:asciiTheme="minorEastAsia" w:hAnsiTheme="minorEastAsia" w:eastAsiaTheme="minorEastAsia" w:cstheme="minorEastAsia"/>
                <w:b w:val="0"/>
                <w:bCs/>
                <w:i w:val="0"/>
                <w:caps w:val="0"/>
                <w:color w:val="auto"/>
                <w:spacing w:val="0"/>
                <w:w w:val="100"/>
                <w:kern w:val="2"/>
                <w:sz w:val="21"/>
                <w:szCs w:val="21"/>
                <w:lang w:val="en-US" w:eastAsia="zh-CN" w:bidi="ar-SA"/>
              </w:rPr>
              <w:t>价格高低</w:t>
            </w:r>
          </w:p>
        </w:tc>
        <w:tc>
          <w:tcPr>
            <w:tcW w:w="3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0</w:t>
            </w:r>
          </w:p>
        </w:tc>
        <w:tc>
          <w:tcPr>
            <w:tcW w:w="4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eastAsia="zh-CN"/>
              </w:rPr>
              <w:t>采购小组</w:t>
            </w:r>
            <w:r>
              <w:rPr>
                <w:rFonts w:hint="eastAsia" w:ascii="宋体" w:hAnsi="宋体" w:eastAsia="宋体" w:cs="宋体"/>
                <w:color w:val="auto"/>
                <w:sz w:val="21"/>
                <w:szCs w:val="21"/>
              </w:rPr>
              <w:t>打分</w:t>
            </w:r>
          </w:p>
        </w:tc>
        <w:tc>
          <w:tcPr>
            <w:tcW w:w="2271" w:type="pct"/>
            <w:tcBorders>
              <w:top w:val="single" w:color="auto" w:sz="4" w:space="0"/>
              <w:left w:val="single" w:color="auto" w:sz="4" w:space="0"/>
              <w:bottom w:val="single" w:color="auto" w:sz="4" w:space="0"/>
              <w:right w:val="single" w:color="auto" w:sz="4" w:space="0"/>
            </w:tcBorders>
            <w:vAlign w:val="center"/>
          </w:tcPr>
          <w:p>
            <w:pPr>
              <w:pStyle w:val="18"/>
              <w:ind w:left="0" w:leftChars="0" w:firstLine="0" w:firstLineChars="0"/>
              <w:rPr>
                <w:rStyle w:val="38"/>
                <w:rFonts w:hint="eastAsia" w:asciiTheme="minorEastAsia" w:hAnsiTheme="minorEastAsia" w:eastAsiaTheme="minorEastAsia" w:cstheme="minorEastAsia"/>
                <w:b w:val="0"/>
                <w:i w:val="0"/>
                <w:caps w:val="0"/>
                <w:color w:val="auto"/>
                <w:spacing w:val="0"/>
                <w:w w:val="100"/>
                <w:kern w:val="2"/>
                <w:sz w:val="21"/>
                <w:szCs w:val="21"/>
                <w:lang w:val="en-US" w:eastAsia="zh-CN" w:bidi="ar-SA"/>
              </w:rPr>
            </w:pPr>
            <w:r>
              <w:rPr>
                <w:rStyle w:val="38"/>
                <w:rFonts w:hint="eastAsia" w:asciiTheme="minorEastAsia" w:hAnsiTheme="minorEastAsia" w:eastAsiaTheme="minorEastAsia" w:cstheme="minorEastAsia"/>
                <w:b w:val="0"/>
                <w:i w:val="0"/>
                <w:caps w:val="0"/>
                <w:color w:val="auto"/>
                <w:spacing w:val="0"/>
                <w:w w:val="100"/>
                <w:kern w:val="2"/>
                <w:sz w:val="21"/>
                <w:szCs w:val="21"/>
                <w:lang w:val="en-US" w:eastAsia="zh-CN" w:bidi="ar-SA"/>
              </w:rPr>
              <w:t>满足采购需求中供应商资格要求，且投标价格最低的投标报价为评标基准价，其价格分为满分；</w:t>
            </w:r>
          </w:p>
          <w:p>
            <w:pPr>
              <w:pStyle w:val="18"/>
              <w:ind w:left="0" w:leftChars="0" w:firstLine="0" w:firstLineChars="0"/>
              <w:rPr>
                <w:rStyle w:val="38"/>
                <w:rFonts w:hint="eastAsia" w:asciiTheme="minorEastAsia" w:hAnsiTheme="minorEastAsia" w:eastAsiaTheme="minorEastAsia" w:cstheme="minorEastAsia"/>
                <w:b w:val="0"/>
                <w:i w:val="0"/>
                <w:caps w:val="0"/>
                <w:color w:val="auto"/>
                <w:spacing w:val="0"/>
                <w:w w:val="100"/>
                <w:kern w:val="2"/>
                <w:sz w:val="21"/>
                <w:szCs w:val="21"/>
                <w:lang w:val="en-US" w:eastAsia="zh-CN" w:bidi="ar-SA"/>
              </w:rPr>
            </w:pPr>
            <w:r>
              <w:rPr>
                <w:rStyle w:val="38"/>
                <w:rFonts w:hint="eastAsia" w:asciiTheme="minorEastAsia" w:hAnsiTheme="minorEastAsia" w:eastAsiaTheme="minorEastAsia" w:cstheme="minorEastAsia"/>
                <w:b w:val="0"/>
                <w:i w:val="0"/>
                <w:caps w:val="0"/>
                <w:color w:val="auto"/>
                <w:spacing w:val="0"/>
                <w:w w:val="100"/>
                <w:kern w:val="2"/>
                <w:sz w:val="21"/>
                <w:szCs w:val="21"/>
                <w:lang w:val="en-US" w:eastAsia="zh-CN" w:bidi="ar-SA"/>
              </w:rPr>
              <w:t>其它投标单位的价格分统一按照下列公式计算：</w:t>
            </w:r>
          </w:p>
          <w:p>
            <w:pPr>
              <w:pStyle w:val="18"/>
              <w:ind w:left="0" w:leftChars="0" w:firstLine="0" w:firstLineChars="0"/>
              <w:rPr>
                <w:rFonts w:hint="eastAsia"/>
                <w:color w:val="auto"/>
              </w:rPr>
            </w:pPr>
            <w:r>
              <w:rPr>
                <w:rStyle w:val="38"/>
                <w:rFonts w:hint="eastAsia" w:asciiTheme="minorEastAsia" w:hAnsiTheme="minorEastAsia" w:eastAsiaTheme="minorEastAsia" w:cstheme="minorEastAsia"/>
                <w:b w:val="0"/>
                <w:i w:val="0"/>
                <w:caps w:val="0"/>
                <w:color w:val="auto"/>
                <w:spacing w:val="0"/>
                <w:w w:val="100"/>
                <w:kern w:val="2"/>
                <w:sz w:val="21"/>
                <w:szCs w:val="21"/>
                <w:lang w:val="en-US" w:eastAsia="zh-CN" w:bidi="ar-SA"/>
              </w:rPr>
              <w:t>投标报价得分=（评标基准价/投标报价）×价格权值×100。</w:t>
            </w:r>
          </w:p>
        </w:tc>
        <w:tc>
          <w:tcPr>
            <w:tcW w:w="289"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62" w:type="pct"/>
            <w:tcBorders>
              <w:left w:val="single" w:color="auto" w:sz="4" w:space="0"/>
              <w:right w:val="single" w:color="auto" w:sz="4" w:space="0"/>
            </w:tcBorders>
            <w:shd w:val="clear" w:color="auto" w:fill="B6DDE8"/>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shd w:val="pct10" w:color="auto" w:fill="FFFFFF"/>
                <w:lang w:eastAsia="zh-CN"/>
              </w:rPr>
            </w:pPr>
            <w:r>
              <w:rPr>
                <w:rFonts w:hint="eastAsia" w:ascii="宋体" w:hAnsi="宋体" w:cs="宋体"/>
                <w:b/>
                <w:color w:val="auto"/>
                <w:sz w:val="21"/>
                <w:szCs w:val="21"/>
                <w:shd w:val="clear" w:color="auto" w:fill="auto"/>
                <w:lang w:val="en-US" w:eastAsia="zh-CN"/>
              </w:rPr>
              <w:t>二</w:t>
            </w:r>
          </w:p>
        </w:tc>
        <w:tc>
          <w:tcPr>
            <w:tcW w:w="2075" w:type="pct"/>
            <w:gridSpan w:val="4"/>
            <w:tcBorders>
              <w:left w:val="single" w:color="auto" w:sz="4" w:space="0"/>
              <w:right w:val="single" w:color="auto" w:sz="4" w:space="0"/>
            </w:tcBorders>
            <w:shd w:val="clear" w:color="auto" w:fill="B6DDE8"/>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技术</w:t>
            </w:r>
            <w:r>
              <w:rPr>
                <w:rFonts w:hint="eastAsia" w:ascii="宋体" w:hAnsi="宋体" w:eastAsia="宋体" w:cs="宋体"/>
                <w:b/>
                <w:color w:val="auto"/>
                <w:sz w:val="21"/>
                <w:szCs w:val="21"/>
              </w:rPr>
              <w:t>部分</w:t>
            </w:r>
          </w:p>
        </w:tc>
        <w:tc>
          <w:tcPr>
            <w:tcW w:w="2271" w:type="pct"/>
            <w:tcBorders>
              <w:top w:val="single" w:color="auto" w:sz="4" w:space="0"/>
              <w:left w:val="single" w:color="auto" w:sz="4" w:space="0"/>
              <w:bottom w:val="single" w:color="auto" w:sz="4" w:space="0"/>
              <w:right w:val="single" w:color="auto" w:sz="4" w:space="0"/>
            </w:tcBorders>
            <w:shd w:val="clear" w:color="auto" w:fill="B6DDE8"/>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kern w:val="0"/>
                <w:sz w:val="21"/>
                <w:szCs w:val="21"/>
              </w:rPr>
            </w:pPr>
            <w:r>
              <w:rPr>
                <w:rFonts w:hint="eastAsia" w:ascii="宋体" w:hAnsi="宋体" w:cs="宋体"/>
                <w:b/>
                <w:color w:val="auto"/>
                <w:kern w:val="0"/>
                <w:sz w:val="21"/>
                <w:szCs w:val="21"/>
                <w:lang w:val="en-US" w:eastAsia="zh-CN"/>
              </w:rPr>
              <w:t>45</w:t>
            </w:r>
            <w:r>
              <w:rPr>
                <w:rFonts w:hint="eastAsia" w:ascii="宋体" w:hAnsi="宋体" w:eastAsia="宋体" w:cs="宋体"/>
                <w:b/>
                <w:color w:val="auto"/>
                <w:kern w:val="0"/>
                <w:sz w:val="21"/>
                <w:szCs w:val="21"/>
              </w:rPr>
              <w:t>分</w:t>
            </w:r>
          </w:p>
        </w:tc>
        <w:tc>
          <w:tcPr>
            <w:tcW w:w="289" w:type="pct"/>
            <w:tcBorders>
              <w:top w:val="single" w:color="auto" w:sz="4" w:space="0"/>
              <w:left w:val="single" w:color="auto" w:sz="4" w:space="0"/>
              <w:bottom w:val="single" w:color="auto" w:sz="4" w:space="0"/>
              <w:right w:val="single" w:color="auto" w:sz="4" w:space="0"/>
            </w:tcBorders>
            <w:shd w:val="clear" w:color="auto" w:fill="B6DDE8"/>
            <w:vAlign w:val="top"/>
          </w:tcPr>
          <w:p>
            <w:pPr>
              <w:keepNext w:val="0"/>
              <w:keepLines w:val="0"/>
              <w:pageBreakBefore w:val="0"/>
              <w:widowControl/>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2" w:type="pct"/>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1"/>
                <w:szCs w:val="21"/>
              </w:rPr>
            </w:pP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项目整体</w:t>
            </w:r>
          </w:p>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规划</w:t>
            </w:r>
            <w:r>
              <w:rPr>
                <w:rFonts w:hint="eastAsia" w:ascii="宋体" w:hAnsi="宋体" w:cs="宋体"/>
                <w:color w:val="auto"/>
                <w:sz w:val="21"/>
                <w:szCs w:val="21"/>
                <w:lang w:eastAsia="zh-CN"/>
              </w:rPr>
              <w:t>方案</w:t>
            </w:r>
          </w:p>
        </w:tc>
        <w:tc>
          <w:tcPr>
            <w:tcW w:w="3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20</w:t>
            </w:r>
          </w:p>
        </w:tc>
        <w:tc>
          <w:tcPr>
            <w:tcW w:w="4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采购小组</w:t>
            </w:r>
            <w:r>
              <w:rPr>
                <w:rFonts w:hint="eastAsia" w:ascii="宋体" w:hAnsi="宋体" w:eastAsia="宋体" w:cs="宋体"/>
                <w:color w:val="auto"/>
                <w:sz w:val="21"/>
                <w:szCs w:val="21"/>
              </w:rPr>
              <w:t>打分</w:t>
            </w:r>
          </w:p>
        </w:tc>
        <w:tc>
          <w:tcPr>
            <w:tcW w:w="2271" w:type="pct"/>
            <w:tcBorders>
              <w:top w:val="single" w:color="auto" w:sz="4" w:space="0"/>
              <w:left w:val="single" w:color="auto" w:sz="4" w:space="0"/>
              <w:bottom w:val="single" w:color="auto" w:sz="4" w:space="0"/>
              <w:right w:val="single" w:color="auto" w:sz="4" w:space="0"/>
            </w:tcBorders>
            <w:vAlign w:val="center"/>
          </w:tcPr>
          <w:p>
            <w:pPr>
              <w:rPr>
                <w:rStyle w:val="38"/>
                <w:rFonts w:hint="eastAsia" w:asciiTheme="minorEastAsia" w:hAnsiTheme="minorEastAsia" w:eastAsiaTheme="minorEastAsia" w:cstheme="minorEastAsia"/>
                <w:b w:val="0"/>
                <w:i w:val="0"/>
                <w:caps w:val="0"/>
                <w:color w:val="auto"/>
                <w:spacing w:val="0"/>
                <w:w w:val="100"/>
                <w:szCs w:val="21"/>
              </w:rPr>
            </w:pPr>
            <w:r>
              <w:rPr>
                <w:rStyle w:val="38"/>
                <w:rFonts w:hint="eastAsia" w:asciiTheme="minorEastAsia" w:hAnsiTheme="minorEastAsia" w:eastAsiaTheme="minorEastAsia" w:cstheme="minorEastAsia"/>
                <w:b/>
                <w:bCs/>
                <w:i w:val="0"/>
                <w:caps w:val="0"/>
                <w:color w:val="auto"/>
                <w:spacing w:val="0"/>
                <w:w w:val="100"/>
                <w:szCs w:val="21"/>
              </w:rPr>
              <w:t>评审内容:</w:t>
            </w:r>
            <w:r>
              <w:rPr>
                <w:rStyle w:val="38"/>
                <w:rFonts w:hint="eastAsia" w:asciiTheme="minorEastAsia" w:hAnsiTheme="minorEastAsia" w:eastAsiaTheme="minorEastAsia" w:cstheme="minorEastAsia"/>
                <w:b w:val="0"/>
                <w:i w:val="0"/>
                <w:caps w:val="0"/>
                <w:color w:val="auto"/>
                <w:spacing w:val="0"/>
                <w:w w:val="100"/>
                <w:szCs w:val="21"/>
                <w:lang w:eastAsia="zh-CN"/>
              </w:rPr>
              <w:t>是否</w:t>
            </w:r>
            <w:r>
              <w:rPr>
                <w:rStyle w:val="38"/>
                <w:rFonts w:hint="eastAsia" w:asciiTheme="minorEastAsia" w:hAnsiTheme="minorEastAsia" w:eastAsiaTheme="minorEastAsia" w:cstheme="minorEastAsia"/>
                <w:b w:val="0"/>
                <w:i w:val="0"/>
                <w:caps w:val="0"/>
                <w:color w:val="auto"/>
                <w:spacing w:val="0"/>
                <w:w w:val="100"/>
                <w:szCs w:val="21"/>
              </w:rPr>
              <w:t>具有服务方案，包括</w:t>
            </w:r>
            <w:r>
              <w:rPr>
                <w:rStyle w:val="38"/>
                <w:rFonts w:hint="eastAsia" w:asciiTheme="minorEastAsia" w:hAnsiTheme="minorEastAsia" w:eastAsiaTheme="minorEastAsia" w:cstheme="minorEastAsia"/>
                <w:b w:val="0"/>
                <w:i w:val="0"/>
                <w:caps w:val="0"/>
                <w:color w:val="auto"/>
                <w:spacing w:val="0"/>
                <w:w w:val="100"/>
                <w:szCs w:val="21"/>
                <w:lang w:eastAsia="zh-CN"/>
              </w:rPr>
              <w:t>项目定位</w:t>
            </w:r>
            <w:r>
              <w:rPr>
                <w:rStyle w:val="38"/>
                <w:rFonts w:hint="eastAsia" w:asciiTheme="minorEastAsia" w:hAnsiTheme="minorEastAsia" w:eastAsiaTheme="minorEastAsia" w:cstheme="minorEastAsia"/>
                <w:b w:val="0"/>
                <w:i w:val="0"/>
                <w:caps w:val="0"/>
                <w:color w:val="auto"/>
                <w:spacing w:val="0"/>
                <w:w w:val="100"/>
                <w:szCs w:val="21"/>
              </w:rPr>
              <w:t>、项目规划、项目核心及服务方式</w:t>
            </w:r>
            <w:r>
              <w:rPr>
                <w:rStyle w:val="38"/>
                <w:rFonts w:hint="eastAsia" w:asciiTheme="minorEastAsia" w:hAnsiTheme="minorEastAsia" w:eastAsiaTheme="minorEastAsia" w:cstheme="minorEastAsia"/>
                <w:b w:val="0"/>
                <w:i w:val="0"/>
                <w:caps w:val="0"/>
                <w:color w:val="auto"/>
                <w:spacing w:val="0"/>
                <w:w w:val="100"/>
                <w:szCs w:val="21"/>
                <w:lang w:val="en-US" w:eastAsia="zh-CN"/>
              </w:rPr>
              <w:t>、项目</w:t>
            </w:r>
            <w:r>
              <w:rPr>
                <w:rStyle w:val="38"/>
                <w:rFonts w:hint="eastAsia" w:asciiTheme="minorEastAsia" w:hAnsiTheme="minorEastAsia" w:eastAsiaTheme="minorEastAsia" w:cstheme="minorEastAsia"/>
                <w:b w:val="0"/>
                <w:i w:val="0"/>
                <w:caps w:val="0"/>
                <w:color w:val="auto"/>
                <w:spacing w:val="0"/>
                <w:w w:val="100"/>
                <w:szCs w:val="21"/>
              </w:rPr>
              <w:t>具体服务内容。</w:t>
            </w:r>
          </w:p>
          <w:p>
            <w:pPr>
              <w:rPr>
                <w:rStyle w:val="38"/>
                <w:rFonts w:hint="eastAsia" w:asciiTheme="minorEastAsia" w:hAnsiTheme="minorEastAsia" w:eastAsiaTheme="minorEastAsia" w:cstheme="minorEastAsia"/>
                <w:b/>
                <w:bCs/>
                <w:i w:val="0"/>
                <w:caps w:val="0"/>
                <w:color w:val="auto"/>
                <w:spacing w:val="0"/>
                <w:w w:val="100"/>
                <w:szCs w:val="21"/>
              </w:rPr>
            </w:pPr>
            <w:r>
              <w:rPr>
                <w:rStyle w:val="38"/>
                <w:rFonts w:hint="eastAsia" w:asciiTheme="minorEastAsia" w:hAnsiTheme="minorEastAsia" w:eastAsiaTheme="minorEastAsia" w:cstheme="minorEastAsia"/>
                <w:b/>
                <w:bCs/>
                <w:i w:val="0"/>
                <w:caps w:val="0"/>
                <w:color w:val="auto"/>
                <w:spacing w:val="0"/>
                <w:w w:val="100"/>
                <w:szCs w:val="21"/>
              </w:rPr>
              <w:t xml:space="preserve">评审标准： </w:t>
            </w:r>
          </w:p>
          <w:p>
            <w:pPr>
              <w:rPr>
                <w:rStyle w:val="38"/>
                <w:rFonts w:hint="eastAsia" w:asciiTheme="minorEastAsia" w:hAnsiTheme="minorEastAsia" w:eastAsiaTheme="minorEastAsia" w:cstheme="minorEastAsia"/>
                <w:b w:val="0"/>
                <w:i w:val="0"/>
                <w:caps w:val="0"/>
                <w:color w:val="auto"/>
                <w:spacing w:val="0"/>
                <w:w w:val="100"/>
                <w:szCs w:val="21"/>
              </w:rPr>
            </w:pPr>
            <w:r>
              <w:rPr>
                <w:rStyle w:val="38"/>
                <w:rFonts w:hint="eastAsia" w:asciiTheme="minorEastAsia" w:hAnsiTheme="minorEastAsia" w:eastAsiaTheme="minorEastAsia" w:cstheme="minorEastAsia"/>
                <w:b w:val="0"/>
                <w:i w:val="0"/>
                <w:caps w:val="0"/>
                <w:color w:val="auto"/>
                <w:spacing w:val="0"/>
                <w:w w:val="100"/>
                <w:szCs w:val="21"/>
                <w:lang w:eastAsia="zh-CN"/>
              </w:rPr>
              <w:t>（</w:t>
            </w:r>
            <w:r>
              <w:rPr>
                <w:rStyle w:val="38"/>
                <w:rFonts w:hint="eastAsia" w:asciiTheme="minorEastAsia" w:hAnsiTheme="minorEastAsia" w:eastAsiaTheme="minorEastAsia" w:cstheme="minorEastAsia"/>
                <w:b w:val="0"/>
                <w:i w:val="0"/>
                <w:caps w:val="0"/>
                <w:color w:val="auto"/>
                <w:spacing w:val="0"/>
                <w:w w:val="100"/>
                <w:szCs w:val="21"/>
                <w:lang w:val="en-US" w:eastAsia="zh-CN"/>
              </w:rPr>
              <w:t>1）</w:t>
            </w:r>
            <w:r>
              <w:rPr>
                <w:rStyle w:val="38"/>
                <w:rFonts w:hint="eastAsia" w:asciiTheme="minorEastAsia" w:hAnsiTheme="minorEastAsia" w:eastAsiaTheme="minorEastAsia" w:cstheme="minorEastAsia"/>
                <w:b w:val="0"/>
                <w:i w:val="0"/>
                <w:caps w:val="0"/>
                <w:color w:val="auto"/>
                <w:spacing w:val="0"/>
                <w:w w:val="100"/>
                <w:szCs w:val="21"/>
              </w:rPr>
              <w:t>服务方案包含上述内容（</w:t>
            </w:r>
            <w:r>
              <w:rPr>
                <w:rStyle w:val="38"/>
                <w:rFonts w:hint="eastAsia" w:asciiTheme="minorEastAsia" w:hAnsiTheme="minorEastAsia" w:eastAsiaTheme="minorEastAsia" w:cstheme="minorEastAsia"/>
                <w:b w:val="0"/>
                <w:i w:val="0"/>
                <w:caps w:val="0"/>
                <w:color w:val="auto"/>
                <w:spacing w:val="0"/>
                <w:w w:val="100"/>
                <w:szCs w:val="21"/>
                <w:lang w:eastAsia="zh-CN"/>
              </w:rPr>
              <w:t>项目定位</w:t>
            </w:r>
            <w:r>
              <w:rPr>
                <w:rStyle w:val="38"/>
                <w:rFonts w:hint="eastAsia" w:asciiTheme="minorEastAsia" w:hAnsiTheme="minorEastAsia" w:eastAsiaTheme="minorEastAsia" w:cstheme="minorEastAsia"/>
                <w:b w:val="0"/>
                <w:i w:val="0"/>
                <w:caps w:val="0"/>
                <w:color w:val="auto"/>
                <w:spacing w:val="0"/>
                <w:w w:val="100"/>
                <w:szCs w:val="21"/>
              </w:rPr>
              <w:t>、项目规划、项目实施工作</w:t>
            </w:r>
            <w:r>
              <w:rPr>
                <w:rStyle w:val="38"/>
                <w:rFonts w:hint="eastAsia" w:asciiTheme="minorEastAsia" w:hAnsiTheme="minorEastAsia" w:eastAsiaTheme="minorEastAsia" w:cstheme="minorEastAsia"/>
                <w:b w:val="0"/>
                <w:i w:val="0"/>
                <w:caps w:val="0"/>
                <w:color w:val="auto"/>
                <w:spacing w:val="0"/>
                <w:w w:val="100"/>
                <w:szCs w:val="21"/>
                <w:lang w:val="en-US" w:eastAsia="zh-CN"/>
              </w:rPr>
              <w:t>、项目</w:t>
            </w:r>
            <w:r>
              <w:rPr>
                <w:rStyle w:val="38"/>
                <w:rFonts w:hint="eastAsia" w:asciiTheme="minorEastAsia" w:hAnsiTheme="minorEastAsia" w:eastAsiaTheme="minorEastAsia" w:cstheme="minorEastAsia"/>
                <w:b w:val="0"/>
                <w:i w:val="0"/>
                <w:caps w:val="0"/>
                <w:color w:val="auto"/>
                <w:spacing w:val="0"/>
                <w:w w:val="100"/>
                <w:szCs w:val="21"/>
              </w:rPr>
              <w:t>服务一览表）得</w:t>
            </w:r>
            <w:r>
              <w:rPr>
                <w:rStyle w:val="38"/>
                <w:rFonts w:hint="eastAsia" w:asciiTheme="minorEastAsia" w:hAnsiTheme="minorEastAsia" w:eastAsiaTheme="minorEastAsia" w:cstheme="minorEastAsia"/>
                <w:b w:val="0"/>
                <w:i w:val="0"/>
                <w:caps w:val="0"/>
                <w:color w:val="auto"/>
                <w:spacing w:val="0"/>
                <w:w w:val="100"/>
                <w:szCs w:val="21"/>
                <w:lang w:val="en-US" w:eastAsia="zh-CN"/>
              </w:rPr>
              <w:t>15</w:t>
            </w:r>
            <w:r>
              <w:rPr>
                <w:rStyle w:val="38"/>
                <w:rFonts w:hint="eastAsia" w:asciiTheme="minorEastAsia" w:hAnsiTheme="minorEastAsia" w:eastAsiaTheme="minorEastAsia" w:cstheme="minorEastAsia"/>
                <w:b w:val="0"/>
                <w:i w:val="0"/>
                <w:caps w:val="0"/>
                <w:color w:val="auto"/>
                <w:spacing w:val="0"/>
                <w:w w:val="100"/>
                <w:szCs w:val="21"/>
              </w:rPr>
              <w:t>分，满足任意三点得</w:t>
            </w:r>
            <w:r>
              <w:rPr>
                <w:rStyle w:val="38"/>
                <w:rFonts w:hint="eastAsia" w:asciiTheme="minorEastAsia" w:hAnsiTheme="minorEastAsia" w:eastAsiaTheme="minorEastAsia" w:cstheme="minorEastAsia"/>
                <w:b w:val="0"/>
                <w:i w:val="0"/>
                <w:caps w:val="0"/>
                <w:color w:val="auto"/>
                <w:spacing w:val="0"/>
                <w:w w:val="100"/>
                <w:szCs w:val="21"/>
                <w:lang w:val="en-US" w:eastAsia="zh-CN"/>
              </w:rPr>
              <w:t>12</w:t>
            </w:r>
            <w:r>
              <w:rPr>
                <w:rStyle w:val="38"/>
                <w:rFonts w:hint="eastAsia" w:asciiTheme="minorEastAsia" w:hAnsiTheme="minorEastAsia" w:eastAsiaTheme="minorEastAsia" w:cstheme="minorEastAsia"/>
                <w:b w:val="0"/>
                <w:i w:val="0"/>
                <w:caps w:val="0"/>
                <w:color w:val="auto"/>
                <w:spacing w:val="0"/>
                <w:w w:val="100"/>
                <w:szCs w:val="21"/>
              </w:rPr>
              <w:t>分，满足任意两点得</w:t>
            </w:r>
            <w:r>
              <w:rPr>
                <w:rStyle w:val="38"/>
                <w:rFonts w:hint="eastAsia" w:asciiTheme="minorEastAsia" w:hAnsiTheme="minorEastAsia" w:eastAsiaTheme="minorEastAsia" w:cstheme="minorEastAsia"/>
                <w:b w:val="0"/>
                <w:i w:val="0"/>
                <w:caps w:val="0"/>
                <w:color w:val="auto"/>
                <w:spacing w:val="0"/>
                <w:w w:val="100"/>
                <w:szCs w:val="21"/>
                <w:lang w:val="en-US" w:eastAsia="zh-CN"/>
              </w:rPr>
              <w:t>9</w:t>
            </w:r>
            <w:r>
              <w:rPr>
                <w:rStyle w:val="38"/>
                <w:rFonts w:hint="eastAsia" w:asciiTheme="minorEastAsia" w:hAnsiTheme="minorEastAsia" w:eastAsiaTheme="minorEastAsia" w:cstheme="minorEastAsia"/>
                <w:b w:val="0"/>
                <w:i w:val="0"/>
                <w:caps w:val="0"/>
                <w:color w:val="auto"/>
                <w:spacing w:val="0"/>
                <w:w w:val="100"/>
                <w:szCs w:val="21"/>
              </w:rPr>
              <w:t>分，满足任意一点得</w:t>
            </w:r>
            <w:r>
              <w:rPr>
                <w:rStyle w:val="38"/>
                <w:rFonts w:hint="eastAsia" w:asciiTheme="minorEastAsia" w:hAnsiTheme="minorEastAsia" w:eastAsiaTheme="minorEastAsia" w:cstheme="minorEastAsia"/>
                <w:b w:val="0"/>
                <w:i w:val="0"/>
                <w:caps w:val="0"/>
                <w:color w:val="auto"/>
                <w:spacing w:val="0"/>
                <w:w w:val="100"/>
                <w:szCs w:val="21"/>
                <w:lang w:val="en-US"/>
              </w:rPr>
              <w:t>6分，</w:t>
            </w:r>
            <w:r>
              <w:rPr>
                <w:rStyle w:val="38"/>
                <w:rFonts w:hint="eastAsia" w:asciiTheme="minorEastAsia" w:hAnsiTheme="minorEastAsia" w:eastAsiaTheme="minorEastAsia" w:cstheme="minorEastAsia"/>
                <w:b w:val="0"/>
                <w:i w:val="0"/>
                <w:caps w:val="0"/>
                <w:color w:val="auto"/>
                <w:spacing w:val="0"/>
                <w:w w:val="100"/>
                <w:szCs w:val="21"/>
              </w:rPr>
              <w:t>未满足不得分；</w:t>
            </w:r>
          </w:p>
          <w:p>
            <w:pPr>
              <w:rPr>
                <w:rStyle w:val="38"/>
                <w:rFonts w:hint="eastAsia" w:asciiTheme="minorEastAsia" w:hAnsiTheme="minorEastAsia" w:eastAsiaTheme="minorEastAsia" w:cstheme="minorEastAsia"/>
                <w:b w:val="0"/>
                <w:i w:val="0"/>
                <w:caps w:val="0"/>
                <w:color w:val="auto"/>
                <w:spacing w:val="0"/>
                <w:w w:val="100"/>
                <w:szCs w:val="21"/>
              </w:rPr>
            </w:pPr>
            <w:r>
              <w:rPr>
                <w:rStyle w:val="38"/>
                <w:rFonts w:hint="eastAsia" w:asciiTheme="minorEastAsia" w:hAnsiTheme="minorEastAsia" w:eastAsiaTheme="minorEastAsia" w:cstheme="minorEastAsia"/>
                <w:b w:val="0"/>
                <w:i w:val="0"/>
                <w:caps w:val="0"/>
                <w:color w:val="auto"/>
                <w:spacing w:val="0"/>
                <w:w w:val="100"/>
                <w:szCs w:val="21"/>
                <w:lang w:eastAsia="zh-CN"/>
              </w:rPr>
              <w:t>（</w:t>
            </w:r>
            <w:r>
              <w:rPr>
                <w:rStyle w:val="38"/>
                <w:rFonts w:hint="eastAsia" w:asciiTheme="minorEastAsia" w:hAnsiTheme="minorEastAsia" w:eastAsiaTheme="minorEastAsia" w:cstheme="minorEastAsia"/>
                <w:b w:val="0"/>
                <w:i w:val="0"/>
                <w:caps w:val="0"/>
                <w:color w:val="auto"/>
                <w:spacing w:val="0"/>
                <w:w w:val="100"/>
                <w:szCs w:val="21"/>
                <w:lang w:val="en-US" w:eastAsia="zh-CN"/>
              </w:rPr>
              <w:t>2）</w:t>
            </w:r>
            <w:r>
              <w:rPr>
                <w:rStyle w:val="38"/>
                <w:rFonts w:hint="eastAsia" w:asciiTheme="minorEastAsia" w:hAnsiTheme="minorEastAsia" w:eastAsiaTheme="minorEastAsia" w:cstheme="minorEastAsia"/>
                <w:b w:val="0"/>
                <w:i w:val="0"/>
                <w:caps w:val="0"/>
                <w:color w:val="auto"/>
                <w:spacing w:val="0"/>
                <w:w w:val="100"/>
                <w:szCs w:val="21"/>
              </w:rPr>
              <w:t>在此基础上，</w:t>
            </w:r>
            <w:r>
              <w:rPr>
                <w:rStyle w:val="38"/>
                <w:rFonts w:hint="eastAsia" w:asciiTheme="minorEastAsia" w:hAnsiTheme="minorEastAsia" w:eastAsiaTheme="minorEastAsia" w:cstheme="minorEastAsia"/>
                <w:b w:val="0"/>
                <w:i w:val="0"/>
                <w:caps w:val="0"/>
                <w:color w:val="auto"/>
                <w:spacing w:val="0"/>
                <w:w w:val="100"/>
                <w:szCs w:val="21"/>
                <w:lang w:val="en-US" w:eastAsia="zh-CN"/>
              </w:rPr>
              <w:t>再</w:t>
            </w:r>
            <w:r>
              <w:rPr>
                <w:rStyle w:val="38"/>
                <w:rFonts w:hint="eastAsia" w:asciiTheme="minorEastAsia" w:hAnsiTheme="minorEastAsia" w:eastAsiaTheme="minorEastAsia" w:cstheme="minorEastAsia"/>
                <w:b w:val="0"/>
                <w:i w:val="0"/>
                <w:caps w:val="0"/>
                <w:color w:val="auto"/>
                <w:spacing w:val="0"/>
                <w:w w:val="100"/>
                <w:szCs w:val="21"/>
              </w:rPr>
              <w:t>根据各供应商的具体响应内容进一步评审：</w:t>
            </w:r>
          </w:p>
          <w:p>
            <w:pPr>
              <w:rPr>
                <w:rStyle w:val="38"/>
                <w:rFonts w:hint="eastAsia" w:asciiTheme="minorEastAsia" w:hAnsiTheme="minorEastAsia" w:eastAsiaTheme="minorEastAsia" w:cstheme="minorEastAsia"/>
                <w:b w:val="0"/>
                <w:i w:val="0"/>
                <w:caps w:val="0"/>
                <w:color w:val="auto"/>
                <w:spacing w:val="0"/>
                <w:w w:val="100"/>
                <w:szCs w:val="21"/>
              </w:rPr>
            </w:pPr>
            <w:r>
              <w:rPr>
                <w:rStyle w:val="38"/>
                <w:rFonts w:hint="eastAsia" w:asciiTheme="minorEastAsia" w:hAnsiTheme="minorEastAsia" w:eastAsiaTheme="minorEastAsia" w:cstheme="minorEastAsia"/>
                <w:b w:val="0"/>
                <w:i w:val="0"/>
                <w:caps w:val="0"/>
                <w:color w:val="auto"/>
                <w:spacing w:val="0"/>
                <w:w w:val="100"/>
                <w:szCs w:val="21"/>
                <w:lang w:val="en-US" w:eastAsia="zh-CN"/>
              </w:rPr>
              <w:t>①服务</w:t>
            </w:r>
            <w:r>
              <w:rPr>
                <w:rStyle w:val="38"/>
                <w:rFonts w:hint="eastAsia" w:asciiTheme="minorEastAsia" w:hAnsiTheme="minorEastAsia" w:eastAsiaTheme="minorEastAsia" w:cstheme="minorEastAsia"/>
                <w:b w:val="0"/>
                <w:i w:val="0"/>
                <w:caps w:val="0"/>
                <w:color w:val="auto"/>
                <w:spacing w:val="0"/>
                <w:w w:val="100"/>
                <w:szCs w:val="21"/>
              </w:rPr>
              <w:t>方案周全完整、表述清晰，有具体贴合项目实施计划的时间安排，可操作性强，服务预计成效得</w:t>
            </w:r>
            <w:r>
              <w:rPr>
                <w:rStyle w:val="38"/>
                <w:rFonts w:hint="eastAsia" w:asciiTheme="minorEastAsia" w:hAnsiTheme="minorEastAsia" w:eastAsiaTheme="minorEastAsia" w:cstheme="minorEastAsia"/>
                <w:b w:val="0"/>
                <w:i w:val="0"/>
                <w:caps w:val="0"/>
                <w:color w:val="auto"/>
                <w:spacing w:val="0"/>
                <w:w w:val="100"/>
                <w:szCs w:val="21"/>
                <w:lang w:val="en-US" w:eastAsia="zh-CN"/>
              </w:rPr>
              <w:t>5</w:t>
            </w:r>
            <w:r>
              <w:rPr>
                <w:rStyle w:val="38"/>
                <w:rFonts w:hint="eastAsia" w:asciiTheme="minorEastAsia" w:hAnsiTheme="minorEastAsia" w:eastAsiaTheme="minorEastAsia" w:cstheme="minorEastAsia"/>
                <w:b w:val="0"/>
                <w:i w:val="0"/>
                <w:caps w:val="0"/>
                <w:color w:val="auto"/>
                <w:spacing w:val="0"/>
                <w:w w:val="100"/>
                <w:szCs w:val="21"/>
              </w:rPr>
              <w:t xml:space="preserve">分； </w:t>
            </w:r>
          </w:p>
          <w:p>
            <w:pPr>
              <w:rPr>
                <w:rStyle w:val="38"/>
                <w:rFonts w:hint="eastAsia" w:asciiTheme="minorEastAsia" w:hAnsiTheme="minorEastAsia" w:eastAsiaTheme="minorEastAsia" w:cstheme="minorEastAsia"/>
                <w:b w:val="0"/>
                <w:i w:val="0"/>
                <w:caps w:val="0"/>
                <w:color w:val="auto"/>
                <w:spacing w:val="0"/>
                <w:w w:val="100"/>
                <w:szCs w:val="21"/>
                <w:lang w:eastAsia="zh-CN"/>
              </w:rPr>
            </w:pPr>
            <w:r>
              <w:rPr>
                <w:rStyle w:val="38"/>
                <w:rFonts w:hint="eastAsia" w:asciiTheme="minorEastAsia" w:hAnsiTheme="minorEastAsia" w:eastAsiaTheme="minorEastAsia" w:cstheme="minorEastAsia"/>
                <w:b w:val="0"/>
                <w:i w:val="0"/>
                <w:caps w:val="0"/>
                <w:color w:val="auto"/>
                <w:spacing w:val="0"/>
                <w:w w:val="100"/>
                <w:szCs w:val="21"/>
                <w:lang w:val="en-US" w:eastAsia="zh-CN"/>
              </w:rPr>
              <w:t>②服务</w:t>
            </w:r>
            <w:r>
              <w:rPr>
                <w:rStyle w:val="38"/>
                <w:rFonts w:hint="eastAsia" w:asciiTheme="minorEastAsia" w:hAnsiTheme="minorEastAsia" w:eastAsiaTheme="minorEastAsia" w:cstheme="minorEastAsia"/>
                <w:b w:val="0"/>
                <w:i w:val="0"/>
                <w:caps w:val="0"/>
                <w:color w:val="auto"/>
                <w:spacing w:val="0"/>
                <w:w w:val="100"/>
                <w:szCs w:val="21"/>
              </w:rPr>
              <w:t>方案完整，有具体安排，可操作性较好，得</w:t>
            </w:r>
            <w:r>
              <w:rPr>
                <w:rStyle w:val="38"/>
                <w:rFonts w:hint="eastAsia" w:asciiTheme="minorEastAsia" w:hAnsiTheme="minorEastAsia" w:eastAsiaTheme="minorEastAsia" w:cstheme="minorEastAsia"/>
                <w:b w:val="0"/>
                <w:i w:val="0"/>
                <w:caps w:val="0"/>
                <w:color w:val="auto"/>
                <w:spacing w:val="0"/>
                <w:w w:val="100"/>
                <w:szCs w:val="21"/>
                <w:lang w:val="en-US" w:eastAsia="zh-CN"/>
              </w:rPr>
              <w:t>3</w:t>
            </w:r>
            <w:r>
              <w:rPr>
                <w:rStyle w:val="38"/>
                <w:rFonts w:hint="eastAsia" w:asciiTheme="minorEastAsia" w:hAnsiTheme="minorEastAsia" w:eastAsiaTheme="minorEastAsia" w:cstheme="minorEastAsia"/>
                <w:b w:val="0"/>
                <w:i w:val="0"/>
                <w:caps w:val="0"/>
                <w:color w:val="auto"/>
                <w:spacing w:val="0"/>
                <w:w w:val="100"/>
                <w:szCs w:val="21"/>
              </w:rPr>
              <w:t>分</w:t>
            </w:r>
            <w:r>
              <w:rPr>
                <w:rStyle w:val="38"/>
                <w:rFonts w:hint="eastAsia" w:asciiTheme="minorEastAsia" w:hAnsiTheme="minorEastAsia" w:eastAsiaTheme="minorEastAsia" w:cstheme="minorEastAsia"/>
                <w:b w:val="0"/>
                <w:i w:val="0"/>
                <w:caps w:val="0"/>
                <w:color w:val="auto"/>
                <w:spacing w:val="0"/>
                <w:w w:val="100"/>
                <w:szCs w:val="21"/>
                <w:lang w:eastAsia="zh-CN"/>
              </w:rPr>
              <w:t>；</w:t>
            </w:r>
          </w:p>
          <w:p>
            <w:pPr>
              <w:rPr>
                <w:rStyle w:val="38"/>
                <w:rFonts w:hint="eastAsia" w:asciiTheme="minorEastAsia" w:hAnsiTheme="minorEastAsia" w:eastAsiaTheme="minorEastAsia" w:cstheme="minorEastAsia"/>
                <w:b w:val="0"/>
                <w:i w:val="0"/>
                <w:caps w:val="0"/>
                <w:color w:val="auto"/>
                <w:spacing w:val="0"/>
                <w:w w:val="100"/>
                <w:szCs w:val="21"/>
              </w:rPr>
            </w:pPr>
            <w:r>
              <w:rPr>
                <w:rStyle w:val="38"/>
                <w:rFonts w:hint="eastAsia" w:asciiTheme="minorEastAsia" w:hAnsiTheme="minorEastAsia" w:eastAsiaTheme="minorEastAsia" w:cstheme="minorEastAsia"/>
                <w:b w:val="0"/>
                <w:i w:val="0"/>
                <w:caps w:val="0"/>
                <w:color w:val="auto"/>
                <w:spacing w:val="0"/>
                <w:w w:val="100"/>
                <w:szCs w:val="21"/>
                <w:lang w:val="en-US" w:eastAsia="zh-CN"/>
              </w:rPr>
              <w:t>③服务</w:t>
            </w:r>
            <w:r>
              <w:rPr>
                <w:rStyle w:val="38"/>
                <w:rFonts w:hint="eastAsia" w:asciiTheme="minorEastAsia" w:hAnsiTheme="minorEastAsia" w:eastAsiaTheme="minorEastAsia" w:cstheme="minorEastAsia"/>
                <w:b w:val="0"/>
                <w:i w:val="0"/>
                <w:caps w:val="0"/>
                <w:color w:val="auto"/>
                <w:spacing w:val="0"/>
                <w:w w:val="100"/>
                <w:szCs w:val="21"/>
              </w:rPr>
              <w:t>方案较基本，有时间安排，可操作性一般，得</w:t>
            </w:r>
            <w:r>
              <w:rPr>
                <w:rStyle w:val="38"/>
                <w:rFonts w:hint="eastAsia" w:asciiTheme="minorEastAsia" w:hAnsiTheme="minorEastAsia" w:eastAsiaTheme="minorEastAsia" w:cstheme="minorEastAsia"/>
                <w:b w:val="0"/>
                <w:i w:val="0"/>
                <w:caps w:val="0"/>
                <w:color w:val="auto"/>
                <w:spacing w:val="0"/>
                <w:w w:val="100"/>
                <w:szCs w:val="21"/>
                <w:lang w:val="en-US" w:eastAsia="zh-CN"/>
              </w:rPr>
              <w:t>2</w:t>
            </w:r>
            <w:r>
              <w:rPr>
                <w:rStyle w:val="38"/>
                <w:rFonts w:hint="eastAsia" w:asciiTheme="minorEastAsia" w:hAnsiTheme="minorEastAsia" w:eastAsiaTheme="minorEastAsia" w:cstheme="minorEastAsia"/>
                <w:b w:val="0"/>
                <w:i w:val="0"/>
                <w:caps w:val="0"/>
                <w:color w:val="auto"/>
                <w:spacing w:val="0"/>
                <w:w w:val="100"/>
                <w:szCs w:val="21"/>
              </w:rPr>
              <w:t>分</w:t>
            </w:r>
            <w:r>
              <w:rPr>
                <w:rStyle w:val="38"/>
                <w:rFonts w:hint="eastAsia" w:asciiTheme="minorEastAsia" w:hAnsiTheme="minorEastAsia" w:eastAsiaTheme="minorEastAsia" w:cstheme="minorEastAsia"/>
                <w:b w:val="0"/>
                <w:i w:val="0"/>
                <w:caps w:val="0"/>
                <w:color w:val="auto"/>
                <w:spacing w:val="0"/>
                <w:w w:val="100"/>
                <w:szCs w:val="21"/>
                <w:lang w:eastAsia="zh-CN"/>
              </w:rPr>
              <w:t>。</w:t>
            </w:r>
          </w:p>
        </w:tc>
        <w:tc>
          <w:tcPr>
            <w:tcW w:w="289"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overflowPunct/>
              <w:topLinePunct w:val="0"/>
              <w:autoSpaceDE/>
              <w:autoSpaceDN/>
              <w:bidi w:val="0"/>
              <w:adjustRightInd/>
              <w:snapToGrid/>
              <w:spacing w:line="360" w:lineRule="exact"/>
              <w:jc w:val="left"/>
              <w:textAlignment w:val="auto"/>
              <w:outlineLvl w:val="9"/>
              <w:rPr>
                <w:rFonts w:hint="eastAsia"/>
                <w:color w:val="auto"/>
              </w:rPr>
            </w:pPr>
          </w:p>
          <w:p>
            <w:pPr>
              <w:pStyle w:val="18"/>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62" w:type="pct"/>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1"/>
                <w:szCs w:val="21"/>
              </w:rPr>
            </w:pP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8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color w:val="auto"/>
                <w:szCs w:val="21"/>
              </w:rPr>
            </w:pPr>
            <w:r>
              <w:rPr>
                <w:rFonts w:hint="eastAsia" w:ascii="宋体" w:hAnsi="宋体"/>
                <w:color w:val="auto"/>
                <w:szCs w:val="21"/>
              </w:rPr>
              <w:t>项目服务</w:t>
            </w:r>
          </w:p>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0"/>
                <w:sz w:val="24"/>
                <w:szCs w:val="22"/>
                <w:lang w:val="sq-AL" w:eastAsia="zh-CN" w:bidi="ar-SA"/>
              </w:rPr>
            </w:pPr>
            <w:r>
              <w:rPr>
                <w:rFonts w:hint="eastAsia" w:ascii="宋体" w:hAnsi="宋体"/>
                <w:color w:val="auto"/>
                <w:szCs w:val="21"/>
              </w:rPr>
              <w:t>质量保障</w:t>
            </w:r>
          </w:p>
        </w:tc>
        <w:tc>
          <w:tcPr>
            <w:tcW w:w="3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25</w:t>
            </w:r>
          </w:p>
        </w:tc>
        <w:tc>
          <w:tcPr>
            <w:tcW w:w="4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采购小组</w:t>
            </w:r>
            <w:r>
              <w:rPr>
                <w:rFonts w:hint="eastAsia" w:ascii="宋体" w:hAnsi="宋体" w:eastAsia="宋体" w:cs="宋体"/>
                <w:color w:val="auto"/>
                <w:sz w:val="21"/>
                <w:szCs w:val="21"/>
              </w:rPr>
              <w:t>打分</w:t>
            </w:r>
          </w:p>
        </w:tc>
        <w:tc>
          <w:tcPr>
            <w:tcW w:w="2271" w:type="pct"/>
            <w:tcBorders>
              <w:top w:val="single" w:color="auto" w:sz="4" w:space="0"/>
              <w:left w:val="single" w:color="auto" w:sz="4" w:space="0"/>
              <w:bottom w:val="single" w:color="auto" w:sz="4" w:space="0"/>
              <w:right w:val="single" w:color="auto" w:sz="4" w:space="0"/>
            </w:tcBorders>
            <w:vAlign w:val="center"/>
          </w:tcPr>
          <w:p>
            <w:pPr>
              <w:rPr>
                <w:rFonts w:hint="eastAsia"/>
                <w:color w:val="auto"/>
              </w:rPr>
            </w:pPr>
            <w:r>
              <w:rPr>
                <w:rStyle w:val="38"/>
                <w:rFonts w:hint="eastAsia" w:asciiTheme="minorEastAsia" w:hAnsiTheme="minorEastAsia" w:eastAsiaTheme="minorEastAsia" w:cstheme="minorEastAsia"/>
                <w:b/>
                <w:bCs/>
                <w:i w:val="0"/>
                <w:caps w:val="0"/>
                <w:color w:val="auto"/>
                <w:spacing w:val="0"/>
                <w:w w:val="100"/>
                <w:szCs w:val="21"/>
              </w:rPr>
              <w:t>评审内容：</w:t>
            </w:r>
            <w:r>
              <w:rPr>
                <w:rFonts w:hint="eastAsia" w:eastAsia="宋体"/>
                <w:color w:val="auto"/>
              </w:rPr>
              <w:t>项</w:t>
            </w:r>
            <w:r>
              <w:rPr>
                <w:rFonts w:hint="eastAsia"/>
                <w:color w:val="auto"/>
              </w:rPr>
              <w:t>目活动策划能力、项目服务档案管理、项目人员配置及管理、项目新媒体宣传平台等具有可操作性的服务保障。</w:t>
            </w:r>
          </w:p>
          <w:p>
            <w:pPr>
              <w:rPr>
                <w:rStyle w:val="38"/>
                <w:rFonts w:hint="eastAsia" w:asciiTheme="minorEastAsia" w:hAnsiTheme="minorEastAsia" w:eastAsiaTheme="minorEastAsia" w:cstheme="minorEastAsia"/>
                <w:b/>
                <w:bCs/>
                <w:i w:val="0"/>
                <w:caps w:val="0"/>
                <w:color w:val="auto"/>
                <w:spacing w:val="0"/>
                <w:w w:val="100"/>
                <w:szCs w:val="21"/>
              </w:rPr>
            </w:pPr>
            <w:r>
              <w:rPr>
                <w:rStyle w:val="38"/>
                <w:rFonts w:hint="eastAsia" w:asciiTheme="minorEastAsia" w:hAnsiTheme="minorEastAsia" w:eastAsiaTheme="minorEastAsia" w:cstheme="minorEastAsia"/>
                <w:b/>
                <w:bCs/>
                <w:i w:val="0"/>
                <w:caps w:val="0"/>
                <w:color w:val="auto"/>
                <w:spacing w:val="0"/>
                <w:w w:val="100"/>
                <w:szCs w:val="21"/>
              </w:rPr>
              <w:t>评审标准：</w:t>
            </w:r>
          </w:p>
          <w:p>
            <w:pPr>
              <w:keepNext w:val="0"/>
              <w:keepLines w:val="0"/>
              <w:pageBreakBefore w:val="0"/>
              <w:kinsoku/>
              <w:overflowPunct/>
              <w:topLinePunct w:val="0"/>
              <w:autoSpaceDE/>
              <w:autoSpaceDN/>
              <w:bidi w:val="0"/>
              <w:adjustRightInd/>
              <w:snapToGrid/>
              <w:spacing w:line="360" w:lineRule="exact"/>
              <w:jc w:val="left"/>
              <w:textAlignment w:val="auto"/>
              <w:outlineLvl w:val="9"/>
              <w:rPr>
                <w:rFonts w:hint="eastAsia"/>
                <w:color w:val="auto"/>
              </w:rPr>
            </w:pPr>
            <w:r>
              <w:rPr>
                <w:rFonts w:hint="eastAsia"/>
                <w:color w:val="auto"/>
              </w:rPr>
              <w:t>（</w:t>
            </w:r>
            <w:r>
              <w:rPr>
                <w:rFonts w:hint="eastAsia"/>
                <w:color w:val="auto"/>
                <w:lang w:val="en-US"/>
              </w:rPr>
              <w:t>1</w:t>
            </w:r>
            <w:r>
              <w:rPr>
                <w:rFonts w:hint="eastAsia"/>
                <w:color w:val="auto"/>
              </w:rPr>
              <w:t>）</w:t>
            </w:r>
            <w:r>
              <w:rPr>
                <w:rFonts w:hint="eastAsia" w:eastAsia="宋体"/>
                <w:color w:val="auto"/>
              </w:rPr>
              <w:t>服务质量保障包含上述内容（项目活动策划能力、项目服务档案管理、项目人员配置及管理、项目新媒体宣传平台）得</w:t>
            </w:r>
            <w:r>
              <w:rPr>
                <w:rFonts w:hint="eastAsia" w:eastAsia="宋体"/>
                <w:color w:val="auto"/>
                <w:lang w:val="en-US" w:eastAsia="zh-CN"/>
              </w:rPr>
              <w:t>15</w:t>
            </w:r>
            <w:r>
              <w:rPr>
                <w:rFonts w:hint="eastAsia" w:eastAsia="宋体"/>
                <w:color w:val="auto"/>
                <w:lang w:val="en-US"/>
              </w:rPr>
              <w:t>分</w:t>
            </w:r>
            <w:r>
              <w:rPr>
                <w:rFonts w:hint="eastAsia" w:eastAsia="宋体"/>
                <w:color w:val="auto"/>
              </w:rPr>
              <w:t>，满足任意三点得</w:t>
            </w:r>
            <w:r>
              <w:rPr>
                <w:rFonts w:hint="eastAsia" w:eastAsia="宋体"/>
                <w:color w:val="auto"/>
                <w:lang w:val="en-US" w:eastAsia="zh-CN"/>
              </w:rPr>
              <w:t>12</w:t>
            </w:r>
            <w:r>
              <w:rPr>
                <w:rFonts w:hint="eastAsia" w:eastAsia="宋体"/>
                <w:color w:val="auto"/>
                <w:lang w:val="en-US"/>
              </w:rPr>
              <w:t>分，满足任意两点得</w:t>
            </w:r>
            <w:r>
              <w:rPr>
                <w:rFonts w:hint="eastAsia" w:eastAsia="宋体"/>
                <w:color w:val="auto"/>
                <w:lang w:val="en-US" w:eastAsia="zh-CN"/>
              </w:rPr>
              <w:t>9</w:t>
            </w:r>
            <w:r>
              <w:rPr>
                <w:rFonts w:hint="eastAsia" w:eastAsia="宋体"/>
                <w:color w:val="auto"/>
                <w:lang w:val="en-US"/>
              </w:rPr>
              <w:t>分，满足任意一点得</w:t>
            </w:r>
            <w:r>
              <w:rPr>
                <w:rFonts w:hint="eastAsia" w:eastAsia="宋体"/>
                <w:color w:val="auto"/>
                <w:lang w:val="en-US" w:eastAsia="zh-CN"/>
              </w:rPr>
              <w:t>6</w:t>
            </w:r>
            <w:r>
              <w:rPr>
                <w:rFonts w:hint="eastAsia" w:eastAsia="宋体"/>
                <w:color w:val="auto"/>
                <w:lang w:val="en-US"/>
              </w:rPr>
              <w:t>分，未满足不得分</w:t>
            </w:r>
            <w:r>
              <w:rPr>
                <w:rFonts w:hint="eastAsia" w:eastAsia="宋体"/>
                <w:color w:val="auto"/>
              </w:rPr>
              <w:t>。</w:t>
            </w:r>
          </w:p>
          <w:p>
            <w:pPr>
              <w:rPr>
                <w:rStyle w:val="38"/>
                <w:rFonts w:hint="eastAsia" w:asciiTheme="minorEastAsia" w:hAnsiTheme="minorEastAsia" w:eastAsiaTheme="minorEastAsia" w:cstheme="minorEastAsia"/>
                <w:b w:val="0"/>
                <w:i w:val="0"/>
                <w:caps w:val="0"/>
                <w:color w:val="auto"/>
                <w:spacing w:val="0"/>
                <w:w w:val="100"/>
                <w:szCs w:val="21"/>
              </w:rPr>
            </w:pPr>
            <w:r>
              <w:rPr>
                <w:rFonts w:hint="eastAsia"/>
                <w:color w:val="auto"/>
                <w:lang w:val="en-US" w:eastAsia="zh-CN"/>
              </w:rPr>
              <w:t>（2）</w:t>
            </w:r>
            <w:r>
              <w:rPr>
                <w:rStyle w:val="38"/>
                <w:rFonts w:hint="eastAsia" w:asciiTheme="minorEastAsia" w:hAnsiTheme="minorEastAsia" w:eastAsiaTheme="minorEastAsia" w:cstheme="minorEastAsia"/>
                <w:b w:val="0"/>
                <w:i w:val="0"/>
                <w:caps w:val="0"/>
                <w:color w:val="auto"/>
                <w:spacing w:val="0"/>
                <w:w w:val="100"/>
                <w:szCs w:val="21"/>
              </w:rPr>
              <w:t>在此基础上，</w:t>
            </w:r>
            <w:r>
              <w:rPr>
                <w:rStyle w:val="38"/>
                <w:rFonts w:hint="eastAsia" w:asciiTheme="minorEastAsia" w:hAnsiTheme="minorEastAsia" w:eastAsiaTheme="minorEastAsia" w:cstheme="minorEastAsia"/>
                <w:b w:val="0"/>
                <w:i w:val="0"/>
                <w:caps w:val="0"/>
                <w:color w:val="auto"/>
                <w:spacing w:val="0"/>
                <w:w w:val="100"/>
                <w:szCs w:val="21"/>
                <w:lang w:val="en-US" w:eastAsia="zh-CN"/>
              </w:rPr>
              <w:t>再</w:t>
            </w:r>
            <w:r>
              <w:rPr>
                <w:rStyle w:val="38"/>
                <w:rFonts w:hint="eastAsia" w:asciiTheme="minorEastAsia" w:hAnsiTheme="minorEastAsia" w:eastAsiaTheme="minorEastAsia" w:cstheme="minorEastAsia"/>
                <w:b w:val="0"/>
                <w:i w:val="0"/>
                <w:caps w:val="0"/>
                <w:color w:val="auto"/>
                <w:spacing w:val="0"/>
                <w:w w:val="100"/>
                <w:szCs w:val="21"/>
              </w:rPr>
              <w:t>根据各供应商的具体响应内容进一步评审：</w:t>
            </w:r>
          </w:p>
          <w:p>
            <w:pPr>
              <w:rPr>
                <w:rStyle w:val="38"/>
                <w:rFonts w:hint="eastAsia" w:asciiTheme="minorEastAsia" w:hAnsiTheme="minorEastAsia" w:eastAsiaTheme="minorEastAsia" w:cstheme="minorEastAsia"/>
                <w:b w:val="0"/>
                <w:i w:val="0"/>
                <w:caps w:val="0"/>
                <w:color w:val="auto"/>
                <w:spacing w:val="0"/>
                <w:w w:val="100"/>
                <w:szCs w:val="21"/>
              </w:rPr>
            </w:pPr>
            <w:r>
              <w:rPr>
                <w:rStyle w:val="38"/>
                <w:rFonts w:hint="eastAsia" w:asciiTheme="minorEastAsia" w:hAnsiTheme="minorEastAsia" w:eastAsiaTheme="minorEastAsia" w:cstheme="minorEastAsia"/>
                <w:b w:val="0"/>
                <w:i w:val="0"/>
                <w:caps w:val="0"/>
                <w:color w:val="auto"/>
                <w:spacing w:val="0"/>
                <w:w w:val="100"/>
                <w:szCs w:val="21"/>
                <w:lang w:val="en-US" w:eastAsia="zh-CN"/>
              </w:rPr>
              <w:t>①</w:t>
            </w:r>
            <w:r>
              <w:rPr>
                <w:rFonts w:hint="eastAsia" w:ascii="宋体" w:hAnsi="宋体"/>
                <w:color w:val="auto"/>
                <w:szCs w:val="21"/>
              </w:rPr>
              <w:t>服务质量</w:t>
            </w:r>
            <w:r>
              <w:rPr>
                <w:rFonts w:hint="eastAsia" w:ascii="宋体" w:hAnsi="宋体"/>
                <w:color w:val="auto"/>
                <w:szCs w:val="21"/>
                <w:lang w:eastAsia="zh-CN"/>
              </w:rPr>
              <w:t>保障内容完整详细，合理性强，可持续高，操作性好，</w:t>
            </w:r>
            <w:r>
              <w:rPr>
                <w:rStyle w:val="38"/>
                <w:rFonts w:hint="eastAsia" w:asciiTheme="minorEastAsia" w:hAnsiTheme="minorEastAsia" w:eastAsiaTheme="minorEastAsia" w:cstheme="minorEastAsia"/>
                <w:b w:val="0"/>
                <w:i w:val="0"/>
                <w:caps w:val="0"/>
                <w:color w:val="auto"/>
                <w:spacing w:val="0"/>
                <w:w w:val="100"/>
                <w:szCs w:val="21"/>
              </w:rPr>
              <w:t>得</w:t>
            </w:r>
            <w:r>
              <w:rPr>
                <w:rStyle w:val="38"/>
                <w:rFonts w:hint="eastAsia" w:asciiTheme="minorEastAsia" w:hAnsiTheme="minorEastAsia" w:eastAsiaTheme="minorEastAsia" w:cstheme="minorEastAsia"/>
                <w:b w:val="0"/>
                <w:i w:val="0"/>
                <w:caps w:val="0"/>
                <w:color w:val="auto"/>
                <w:spacing w:val="0"/>
                <w:w w:val="100"/>
                <w:szCs w:val="21"/>
                <w:lang w:val="en-US" w:eastAsia="zh-CN"/>
              </w:rPr>
              <w:t>10</w:t>
            </w:r>
            <w:r>
              <w:rPr>
                <w:rStyle w:val="38"/>
                <w:rFonts w:hint="eastAsia" w:asciiTheme="minorEastAsia" w:hAnsiTheme="minorEastAsia" w:eastAsiaTheme="minorEastAsia" w:cstheme="minorEastAsia"/>
                <w:b w:val="0"/>
                <w:i w:val="0"/>
                <w:caps w:val="0"/>
                <w:color w:val="auto"/>
                <w:spacing w:val="0"/>
                <w:w w:val="100"/>
                <w:szCs w:val="21"/>
              </w:rPr>
              <w:t xml:space="preserve">分； </w:t>
            </w:r>
          </w:p>
          <w:p>
            <w:pPr>
              <w:rPr>
                <w:rStyle w:val="38"/>
                <w:rFonts w:hint="eastAsia" w:asciiTheme="minorEastAsia" w:hAnsiTheme="minorEastAsia" w:eastAsiaTheme="minorEastAsia" w:cstheme="minorEastAsia"/>
                <w:b w:val="0"/>
                <w:i w:val="0"/>
                <w:caps w:val="0"/>
                <w:color w:val="auto"/>
                <w:spacing w:val="0"/>
                <w:w w:val="100"/>
                <w:szCs w:val="21"/>
                <w:lang w:eastAsia="zh-CN"/>
              </w:rPr>
            </w:pPr>
            <w:r>
              <w:rPr>
                <w:rStyle w:val="38"/>
                <w:rFonts w:hint="eastAsia" w:asciiTheme="minorEastAsia" w:hAnsiTheme="minorEastAsia" w:eastAsiaTheme="minorEastAsia" w:cstheme="minorEastAsia"/>
                <w:b w:val="0"/>
                <w:i w:val="0"/>
                <w:caps w:val="0"/>
                <w:color w:val="auto"/>
                <w:spacing w:val="0"/>
                <w:w w:val="100"/>
                <w:szCs w:val="21"/>
                <w:lang w:val="en-US" w:eastAsia="zh-CN"/>
              </w:rPr>
              <w:t>②</w:t>
            </w:r>
            <w:r>
              <w:rPr>
                <w:rFonts w:hint="eastAsia" w:ascii="宋体" w:hAnsi="宋体"/>
                <w:color w:val="auto"/>
                <w:szCs w:val="21"/>
              </w:rPr>
              <w:t>服务质量保障</w:t>
            </w:r>
            <w:r>
              <w:rPr>
                <w:rStyle w:val="38"/>
                <w:rFonts w:hint="eastAsia" w:asciiTheme="minorEastAsia" w:hAnsiTheme="minorEastAsia" w:eastAsiaTheme="minorEastAsia" w:cstheme="minorEastAsia"/>
                <w:b w:val="0"/>
                <w:i w:val="0"/>
                <w:caps w:val="0"/>
                <w:color w:val="auto"/>
                <w:spacing w:val="0"/>
                <w:w w:val="100"/>
                <w:szCs w:val="21"/>
              </w:rPr>
              <w:t>内容</w:t>
            </w:r>
            <w:r>
              <w:rPr>
                <w:rStyle w:val="38"/>
                <w:rFonts w:hint="eastAsia" w:asciiTheme="minorEastAsia" w:hAnsiTheme="minorEastAsia" w:eastAsiaTheme="minorEastAsia" w:cstheme="minorEastAsia"/>
                <w:b w:val="0"/>
                <w:i w:val="0"/>
                <w:caps w:val="0"/>
                <w:color w:val="auto"/>
                <w:spacing w:val="0"/>
                <w:w w:val="100"/>
                <w:szCs w:val="21"/>
                <w:lang w:val="en-US" w:eastAsia="zh-CN"/>
              </w:rPr>
              <w:t>比较完整，合理性较强，操作性较好，</w:t>
            </w:r>
            <w:r>
              <w:rPr>
                <w:rStyle w:val="38"/>
                <w:rFonts w:hint="eastAsia" w:asciiTheme="minorEastAsia" w:hAnsiTheme="minorEastAsia" w:eastAsiaTheme="minorEastAsia" w:cstheme="minorEastAsia"/>
                <w:b w:val="0"/>
                <w:i w:val="0"/>
                <w:caps w:val="0"/>
                <w:color w:val="auto"/>
                <w:spacing w:val="0"/>
                <w:w w:val="100"/>
                <w:szCs w:val="21"/>
              </w:rPr>
              <w:t>得</w:t>
            </w:r>
            <w:r>
              <w:rPr>
                <w:rStyle w:val="38"/>
                <w:rFonts w:hint="eastAsia" w:asciiTheme="minorEastAsia" w:hAnsiTheme="minorEastAsia" w:eastAsiaTheme="minorEastAsia" w:cstheme="minorEastAsia"/>
                <w:b w:val="0"/>
                <w:i w:val="0"/>
                <w:caps w:val="0"/>
                <w:color w:val="auto"/>
                <w:spacing w:val="0"/>
                <w:w w:val="100"/>
                <w:szCs w:val="21"/>
                <w:lang w:val="en-US" w:eastAsia="zh-CN"/>
              </w:rPr>
              <w:t>8</w:t>
            </w:r>
            <w:r>
              <w:rPr>
                <w:rStyle w:val="38"/>
                <w:rFonts w:hint="eastAsia" w:asciiTheme="minorEastAsia" w:hAnsiTheme="minorEastAsia" w:eastAsiaTheme="minorEastAsia" w:cstheme="minorEastAsia"/>
                <w:b w:val="0"/>
                <w:i w:val="0"/>
                <w:caps w:val="0"/>
                <w:color w:val="auto"/>
                <w:spacing w:val="0"/>
                <w:w w:val="100"/>
                <w:szCs w:val="21"/>
              </w:rPr>
              <w:t>分</w:t>
            </w:r>
            <w:r>
              <w:rPr>
                <w:rStyle w:val="38"/>
                <w:rFonts w:hint="eastAsia" w:asciiTheme="minorEastAsia" w:hAnsiTheme="minorEastAsia" w:eastAsiaTheme="minorEastAsia" w:cstheme="minorEastAsia"/>
                <w:b w:val="0"/>
                <w:i w:val="0"/>
                <w:caps w:val="0"/>
                <w:color w:val="auto"/>
                <w:spacing w:val="0"/>
                <w:w w:val="100"/>
                <w:szCs w:val="21"/>
                <w:lang w:eastAsia="zh-CN"/>
              </w:rPr>
              <w:t>；</w:t>
            </w:r>
          </w:p>
          <w:p>
            <w:pPr>
              <w:pStyle w:val="18"/>
              <w:ind w:left="0" w:leftChars="0" w:firstLine="0" w:firstLineChars="0"/>
              <w:rPr>
                <w:rFonts w:hint="eastAsia"/>
                <w:color w:val="auto"/>
                <w:lang w:val="en-US" w:eastAsia="zh-CN"/>
              </w:rPr>
            </w:pPr>
            <w:r>
              <w:rPr>
                <w:rStyle w:val="38"/>
                <w:rFonts w:hint="eastAsia" w:asciiTheme="minorEastAsia" w:hAnsiTheme="minorEastAsia" w:eastAsiaTheme="minorEastAsia" w:cstheme="minorEastAsia"/>
                <w:b w:val="0"/>
                <w:i w:val="0"/>
                <w:caps w:val="0"/>
                <w:color w:val="auto"/>
                <w:spacing w:val="0"/>
                <w:w w:val="100"/>
                <w:szCs w:val="21"/>
                <w:lang w:val="en-US" w:eastAsia="zh-CN"/>
              </w:rPr>
              <w:t>③</w:t>
            </w:r>
            <w:r>
              <w:rPr>
                <w:rFonts w:hint="eastAsia" w:ascii="宋体" w:hAnsi="宋体"/>
                <w:color w:val="auto"/>
                <w:szCs w:val="21"/>
              </w:rPr>
              <w:t>服务质量保障</w:t>
            </w:r>
            <w:r>
              <w:rPr>
                <w:rStyle w:val="38"/>
                <w:rFonts w:hint="eastAsia" w:asciiTheme="minorEastAsia" w:hAnsiTheme="minorEastAsia" w:eastAsiaTheme="minorEastAsia" w:cstheme="minorEastAsia"/>
                <w:b w:val="0"/>
                <w:i w:val="0"/>
                <w:caps w:val="0"/>
                <w:color w:val="auto"/>
                <w:spacing w:val="0"/>
                <w:w w:val="100"/>
                <w:szCs w:val="21"/>
              </w:rPr>
              <w:t>内容较</w:t>
            </w:r>
            <w:r>
              <w:rPr>
                <w:rStyle w:val="38"/>
                <w:rFonts w:hint="eastAsia" w:asciiTheme="minorEastAsia" w:hAnsiTheme="minorEastAsia" w:eastAsiaTheme="minorEastAsia" w:cstheme="minorEastAsia"/>
                <w:b w:val="0"/>
                <w:i w:val="0"/>
                <w:caps w:val="0"/>
                <w:color w:val="auto"/>
                <w:spacing w:val="0"/>
                <w:w w:val="100"/>
                <w:szCs w:val="21"/>
                <w:lang w:val="en-US" w:eastAsia="zh-CN"/>
              </w:rPr>
              <w:t>一般，合理性正常，操作性一般，</w:t>
            </w:r>
            <w:r>
              <w:rPr>
                <w:rStyle w:val="38"/>
                <w:rFonts w:hint="eastAsia" w:asciiTheme="minorEastAsia" w:hAnsiTheme="minorEastAsia" w:eastAsiaTheme="minorEastAsia" w:cstheme="minorEastAsia"/>
                <w:b w:val="0"/>
                <w:i w:val="0"/>
                <w:caps w:val="0"/>
                <w:color w:val="auto"/>
                <w:spacing w:val="0"/>
                <w:w w:val="100"/>
                <w:szCs w:val="21"/>
              </w:rPr>
              <w:t>得</w:t>
            </w:r>
            <w:r>
              <w:rPr>
                <w:rStyle w:val="38"/>
                <w:rFonts w:hint="eastAsia" w:asciiTheme="minorEastAsia" w:hAnsiTheme="minorEastAsia" w:eastAsiaTheme="minorEastAsia" w:cstheme="minorEastAsia"/>
                <w:b w:val="0"/>
                <w:i w:val="0"/>
                <w:caps w:val="0"/>
                <w:color w:val="auto"/>
                <w:spacing w:val="0"/>
                <w:w w:val="100"/>
                <w:szCs w:val="21"/>
                <w:lang w:val="en-US" w:eastAsia="zh-CN"/>
              </w:rPr>
              <w:t>6</w:t>
            </w:r>
            <w:r>
              <w:rPr>
                <w:rStyle w:val="38"/>
                <w:rFonts w:hint="eastAsia" w:asciiTheme="minorEastAsia" w:hAnsiTheme="minorEastAsia" w:eastAsiaTheme="minorEastAsia" w:cstheme="minorEastAsia"/>
                <w:b w:val="0"/>
                <w:i w:val="0"/>
                <w:caps w:val="0"/>
                <w:color w:val="auto"/>
                <w:spacing w:val="0"/>
                <w:w w:val="100"/>
                <w:szCs w:val="21"/>
              </w:rPr>
              <w:t>分</w:t>
            </w:r>
            <w:r>
              <w:rPr>
                <w:rStyle w:val="38"/>
                <w:rFonts w:hint="eastAsia" w:asciiTheme="minorEastAsia" w:hAnsiTheme="minorEastAsia" w:eastAsiaTheme="minorEastAsia" w:cstheme="minorEastAsia"/>
                <w:b w:val="0"/>
                <w:i w:val="0"/>
                <w:caps w:val="0"/>
                <w:color w:val="auto"/>
                <w:spacing w:val="0"/>
                <w:w w:val="100"/>
                <w:szCs w:val="21"/>
                <w:lang w:eastAsia="zh-CN"/>
              </w:rPr>
              <w:t>。</w:t>
            </w:r>
          </w:p>
        </w:tc>
        <w:tc>
          <w:tcPr>
            <w:tcW w:w="289" w:type="pct"/>
            <w:tcBorders>
              <w:top w:val="single" w:color="auto" w:sz="4" w:space="0"/>
              <w:left w:val="single" w:color="auto" w:sz="4" w:space="0"/>
              <w:bottom w:val="single" w:color="auto" w:sz="4" w:space="0"/>
              <w:right w:val="single" w:color="auto" w:sz="4" w:space="0"/>
            </w:tcBorders>
            <w:vAlign w:val="top"/>
          </w:tcPr>
          <w:p>
            <w:pPr>
              <w:pStyle w:val="18"/>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2" w:type="pct"/>
            <w:tcBorders>
              <w:left w:val="single" w:color="auto" w:sz="4" w:space="0"/>
              <w:right w:val="single" w:color="auto" w:sz="4" w:space="0"/>
            </w:tcBorders>
            <w:shd w:val="clear" w:color="auto" w:fill="B6DDE8"/>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三</w:t>
            </w:r>
          </w:p>
        </w:tc>
        <w:tc>
          <w:tcPr>
            <w:tcW w:w="2075" w:type="pct"/>
            <w:gridSpan w:val="4"/>
            <w:tcBorders>
              <w:top w:val="single" w:color="auto" w:sz="4" w:space="0"/>
              <w:left w:val="single" w:color="auto" w:sz="4" w:space="0"/>
              <w:bottom w:val="single" w:color="auto" w:sz="4" w:space="0"/>
              <w:right w:val="single" w:color="auto" w:sz="4" w:space="0"/>
            </w:tcBorders>
            <w:shd w:val="clear" w:color="auto" w:fill="B6DDE8"/>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b/>
                <w:color w:val="auto"/>
                <w:sz w:val="21"/>
                <w:szCs w:val="21"/>
                <w:lang w:eastAsia="zh-CN"/>
              </w:rPr>
              <w:t>商务部分</w:t>
            </w:r>
          </w:p>
        </w:tc>
        <w:tc>
          <w:tcPr>
            <w:tcW w:w="2271" w:type="pct"/>
            <w:tcBorders>
              <w:top w:val="single" w:color="auto" w:sz="4" w:space="0"/>
              <w:left w:val="single" w:color="auto" w:sz="4" w:space="0"/>
              <w:bottom w:val="single" w:color="auto" w:sz="4" w:space="0"/>
              <w:right w:val="single" w:color="auto" w:sz="4" w:space="0"/>
            </w:tcBorders>
            <w:shd w:val="clear" w:color="auto" w:fill="B6DDE8"/>
            <w:vAlign w:val="center"/>
          </w:tcPr>
          <w:p>
            <w:pPr>
              <w:keepNext w:val="0"/>
              <w:keepLines w:val="0"/>
              <w:pageBreakBefore w:val="0"/>
              <w:kinsoku/>
              <w:overflowPunct/>
              <w:topLinePunct w:val="0"/>
              <w:autoSpaceDE/>
              <w:autoSpaceDN/>
              <w:bidi w:val="0"/>
              <w:adjustRightInd/>
              <w:snapToGrid/>
              <w:spacing w:line="360" w:lineRule="exact"/>
              <w:jc w:val="left"/>
              <w:textAlignment w:val="auto"/>
              <w:outlineLvl w:val="9"/>
              <w:rPr>
                <w:rStyle w:val="38"/>
                <w:rFonts w:hint="eastAsia" w:asciiTheme="minorEastAsia" w:hAnsiTheme="minorEastAsia" w:eastAsiaTheme="minorEastAsia" w:cstheme="minorEastAsia"/>
                <w:b w:val="0"/>
                <w:i w:val="0"/>
                <w:caps w:val="0"/>
                <w:color w:val="auto"/>
                <w:spacing w:val="0"/>
                <w:w w:val="100"/>
                <w:szCs w:val="21"/>
                <w:lang w:val="en-US" w:eastAsia="zh-CN"/>
              </w:rPr>
            </w:pPr>
            <w:r>
              <w:rPr>
                <w:rStyle w:val="38"/>
                <w:rFonts w:hint="eastAsia" w:asciiTheme="minorEastAsia" w:hAnsiTheme="minorEastAsia" w:eastAsiaTheme="minorEastAsia" w:cstheme="minorEastAsia"/>
                <w:b w:val="0"/>
                <w:i w:val="0"/>
                <w:caps w:val="0"/>
                <w:color w:val="auto"/>
                <w:spacing w:val="0"/>
                <w:w w:val="100"/>
                <w:szCs w:val="21"/>
                <w:lang w:val="en-US" w:eastAsia="zh-CN"/>
              </w:rPr>
              <w:t>35分</w:t>
            </w:r>
          </w:p>
        </w:tc>
        <w:tc>
          <w:tcPr>
            <w:tcW w:w="289" w:type="pct"/>
            <w:tcBorders>
              <w:top w:val="single" w:color="auto" w:sz="4" w:space="0"/>
              <w:left w:val="single" w:color="auto" w:sz="4" w:space="0"/>
              <w:bottom w:val="single" w:color="auto" w:sz="4" w:space="0"/>
              <w:right w:val="single" w:color="auto" w:sz="4" w:space="0"/>
            </w:tcBorders>
            <w:shd w:val="clear" w:color="auto" w:fill="B6DDE8"/>
            <w:vAlign w:val="top"/>
          </w:tcPr>
          <w:p>
            <w:pPr>
              <w:keepNext w:val="0"/>
              <w:keepLines w:val="0"/>
              <w:pageBreakBefore w:val="0"/>
              <w:widowControl/>
              <w:kinsoku/>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362" w:type="pct"/>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1"/>
                <w:szCs w:val="21"/>
              </w:rPr>
            </w:pP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8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outlineLvl w:val="9"/>
              <w:rPr>
                <w:rFonts w:hint="eastAsia" w:ascii="宋体" w:hAnsi="宋体" w:eastAsia="宋体"/>
                <w:color w:val="auto"/>
                <w:szCs w:val="21"/>
                <w:lang w:eastAsia="zh-CN"/>
              </w:rPr>
            </w:pPr>
            <w:r>
              <w:rPr>
                <w:rFonts w:hint="eastAsia" w:ascii="宋体" w:hAnsi="宋体" w:eastAsia="宋体"/>
                <w:color w:val="auto"/>
                <w:szCs w:val="21"/>
                <w:lang w:eastAsia="zh-CN"/>
              </w:rPr>
              <w:t>同类项目业绩</w:t>
            </w:r>
          </w:p>
        </w:tc>
        <w:tc>
          <w:tcPr>
            <w:tcW w:w="3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10</w:t>
            </w:r>
          </w:p>
        </w:tc>
        <w:tc>
          <w:tcPr>
            <w:tcW w:w="4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eastAsia="zh-CN"/>
              </w:rPr>
              <w:t>采购</w:t>
            </w:r>
            <w:r>
              <w:rPr>
                <w:rFonts w:hint="eastAsia" w:ascii="宋体" w:hAnsi="宋体" w:eastAsia="宋体" w:cs="宋体"/>
                <w:color w:val="auto"/>
                <w:sz w:val="21"/>
                <w:szCs w:val="21"/>
              </w:rPr>
              <w:t>小组打分</w:t>
            </w:r>
          </w:p>
        </w:tc>
        <w:tc>
          <w:tcPr>
            <w:tcW w:w="22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20" w:lineRule="exact"/>
              <w:textAlignment w:val="auto"/>
              <w:rPr>
                <w:rStyle w:val="38"/>
                <w:rFonts w:hint="eastAsia" w:asciiTheme="minorEastAsia" w:hAnsiTheme="minorEastAsia" w:eastAsiaTheme="minorEastAsia" w:cstheme="minorEastAsia"/>
                <w:b w:val="0"/>
                <w:i w:val="0"/>
                <w:caps w:val="0"/>
                <w:color w:val="auto"/>
                <w:spacing w:val="0"/>
                <w:w w:val="100"/>
                <w:szCs w:val="21"/>
              </w:rPr>
            </w:pPr>
            <w:r>
              <w:rPr>
                <w:rStyle w:val="38"/>
                <w:rFonts w:hint="eastAsia" w:asciiTheme="minorEastAsia" w:hAnsiTheme="minorEastAsia" w:eastAsiaTheme="minorEastAsia" w:cstheme="minorEastAsia"/>
                <w:b/>
                <w:bCs/>
                <w:i w:val="0"/>
                <w:caps w:val="0"/>
                <w:color w:val="auto"/>
                <w:spacing w:val="0"/>
                <w:w w:val="100"/>
                <w:szCs w:val="21"/>
              </w:rPr>
              <w:t>评审标准：</w:t>
            </w:r>
            <w:r>
              <w:rPr>
                <w:rStyle w:val="38"/>
                <w:rFonts w:hint="eastAsia" w:asciiTheme="minorEastAsia" w:hAnsiTheme="minorEastAsia" w:eastAsiaTheme="minorEastAsia" w:cstheme="minorEastAsia"/>
                <w:b w:val="0"/>
                <w:i w:val="0"/>
                <w:caps w:val="0"/>
                <w:color w:val="auto"/>
                <w:spacing w:val="0"/>
                <w:w w:val="100"/>
                <w:szCs w:val="21"/>
                <w:lang w:eastAsia="zh-CN"/>
              </w:rPr>
              <w:t>供应商</w:t>
            </w:r>
            <w:r>
              <w:rPr>
                <w:rStyle w:val="38"/>
                <w:rFonts w:hint="eastAsia" w:asciiTheme="minorEastAsia" w:hAnsiTheme="minorEastAsia" w:eastAsiaTheme="minorEastAsia" w:cstheme="minorEastAsia"/>
                <w:b w:val="0"/>
                <w:i w:val="0"/>
                <w:caps w:val="0"/>
                <w:color w:val="auto"/>
                <w:spacing w:val="0"/>
                <w:w w:val="100"/>
                <w:szCs w:val="21"/>
              </w:rPr>
              <w:t>具有公共</w:t>
            </w:r>
            <w:r>
              <w:rPr>
                <w:rStyle w:val="38"/>
                <w:rFonts w:hint="eastAsia" w:asciiTheme="minorEastAsia" w:hAnsiTheme="minorEastAsia" w:eastAsiaTheme="minorEastAsia" w:cstheme="minorEastAsia"/>
                <w:b w:val="0"/>
                <w:i w:val="0"/>
                <w:caps w:val="0"/>
                <w:color w:val="auto"/>
                <w:spacing w:val="0"/>
                <w:w w:val="100"/>
                <w:szCs w:val="21"/>
                <w:lang w:eastAsia="zh-CN"/>
              </w:rPr>
              <w:t>文化</w:t>
            </w:r>
            <w:r>
              <w:rPr>
                <w:rStyle w:val="38"/>
                <w:rFonts w:hint="eastAsia" w:asciiTheme="minorEastAsia" w:hAnsiTheme="minorEastAsia" w:eastAsiaTheme="minorEastAsia" w:cstheme="minorEastAsia"/>
                <w:b w:val="0"/>
                <w:i w:val="0"/>
                <w:caps w:val="0"/>
                <w:color w:val="auto"/>
                <w:spacing w:val="0"/>
                <w:w w:val="100"/>
                <w:szCs w:val="21"/>
              </w:rPr>
              <w:t>服务项目业绩，每有一个得</w:t>
            </w:r>
            <w:r>
              <w:rPr>
                <w:rStyle w:val="38"/>
                <w:rFonts w:hint="eastAsia" w:asciiTheme="minorEastAsia" w:hAnsiTheme="minorEastAsia" w:eastAsiaTheme="minorEastAsia" w:cstheme="minorEastAsia"/>
                <w:b w:val="0"/>
                <w:i w:val="0"/>
                <w:caps w:val="0"/>
                <w:color w:val="auto"/>
                <w:spacing w:val="0"/>
                <w:w w:val="100"/>
                <w:szCs w:val="21"/>
                <w:lang w:val="en-US"/>
              </w:rPr>
              <w:t>50%，最高得100%</w:t>
            </w:r>
            <w:r>
              <w:rPr>
                <w:rStyle w:val="38"/>
                <w:rFonts w:hint="eastAsia" w:asciiTheme="minorEastAsia" w:hAnsiTheme="minorEastAsia" w:eastAsiaTheme="minorEastAsia" w:cstheme="minorEastAsia"/>
                <w:b w:val="0"/>
                <w:i w:val="0"/>
                <w:caps w:val="0"/>
                <w:color w:val="auto"/>
                <w:spacing w:val="0"/>
                <w:w w:val="100"/>
                <w:szCs w:val="21"/>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Style w:val="38"/>
                <w:rFonts w:hint="eastAsia" w:asciiTheme="minorEastAsia" w:hAnsiTheme="minorEastAsia" w:eastAsiaTheme="minorEastAsia" w:cstheme="minorEastAsia"/>
                <w:b w:val="0"/>
                <w:i w:val="0"/>
                <w:caps w:val="0"/>
                <w:color w:val="auto"/>
                <w:spacing w:val="0"/>
                <w:w w:val="100"/>
                <w:szCs w:val="21"/>
              </w:rPr>
            </w:pPr>
            <w:r>
              <w:rPr>
                <w:rStyle w:val="38"/>
                <w:rFonts w:hint="eastAsia" w:asciiTheme="minorEastAsia" w:hAnsiTheme="minorEastAsia" w:eastAsiaTheme="minorEastAsia" w:cstheme="minorEastAsia"/>
                <w:b/>
                <w:bCs/>
                <w:i w:val="0"/>
                <w:caps w:val="0"/>
                <w:color w:val="auto"/>
                <w:spacing w:val="0"/>
                <w:w w:val="100"/>
                <w:szCs w:val="21"/>
              </w:rPr>
              <w:t>证明文件：</w:t>
            </w:r>
            <w:r>
              <w:rPr>
                <w:rStyle w:val="38"/>
                <w:rFonts w:hint="eastAsia" w:asciiTheme="minorEastAsia" w:hAnsiTheme="minorEastAsia" w:eastAsiaTheme="minorEastAsia" w:cstheme="minorEastAsia"/>
                <w:b w:val="0"/>
                <w:i w:val="0"/>
                <w:caps w:val="0"/>
                <w:color w:val="auto"/>
                <w:spacing w:val="0"/>
                <w:w w:val="100"/>
                <w:szCs w:val="21"/>
              </w:rPr>
              <w:t>提供</w:t>
            </w:r>
            <w:r>
              <w:rPr>
                <w:rStyle w:val="38"/>
                <w:rFonts w:hint="eastAsia" w:asciiTheme="minorEastAsia" w:hAnsiTheme="minorEastAsia" w:eastAsiaTheme="minorEastAsia" w:cstheme="minorEastAsia"/>
                <w:b w:val="0"/>
                <w:i w:val="0"/>
                <w:caps w:val="0"/>
                <w:color w:val="auto"/>
                <w:spacing w:val="0"/>
                <w:w w:val="100"/>
                <w:szCs w:val="21"/>
                <w:lang w:val="en-US"/>
              </w:rPr>
              <w:t>20</w:t>
            </w:r>
            <w:r>
              <w:rPr>
                <w:rStyle w:val="38"/>
                <w:rFonts w:hint="default" w:asciiTheme="minorEastAsia" w:hAnsiTheme="minorEastAsia" w:eastAsiaTheme="minorEastAsia" w:cstheme="minorEastAsia"/>
                <w:b w:val="0"/>
                <w:i w:val="0"/>
                <w:caps w:val="0"/>
                <w:color w:val="auto"/>
                <w:spacing w:val="0"/>
                <w:w w:val="100"/>
                <w:szCs w:val="21"/>
                <w:lang w:val="en"/>
              </w:rPr>
              <w:t>2</w:t>
            </w:r>
            <w:r>
              <w:rPr>
                <w:rStyle w:val="38"/>
                <w:rFonts w:hint="eastAsia" w:asciiTheme="minorEastAsia" w:hAnsiTheme="minorEastAsia" w:eastAsiaTheme="minorEastAsia" w:cstheme="minorEastAsia"/>
                <w:b w:val="0"/>
                <w:i w:val="0"/>
                <w:caps w:val="0"/>
                <w:color w:val="auto"/>
                <w:spacing w:val="0"/>
                <w:w w:val="100"/>
                <w:szCs w:val="21"/>
                <w:lang w:val="en-US"/>
              </w:rPr>
              <w:t>1年1月1日至本项目需求公告截止之日的</w:t>
            </w:r>
            <w:r>
              <w:rPr>
                <w:rStyle w:val="38"/>
                <w:rFonts w:hint="eastAsia" w:asciiTheme="minorEastAsia" w:hAnsiTheme="minorEastAsia" w:eastAsiaTheme="minorEastAsia" w:cstheme="minorEastAsia"/>
                <w:b w:val="0"/>
                <w:i w:val="0"/>
                <w:caps w:val="0"/>
                <w:color w:val="auto"/>
                <w:spacing w:val="0"/>
                <w:w w:val="100"/>
                <w:szCs w:val="21"/>
              </w:rPr>
              <w:t>项目协议或合同关键页（首页和签章页）作为业绩证明材料，无证明材料或无法判断是否得分的业绩，一律做不得分处理。</w:t>
            </w:r>
          </w:p>
        </w:tc>
        <w:tc>
          <w:tcPr>
            <w:tcW w:w="289"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62" w:type="pct"/>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1"/>
                <w:szCs w:val="21"/>
              </w:rPr>
            </w:pP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w:t>
            </w:r>
          </w:p>
        </w:tc>
        <w:tc>
          <w:tcPr>
            <w:tcW w:w="8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outlineLvl w:val="9"/>
              <w:rPr>
                <w:rFonts w:hint="eastAsia" w:ascii="宋体" w:hAnsi="宋体" w:eastAsia="宋体"/>
                <w:color w:val="auto"/>
                <w:szCs w:val="21"/>
                <w:lang w:val="en-US" w:eastAsia="zh-CN"/>
              </w:rPr>
            </w:pPr>
            <w:r>
              <w:rPr>
                <w:rFonts w:hint="eastAsia" w:ascii="宋体" w:hAnsi="宋体" w:eastAsia="宋体"/>
                <w:color w:val="auto"/>
                <w:szCs w:val="21"/>
                <w:lang w:eastAsia="zh-CN"/>
              </w:rPr>
              <w:t>履约评价</w:t>
            </w:r>
          </w:p>
        </w:tc>
        <w:tc>
          <w:tcPr>
            <w:tcW w:w="3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10</w:t>
            </w:r>
          </w:p>
        </w:tc>
        <w:tc>
          <w:tcPr>
            <w:tcW w:w="4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采购小组打分</w:t>
            </w:r>
          </w:p>
        </w:tc>
        <w:tc>
          <w:tcPr>
            <w:tcW w:w="2271" w:type="pct"/>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kinsoku/>
              <w:wordWrap/>
              <w:overflowPunct/>
              <w:topLinePunct w:val="0"/>
              <w:autoSpaceDE/>
              <w:autoSpaceDN/>
              <w:bidi w:val="0"/>
              <w:spacing w:line="320" w:lineRule="exact"/>
              <w:ind w:left="0" w:leftChars="0" w:firstLine="0" w:firstLineChars="0"/>
              <w:textAlignment w:val="auto"/>
              <w:rPr>
                <w:rStyle w:val="38"/>
                <w:rFonts w:hint="eastAsia" w:asciiTheme="minorEastAsia" w:hAnsiTheme="minorEastAsia" w:eastAsiaTheme="minorEastAsia" w:cstheme="minorEastAsia"/>
                <w:b w:val="0"/>
                <w:i w:val="0"/>
                <w:caps w:val="0"/>
                <w:color w:val="auto"/>
                <w:spacing w:val="0"/>
                <w:w w:val="100"/>
                <w:szCs w:val="21"/>
                <w:lang w:val="en-US" w:eastAsia="zh-CN"/>
              </w:rPr>
            </w:pPr>
            <w:r>
              <w:rPr>
                <w:rStyle w:val="38"/>
                <w:rFonts w:hint="eastAsia" w:asciiTheme="minorEastAsia" w:hAnsiTheme="minorEastAsia" w:eastAsiaTheme="minorEastAsia" w:cstheme="minorEastAsia"/>
                <w:b/>
                <w:bCs/>
                <w:i w:val="0"/>
                <w:caps w:val="0"/>
                <w:color w:val="auto"/>
                <w:spacing w:val="0"/>
                <w:w w:val="100"/>
                <w:szCs w:val="21"/>
                <w:lang w:eastAsia="zh-CN"/>
              </w:rPr>
              <w:t>评审标准：</w:t>
            </w:r>
            <w:r>
              <w:rPr>
                <w:rStyle w:val="38"/>
                <w:rFonts w:hint="eastAsia" w:asciiTheme="minorEastAsia" w:hAnsiTheme="minorEastAsia" w:eastAsiaTheme="minorEastAsia" w:cstheme="minorEastAsia"/>
                <w:b w:val="0"/>
                <w:i w:val="0"/>
                <w:caps w:val="0"/>
                <w:color w:val="auto"/>
                <w:spacing w:val="0"/>
                <w:w w:val="100"/>
                <w:szCs w:val="21"/>
                <w:lang w:eastAsia="zh-CN"/>
              </w:rPr>
              <w:t>承担上述有效的同类项目业绩中且经采购单位或被服务单位总体履约评价或验收为“优或满意或合格”的，每提供一份得50%，最高得100%。</w:t>
            </w:r>
          </w:p>
          <w:p>
            <w:pPr>
              <w:pStyle w:val="18"/>
              <w:keepNext w:val="0"/>
              <w:keepLines w:val="0"/>
              <w:pageBreakBefore w:val="0"/>
              <w:widowControl w:val="0"/>
              <w:kinsoku/>
              <w:wordWrap/>
              <w:overflowPunct/>
              <w:topLinePunct w:val="0"/>
              <w:autoSpaceDE/>
              <w:autoSpaceDN/>
              <w:bidi w:val="0"/>
              <w:spacing w:line="320" w:lineRule="exact"/>
              <w:ind w:left="0" w:leftChars="0" w:firstLine="0" w:firstLineChars="0"/>
              <w:textAlignment w:val="auto"/>
              <w:rPr>
                <w:rFonts w:hint="eastAsia" w:asciiTheme="minorEastAsia" w:hAnsiTheme="minorEastAsia" w:eastAsiaTheme="minorEastAsia" w:cstheme="minorEastAsia"/>
                <w:b w:val="0"/>
                <w:i w:val="0"/>
                <w:caps w:val="0"/>
                <w:color w:val="auto"/>
                <w:spacing w:val="0"/>
                <w:w w:val="100"/>
                <w:kern w:val="2"/>
                <w:sz w:val="21"/>
                <w:szCs w:val="21"/>
                <w:lang w:val="en-US" w:eastAsia="zh-CN" w:bidi="ar-SA"/>
              </w:rPr>
            </w:pPr>
            <w:r>
              <w:rPr>
                <w:rStyle w:val="38"/>
                <w:rFonts w:hint="eastAsia" w:asciiTheme="minorEastAsia" w:hAnsiTheme="minorEastAsia" w:eastAsiaTheme="minorEastAsia" w:cstheme="minorEastAsia"/>
                <w:b/>
                <w:bCs/>
                <w:i w:val="0"/>
                <w:caps w:val="0"/>
                <w:color w:val="auto"/>
                <w:spacing w:val="0"/>
                <w:w w:val="100"/>
                <w:szCs w:val="21"/>
              </w:rPr>
              <w:t>证明文件：</w:t>
            </w:r>
            <w:r>
              <w:rPr>
                <w:rStyle w:val="38"/>
                <w:rFonts w:hint="eastAsia" w:asciiTheme="minorEastAsia" w:hAnsiTheme="minorEastAsia" w:eastAsiaTheme="minorEastAsia" w:cstheme="minorEastAsia"/>
                <w:b w:val="0"/>
                <w:i w:val="0"/>
                <w:caps w:val="0"/>
                <w:color w:val="auto"/>
                <w:spacing w:val="0"/>
                <w:w w:val="100"/>
                <w:szCs w:val="21"/>
              </w:rPr>
              <w:t>采购单位或被服务单位盖章的总体履约评价或验收为</w:t>
            </w:r>
            <w:r>
              <w:rPr>
                <w:rStyle w:val="38"/>
                <w:rFonts w:hint="eastAsia" w:asciiTheme="minorEastAsia" w:hAnsiTheme="minorEastAsia" w:eastAsiaTheme="minorEastAsia" w:cstheme="minorEastAsia"/>
                <w:b w:val="0"/>
                <w:i w:val="0"/>
                <w:caps w:val="0"/>
                <w:color w:val="auto"/>
                <w:spacing w:val="0"/>
                <w:w w:val="100"/>
                <w:szCs w:val="21"/>
                <w:lang w:eastAsia="zh-CN"/>
              </w:rPr>
              <w:t>“优或满意或合格”</w:t>
            </w:r>
            <w:r>
              <w:rPr>
                <w:rStyle w:val="38"/>
                <w:rFonts w:hint="eastAsia" w:asciiTheme="minorEastAsia" w:hAnsiTheme="minorEastAsia" w:eastAsiaTheme="minorEastAsia" w:cstheme="minorEastAsia"/>
                <w:b w:val="0"/>
                <w:i w:val="0"/>
                <w:caps w:val="0"/>
                <w:color w:val="auto"/>
                <w:spacing w:val="0"/>
                <w:w w:val="100"/>
                <w:szCs w:val="21"/>
              </w:rPr>
              <w:t>的证明文件，如提交的证明材料其评价结果没有结论而仅是打分的（比如打100分、98分等）不计分。上述证明文件均要求提供复印件或扫描件并加盖投标单位公章，原件备查。如未提供或未按照要求提供或提供的证明文件不完整不清晰导致采购小组无法判断的均不得分。</w:t>
            </w:r>
          </w:p>
        </w:tc>
        <w:tc>
          <w:tcPr>
            <w:tcW w:w="289"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trPr>
        <w:tc>
          <w:tcPr>
            <w:tcW w:w="362" w:type="pct"/>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1"/>
                <w:szCs w:val="21"/>
              </w:rPr>
            </w:pP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w:t>
            </w:r>
          </w:p>
        </w:tc>
        <w:tc>
          <w:tcPr>
            <w:tcW w:w="8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outlineLvl w:val="9"/>
              <w:rPr>
                <w:rFonts w:hint="eastAsia" w:ascii="宋体" w:hAnsi="宋体" w:eastAsia="宋体"/>
                <w:color w:val="auto"/>
                <w:szCs w:val="21"/>
                <w:lang w:eastAsia="zh-CN"/>
              </w:rPr>
            </w:pPr>
            <w:r>
              <w:rPr>
                <w:rFonts w:hint="eastAsia" w:ascii="宋体" w:hAnsi="宋体" w:eastAsia="宋体"/>
                <w:color w:val="auto"/>
                <w:szCs w:val="21"/>
                <w:lang w:eastAsia="zh-CN"/>
              </w:rPr>
              <w:t>拟安排项目</w:t>
            </w:r>
          </w:p>
          <w:p>
            <w:pPr>
              <w:keepNext w:val="0"/>
              <w:keepLines w:val="0"/>
              <w:pageBreakBefore w:val="0"/>
              <w:widowControl/>
              <w:kinsoku/>
              <w:overflowPunct/>
              <w:topLinePunct w:val="0"/>
              <w:autoSpaceDE/>
              <w:autoSpaceDN/>
              <w:bidi w:val="0"/>
              <w:adjustRightInd/>
              <w:snapToGrid/>
              <w:spacing w:line="360" w:lineRule="exact"/>
              <w:jc w:val="center"/>
              <w:textAlignment w:val="auto"/>
              <w:outlineLvl w:val="9"/>
              <w:rPr>
                <w:rFonts w:hint="eastAsia" w:ascii="宋体" w:hAnsi="宋体" w:eastAsia="宋体"/>
                <w:color w:val="auto"/>
                <w:szCs w:val="21"/>
                <w:lang w:eastAsia="zh-CN"/>
              </w:rPr>
            </w:pPr>
            <w:r>
              <w:rPr>
                <w:rFonts w:hint="eastAsia" w:ascii="宋体" w:hAnsi="宋体" w:eastAsia="宋体"/>
                <w:color w:val="auto"/>
                <w:szCs w:val="21"/>
                <w:lang w:eastAsia="zh-CN"/>
              </w:rPr>
              <w:t>主管情况</w:t>
            </w:r>
          </w:p>
        </w:tc>
        <w:tc>
          <w:tcPr>
            <w:tcW w:w="3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auto"/>
                <w:kern w:val="0"/>
                <w:sz w:val="21"/>
                <w:szCs w:val="21"/>
                <w:lang w:val="en" w:eastAsia="zh-CN"/>
              </w:rPr>
            </w:pPr>
            <w:r>
              <w:rPr>
                <w:rFonts w:hint="default" w:ascii="宋体" w:hAnsi="宋体" w:cs="宋体"/>
                <w:color w:val="auto"/>
                <w:kern w:val="0"/>
                <w:sz w:val="21"/>
                <w:szCs w:val="21"/>
                <w:lang w:val="en" w:eastAsia="zh-CN"/>
              </w:rPr>
              <w:t>10</w:t>
            </w:r>
          </w:p>
        </w:tc>
        <w:tc>
          <w:tcPr>
            <w:tcW w:w="4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采购</w:t>
            </w:r>
            <w:r>
              <w:rPr>
                <w:rFonts w:hint="eastAsia" w:ascii="宋体" w:hAnsi="宋体" w:eastAsia="宋体" w:cs="宋体"/>
                <w:color w:val="auto"/>
                <w:sz w:val="21"/>
                <w:szCs w:val="21"/>
              </w:rPr>
              <w:t>小组打分</w:t>
            </w:r>
          </w:p>
        </w:tc>
        <w:tc>
          <w:tcPr>
            <w:tcW w:w="22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62" w:afterLines="20" w:line="320" w:lineRule="exact"/>
              <w:textAlignment w:val="auto"/>
              <w:rPr>
                <w:rStyle w:val="38"/>
                <w:rFonts w:hint="eastAsia" w:asciiTheme="minorEastAsia" w:hAnsiTheme="minorEastAsia" w:eastAsiaTheme="minorEastAsia" w:cstheme="minorEastAsia"/>
                <w:b w:val="0"/>
                <w:i w:val="0"/>
                <w:caps w:val="0"/>
                <w:color w:val="auto"/>
                <w:spacing w:val="0"/>
                <w:w w:val="100"/>
                <w:szCs w:val="21"/>
              </w:rPr>
            </w:pPr>
            <w:r>
              <w:rPr>
                <w:rStyle w:val="38"/>
                <w:rFonts w:hint="eastAsia" w:asciiTheme="minorEastAsia" w:hAnsiTheme="minorEastAsia" w:eastAsiaTheme="minorEastAsia" w:cstheme="minorEastAsia"/>
                <w:b/>
                <w:bCs/>
                <w:i w:val="0"/>
                <w:caps w:val="0"/>
                <w:color w:val="auto"/>
                <w:spacing w:val="0"/>
                <w:w w:val="100"/>
                <w:szCs w:val="21"/>
              </w:rPr>
              <w:t>评审标准</w:t>
            </w:r>
            <w:r>
              <w:rPr>
                <w:rStyle w:val="38"/>
                <w:rFonts w:hint="eastAsia" w:asciiTheme="minorEastAsia" w:hAnsiTheme="minorEastAsia" w:eastAsiaTheme="minorEastAsia" w:cstheme="minorEastAsia"/>
                <w:b/>
                <w:bCs/>
                <w:i w:val="0"/>
                <w:caps w:val="0"/>
                <w:color w:val="auto"/>
                <w:spacing w:val="0"/>
                <w:w w:val="100"/>
                <w:szCs w:val="21"/>
                <w:lang w:val="en"/>
              </w:rPr>
              <w:t>：</w:t>
            </w:r>
            <w:r>
              <w:rPr>
                <w:rStyle w:val="38"/>
                <w:rFonts w:hint="eastAsia" w:asciiTheme="minorEastAsia" w:hAnsiTheme="minorEastAsia" w:eastAsiaTheme="minorEastAsia" w:cstheme="minorEastAsia"/>
                <w:b w:val="0"/>
                <w:i w:val="0"/>
                <w:caps w:val="0"/>
                <w:color w:val="auto"/>
                <w:spacing w:val="0"/>
                <w:w w:val="100"/>
                <w:szCs w:val="21"/>
              </w:rPr>
              <w:t>项目</w:t>
            </w:r>
            <w:r>
              <w:rPr>
                <w:rStyle w:val="38"/>
                <w:rFonts w:hint="eastAsia" w:asciiTheme="minorEastAsia" w:hAnsiTheme="minorEastAsia" w:eastAsiaTheme="minorEastAsia" w:cstheme="minorEastAsia"/>
                <w:b w:val="0"/>
                <w:i w:val="0"/>
                <w:caps w:val="0"/>
                <w:color w:val="auto"/>
                <w:spacing w:val="0"/>
                <w:w w:val="100"/>
                <w:szCs w:val="21"/>
                <w:lang w:eastAsia="zh-CN"/>
              </w:rPr>
              <w:t>主管</w:t>
            </w:r>
            <w:r>
              <w:rPr>
                <w:rStyle w:val="38"/>
                <w:rFonts w:hint="eastAsia" w:asciiTheme="minorEastAsia" w:hAnsiTheme="minorEastAsia" w:eastAsiaTheme="minorEastAsia" w:cstheme="minorEastAsia"/>
                <w:b w:val="0"/>
                <w:i w:val="0"/>
                <w:caps w:val="0"/>
                <w:color w:val="auto"/>
                <w:spacing w:val="0"/>
                <w:w w:val="100"/>
                <w:szCs w:val="21"/>
              </w:rPr>
              <w:t>具备</w:t>
            </w:r>
            <w:r>
              <w:rPr>
                <w:rStyle w:val="38"/>
                <w:rFonts w:hint="eastAsia" w:asciiTheme="minorEastAsia" w:hAnsiTheme="minorEastAsia" w:eastAsiaTheme="minorEastAsia" w:cstheme="minorEastAsia"/>
                <w:b w:val="0"/>
                <w:i w:val="0"/>
                <w:caps w:val="0"/>
                <w:color w:val="auto"/>
                <w:spacing w:val="0"/>
                <w:w w:val="100"/>
                <w:szCs w:val="21"/>
                <w:lang w:eastAsia="zh-CN"/>
              </w:rPr>
              <w:t>从事文体相关工作</w:t>
            </w:r>
            <w:r>
              <w:rPr>
                <w:rStyle w:val="38"/>
                <w:rFonts w:hint="eastAsia" w:asciiTheme="minorEastAsia" w:hAnsiTheme="minorEastAsia" w:eastAsiaTheme="minorEastAsia" w:cstheme="minorEastAsia"/>
                <w:b w:val="0"/>
                <w:i w:val="0"/>
                <w:caps w:val="0"/>
                <w:color w:val="auto"/>
                <w:spacing w:val="0"/>
                <w:w w:val="100"/>
                <w:szCs w:val="21"/>
                <w:lang w:val="en-US" w:eastAsia="zh-CN"/>
              </w:rPr>
              <w:t>3年及以上经验，得2分；本科学历或以上，得2分；文体相关工作资格证书，得2分；获得个人荣誉证书或参与的文体类项目获奖证书，每提供一个得2分，最高累计得4分</w:t>
            </w:r>
            <w:r>
              <w:rPr>
                <w:rStyle w:val="38"/>
                <w:rFonts w:hint="eastAsia" w:asciiTheme="minorEastAsia" w:hAnsiTheme="minorEastAsia" w:eastAsiaTheme="minorEastAsia" w:cstheme="minorEastAsia"/>
                <w:b w:val="0"/>
                <w:i w:val="0"/>
                <w:caps w:val="0"/>
                <w:color w:val="auto"/>
                <w:spacing w:val="0"/>
                <w:w w:val="100"/>
                <w:szCs w:val="21"/>
              </w:rPr>
              <w:t>。</w:t>
            </w:r>
          </w:p>
          <w:p>
            <w:pPr>
              <w:keepNext w:val="0"/>
              <w:keepLines w:val="0"/>
              <w:pageBreakBefore w:val="0"/>
              <w:widowControl w:val="0"/>
              <w:kinsoku/>
              <w:wordWrap/>
              <w:overflowPunct/>
              <w:topLinePunct w:val="0"/>
              <w:autoSpaceDE/>
              <w:autoSpaceDN/>
              <w:bidi w:val="0"/>
              <w:adjustRightInd w:val="0"/>
              <w:snapToGrid w:val="0"/>
              <w:spacing w:after="62" w:afterLines="20" w:line="320" w:lineRule="exact"/>
              <w:textAlignment w:val="auto"/>
              <w:rPr>
                <w:rStyle w:val="38"/>
                <w:rFonts w:hint="eastAsia" w:asciiTheme="minorEastAsia" w:hAnsiTheme="minorEastAsia" w:eastAsiaTheme="minorEastAsia" w:cstheme="minorEastAsia"/>
                <w:b w:val="0"/>
                <w:i w:val="0"/>
                <w:caps w:val="0"/>
                <w:color w:val="auto"/>
                <w:spacing w:val="0"/>
                <w:w w:val="100"/>
                <w:szCs w:val="21"/>
              </w:rPr>
            </w:pPr>
            <w:r>
              <w:rPr>
                <w:rStyle w:val="38"/>
                <w:rFonts w:hint="eastAsia" w:asciiTheme="minorEastAsia" w:hAnsiTheme="minorEastAsia" w:eastAsiaTheme="minorEastAsia" w:cstheme="minorEastAsia"/>
                <w:b/>
                <w:bCs/>
                <w:i w:val="0"/>
                <w:caps w:val="0"/>
                <w:color w:val="auto"/>
                <w:spacing w:val="0"/>
                <w:w w:val="100"/>
                <w:szCs w:val="21"/>
              </w:rPr>
              <w:t>证明文件：</w:t>
            </w:r>
            <w:r>
              <w:rPr>
                <w:rStyle w:val="38"/>
                <w:rFonts w:hint="eastAsia" w:asciiTheme="minorEastAsia" w:hAnsiTheme="minorEastAsia" w:eastAsiaTheme="minorEastAsia" w:cstheme="minorEastAsia"/>
                <w:b w:val="0"/>
                <w:i w:val="0"/>
                <w:caps w:val="0"/>
                <w:color w:val="auto"/>
                <w:spacing w:val="0"/>
                <w:w w:val="100"/>
                <w:szCs w:val="21"/>
              </w:rPr>
              <w:t>提供</w:t>
            </w:r>
            <w:r>
              <w:rPr>
                <w:rStyle w:val="38"/>
                <w:rFonts w:hint="eastAsia" w:asciiTheme="minorEastAsia" w:hAnsiTheme="minorEastAsia" w:eastAsiaTheme="minorEastAsia" w:cstheme="minorEastAsia"/>
                <w:b w:val="0"/>
                <w:i w:val="0"/>
                <w:caps w:val="0"/>
                <w:color w:val="auto"/>
                <w:spacing w:val="0"/>
                <w:w w:val="100"/>
                <w:szCs w:val="21"/>
                <w:lang w:val="en-US"/>
              </w:rPr>
              <w:t>工作证明，</w:t>
            </w:r>
            <w:r>
              <w:rPr>
                <w:rStyle w:val="38"/>
                <w:rFonts w:hint="eastAsia" w:asciiTheme="minorEastAsia" w:hAnsiTheme="minorEastAsia" w:eastAsiaTheme="minorEastAsia" w:cstheme="minorEastAsia"/>
                <w:b w:val="0"/>
                <w:i w:val="0"/>
                <w:caps w:val="0"/>
                <w:color w:val="auto"/>
                <w:spacing w:val="0"/>
                <w:w w:val="100"/>
                <w:szCs w:val="21"/>
              </w:rPr>
              <w:t>学历证明、社保证明，资格证书，个人荣誉证书</w:t>
            </w:r>
            <w:r>
              <w:rPr>
                <w:rStyle w:val="38"/>
                <w:rFonts w:hint="eastAsia" w:asciiTheme="minorEastAsia" w:hAnsiTheme="minorEastAsia" w:eastAsiaTheme="minorEastAsia" w:cstheme="minorEastAsia"/>
                <w:b w:val="0"/>
                <w:i w:val="0"/>
                <w:caps w:val="0"/>
                <w:color w:val="auto"/>
                <w:spacing w:val="0"/>
                <w:w w:val="100"/>
                <w:szCs w:val="21"/>
                <w:lang w:val="en-US" w:eastAsia="zh-CN"/>
              </w:rPr>
              <w:t>或参与的文体类项目获奖证书等佐证材料</w:t>
            </w:r>
            <w:r>
              <w:rPr>
                <w:rStyle w:val="38"/>
                <w:rFonts w:hint="eastAsia" w:asciiTheme="minorEastAsia" w:hAnsiTheme="minorEastAsia" w:eastAsiaTheme="minorEastAsia" w:cstheme="minorEastAsia"/>
                <w:b w:val="0"/>
                <w:i w:val="0"/>
                <w:caps w:val="0"/>
                <w:color w:val="auto"/>
                <w:spacing w:val="0"/>
                <w:w w:val="100"/>
                <w:szCs w:val="21"/>
              </w:rPr>
              <w:t>，无证明材料或无法判断是否得分的材料，一律做不得分处理；如供应商为新成立且成立时间不足一个月可提供情况说明或证明材料视为符合社保要求。</w:t>
            </w:r>
          </w:p>
        </w:tc>
        <w:tc>
          <w:tcPr>
            <w:tcW w:w="289"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62" w:type="pct"/>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1"/>
                <w:szCs w:val="21"/>
              </w:rPr>
            </w:pP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8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outlineLvl w:val="9"/>
              <w:rPr>
                <w:rFonts w:hint="eastAsia" w:ascii="宋体" w:hAnsi="宋体" w:eastAsia="宋体"/>
                <w:color w:val="auto"/>
                <w:szCs w:val="21"/>
                <w:lang w:eastAsia="zh-CN"/>
              </w:rPr>
            </w:pPr>
            <w:r>
              <w:rPr>
                <w:rFonts w:hint="eastAsia" w:ascii="宋体" w:hAnsi="宋体" w:eastAsia="宋体"/>
                <w:color w:val="auto"/>
                <w:szCs w:val="21"/>
                <w:lang w:eastAsia="zh-CN"/>
              </w:rPr>
              <w:t>诚信</w:t>
            </w:r>
          </w:p>
        </w:tc>
        <w:tc>
          <w:tcPr>
            <w:tcW w:w="3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5</w:t>
            </w:r>
          </w:p>
        </w:tc>
        <w:tc>
          <w:tcPr>
            <w:tcW w:w="4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eastAsia="zh-CN"/>
              </w:rPr>
              <w:t>采购</w:t>
            </w:r>
            <w:r>
              <w:rPr>
                <w:rFonts w:hint="eastAsia" w:ascii="宋体" w:hAnsi="宋体" w:eastAsia="宋体" w:cs="宋体"/>
                <w:color w:val="auto"/>
                <w:sz w:val="21"/>
                <w:szCs w:val="21"/>
              </w:rPr>
              <w:t>小组打分</w:t>
            </w:r>
          </w:p>
        </w:tc>
        <w:tc>
          <w:tcPr>
            <w:tcW w:w="22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Style w:val="36"/>
                <w:rFonts w:hint="eastAsia" w:asciiTheme="minorEastAsia" w:hAnsiTheme="minorEastAsia" w:eastAsiaTheme="minorEastAsia" w:cstheme="minorEastAsia"/>
                <w:b w:val="0"/>
                <w:bCs w:val="0"/>
                <w:color w:val="auto"/>
                <w:sz w:val="21"/>
                <w:szCs w:val="21"/>
                <w:lang w:eastAsia="zh-CN"/>
              </w:rPr>
            </w:pPr>
            <w:r>
              <w:rPr>
                <w:rStyle w:val="36"/>
                <w:rFonts w:hint="eastAsia" w:asciiTheme="minorEastAsia" w:hAnsiTheme="minorEastAsia" w:eastAsiaTheme="minorEastAsia" w:cstheme="minorEastAsia"/>
                <w:b/>
                <w:bCs/>
                <w:color w:val="auto"/>
                <w:sz w:val="21"/>
                <w:szCs w:val="21"/>
                <w:lang w:eastAsia="zh-CN"/>
              </w:rPr>
              <w:t>评审标准：</w:t>
            </w:r>
            <w:r>
              <w:rPr>
                <w:rStyle w:val="36"/>
                <w:rFonts w:hint="eastAsia" w:asciiTheme="minorEastAsia" w:hAnsiTheme="minorEastAsia" w:eastAsiaTheme="minorEastAsia" w:cstheme="minorEastAsia"/>
                <w:b w:val="0"/>
                <w:bCs w:val="0"/>
                <w:color w:val="auto"/>
                <w:sz w:val="21"/>
                <w:szCs w:val="21"/>
              </w:rPr>
              <w:t>根据深圳市财政委员会</w:t>
            </w:r>
            <w:r>
              <w:rPr>
                <w:rStyle w:val="36"/>
                <w:rFonts w:hint="eastAsia" w:asciiTheme="minorEastAsia" w:hAnsiTheme="minorEastAsia" w:eastAsiaTheme="minorEastAsia" w:cstheme="minorEastAsia"/>
                <w:b w:val="0"/>
                <w:bCs w:val="0"/>
                <w:color w:val="auto"/>
                <w:sz w:val="21"/>
                <w:szCs w:val="21"/>
                <w:lang w:eastAsia="zh-CN"/>
              </w:rPr>
              <w:t>政府采购诚信管理</w:t>
            </w:r>
            <w:r>
              <w:rPr>
                <w:rStyle w:val="36"/>
                <w:rFonts w:hint="eastAsia" w:asciiTheme="minorEastAsia" w:hAnsiTheme="minorEastAsia" w:eastAsiaTheme="minorEastAsia" w:cstheme="minorEastAsia"/>
                <w:b w:val="0"/>
                <w:bCs w:val="0"/>
                <w:color w:val="auto"/>
                <w:sz w:val="21"/>
                <w:szCs w:val="21"/>
              </w:rPr>
              <w:t>相关规定，</w:t>
            </w:r>
            <w:r>
              <w:rPr>
                <w:rStyle w:val="36"/>
                <w:rFonts w:hint="eastAsia" w:asciiTheme="minorEastAsia" w:hAnsiTheme="minorEastAsia" w:eastAsiaTheme="minorEastAsia" w:cstheme="minorEastAsia"/>
                <w:b w:val="0"/>
                <w:bCs w:val="0"/>
                <w:color w:val="auto"/>
                <w:sz w:val="21"/>
                <w:szCs w:val="21"/>
                <w:lang w:eastAsia="zh-CN"/>
              </w:rPr>
              <w:t>对</w:t>
            </w:r>
            <w:r>
              <w:rPr>
                <w:rStyle w:val="36"/>
                <w:rFonts w:hint="eastAsia" w:asciiTheme="minorEastAsia" w:hAnsiTheme="minorEastAsia" w:eastAsiaTheme="minorEastAsia" w:cstheme="minorEastAsia"/>
                <w:b w:val="0"/>
                <w:bCs w:val="0"/>
                <w:color w:val="auto"/>
                <w:sz w:val="21"/>
                <w:szCs w:val="21"/>
              </w:rPr>
              <w:t>投标人</w:t>
            </w:r>
            <w:r>
              <w:rPr>
                <w:rStyle w:val="36"/>
                <w:rFonts w:hint="eastAsia" w:asciiTheme="minorEastAsia" w:hAnsiTheme="minorEastAsia" w:eastAsiaTheme="minorEastAsia" w:cstheme="minorEastAsia"/>
                <w:b w:val="0"/>
                <w:bCs w:val="0"/>
                <w:color w:val="auto"/>
                <w:sz w:val="21"/>
                <w:szCs w:val="21"/>
                <w:lang w:eastAsia="zh-CN"/>
              </w:rPr>
              <w:t>被记录诚信档案的情况进行评审（对于受过行政处罚供应商，行政处罚期满后，可参与政府采购活动，其诚信分不再扣减）。</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Style w:val="38"/>
                <w:rFonts w:hint="eastAsia" w:asciiTheme="minorEastAsia" w:hAnsiTheme="minorEastAsia" w:eastAsiaTheme="minorEastAsia" w:cstheme="minorEastAsia"/>
                <w:b w:val="0"/>
                <w:i w:val="0"/>
                <w:caps w:val="0"/>
                <w:color w:val="auto"/>
                <w:spacing w:val="0"/>
                <w:w w:val="100"/>
                <w:szCs w:val="21"/>
              </w:rPr>
            </w:pPr>
            <w:r>
              <w:rPr>
                <w:rStyle w:val="36"/>
                <w:rFonts w:hint="eastAsia" w:asciiTheme="minorEastAsia" w:hAnsiTheme="minorEastAsia" w:eastAsiaTheme="minorEastAsia" w:cstheme="minorEastAsia"/>
                <w:b/>
                <w:bCs/>
                <w:color w:val="auto"/>
                <w:sz w:val="21"/>
                <w:szCs w:val="21"/>
                <w:lang w:eastAsia="zh-CN"/>
              </w:rPr>
              <w:t>证明文件：</w:t>
            </w:r>
            <w:r>
              <w:rPr>
                <w:rStyle w:val="36"/>
                <w:rFonts w:hint="eastAsia" w:asciiTheme="minorEastAsia" w:hAnsiTheme="minorEastAsia" w:eastAsiaTheme="minorEastAsia" w:cstheme="minorEastAsia"/>
                <w:b w:val="0"/>
                <w:color w:val="auto"/>
                <w:sz w:val="21"/>
                <w:szCs w:val="21"/>
                <w:lang w:eastAsia="zh-CN"/>
              </w:rPr>
              <w:t>需提供《诚信承诺函》，如若投标人承诺与实际情况不相符，将按照虚假投标的情况报相关主管部门处理，承诺函应加盖投标人公章。</w:t>
            </w:r>
          </w:p>
        </w:tc>
        <w:tc>
          <w:tcPr>
            <w:tcW w:w="289"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1"/>
                <w:szCs w:val="21"/>
              </w:rPr>
            </w:pPr>
          </w:p>
        </w:tc>
      </w:tr>
    </w:tbl>
    <w:p>
      <w:pPr>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rPr>
        <w:t>五、商务需求</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项目预算</w:t>
      </w:r>
    </w:p>
    <w:p>
      <w:pPr>
        <w:pStyle w:val="23"/>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仿宋_GB2312" w:hAnsi="仿宋" w:eastAsia="仿宋_GB2312" w:cs="仿宋"/>
          <w:color w:val="auto"/>
          <w:kern w:val="2"/>
          <w:sz w:val="32"/>
          <w:szCs w:val="32"/>
          <w:lang w:val="en-US" w:eastAsia="zh-CN" w:bidi="ar-SA"/>
        </w:rPr>
      </w:pPr>
      <w:r>
        <w:rPr>
          <w:rFonts w:hint="default" w:ascii="仿宋_GB2312" w:hAnsi="仿宋" w:eastAsia="仿宋_GB2312" w:cs="仿宋"/>
          <w:color w:val="auto"/>
          <w:kern w:val="2"/>
          <w:sz w:val="32"/>
          <w:szCs w:val="32"/>
          <w:lang w:val="en-US" w:eastAsia="zh-CN" w:bidi="ar-SA"/>
        </w:rPr>
        <w:t>该项目预算</w:t>
      </w:r>
      <w:r>
        <w:rPr>
          <w:rFonts w:hint="eastAsia" w:ascii="仿宋_GB2312" w:hAnsi="仿宋" w:eastAsia="仿宋_GB2312" w:cs="仿宋"/>
          <w:color w:val="auto"/>
          <w:kern w:val="2"/>
          <w:sz w:val="32"/>
          <w:szCs w:val="32"/>
          <w:lang w:val="en-US" w:eastAsia="zh-CN" w:bidi="ar-SA"/>
        </w:rPr>
        <w:t>总价为68万</w:t>
      </w:r>
      <w:r>
        <w:rPr>
          <w:rFonts w:hint="default" w:ascii="仿宋_GB2312" w:hAnsi="仿宋" w:eastAsia="仿宋_GB2312" w:cs="仿宋"/>
          <w:color w:val="auto"/>
          <w:kern w:val="2"/>
          <w:sz w:val="32"/>
          <w:szCs w:val="32"/>
          <w:lang w:val="en-US" w:eastAsia="zh-CN" w:bidi="ar-SA"/>
        </w:rPr>
        <w:t>元</w:t>
      </w:r>
      <w:r>
        <w:rPr>
          <w:rFonts w:hint="eastAsia" w:ascii="仿宋_GB2312" w:hAnsi="仿宋" w:eastAsia="仿宋_GB2312" w:cs="仿宋"/>
          <w:color w:val="auto"/>
          <w:kern w:val="2"/>
          <w:sz w:val="32"/>
          <w:szCs w:val="32"/>
          <w:lang w:val="en-US" w:eastAsia="zh-CN" w:bidi="ar-SA"/>
        </w:rPr>
        <w:t>以内。</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color w:val="auto"/>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）服务期</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服务周期一年，以合同约定的周期为准。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 w:eastAsia="仿宋_GB2312" w:cs="仿宋"/>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）服务地点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hint="default" w:ascii="仿宋_GB2312" w:hAnsi="仿宋" w:eastAsia="仿宋_GB2312" w:cs="仿宋"/>
          <w:color w:val="auto"/>
          <w:kern w:val="2"/>
          <w:sz w:val="32"/>
          <w:szCs w:val="32"/>
          <w:lang w:val="en-US" w:eastAsia="zh-CN" w:bidi="ar-SA"/>
        </w:rPr>
      </w:pPr>
      <w:r>
        <w:rPr>
          <w:rFonts w:hint="default" w:ascii="仿宋_GB2312" w:hAnsi="仿宋" w:eastAsia="仿宋_GB2312" w:cs="仿宋"/>
          <w:color w:val="auto"/>
          <w:kern w:val="2"/>
          <w:sz w:val="32"/>
          <w:szCs w:val="32"/>
          <w:lang w:val="en-US" w:eastAsia="zh-CN" w:bidi="ar-SA"/>
        </w:rPr>
        <w:t>坪山街道</w:t>
      </w:r>
      <w:r>
        <w:rPr>
          <w:rFonts w:hint="eastAsia" w:ascii="仿宋_GB2312" w:hAnsi="仿宋" w:eastAsia="仿宋_GB2312" w:cs="仿宋"/>
          <w:color w:val="auto"/>
          <w:kern w:val="2"/>
          <w:sz w:val="32"/>
          <w:szCs w:val="32"/>
          <w:lang w:val="en-US" w:eastAsia="zh-CN" w:bidi="ar-SA"/>
        </w:rPr>
        <w:t>（</w:t>
      </w:r>
      <w:r>
        <w:rPr>
          <w:rFonts w:hint="default" w:ascii="仿宋_GB2312" w:hAnsi="仿宋" w:eastAsia="仿宋_GB2312" w:cs="仿宋"/>
          <w:color w:val="auto"/>
          <w:kern w:val="2"/>
          <w:sz w:val="32"/>
          <w:szCs w:val="32"/>
          <w:lang w:val="en" w:eastAsia="zh-CN" w:bidi="ar-SA"/>
        </w:rPr>
        <w:t>新</w:t>
      </w:r>
      <w:r>
        <w:rPr>
          <w:rFonts w:hint="eastAsia" w:ascii="仿宋_GB2312" w:hAnsi="仿宋" w:eastAsia="仿宋_GB2312" w:cs="仿宋"/>
          <w:color w:val="auto"/>
          <w:kern w:val="2"/>
          <w:sz w:val="32"/>
          <w:szCs w:val="32"/>
          <w:lang w:val="en-US" w:eastAsia="zh-CN" w:bidi="ar-SA"/>
        </w:rPr>
        <w:t>和社区）公共文化服务中心（</w:t>
      </w:r>
      <w:r>
        <w:rPr>
          <w:rFonts w:hint="default" w:ascii="仿宋_GB2312" w:hAnsi="仿宋" w:eastAsia="仿宋_GB2312" w:cs="仿宋"/>
          <w:color w:val="auto"/>
          <w:kern w:val="2"/>
          <w:sz w:val="32"/>
          <w:szCs w:val="32"/>
          <w:lang w:val="en-US" w:eastAsia="zh-CN" w:bidi="ar-SA"/>
        </w:rPr>
        <w:t>深圳市坪山区</w:t>
      </w:r>
      <w:r>
        <w:rPr>
          <w:rFonts w:hint="eastAsia" w:ascii="仿宋_GB2312" w:hAnsi="仿宋" w:eastAsia="仿宋_GB2312" w:cs="仿宋"/>
          <w:color w:val="auto"/>
          <w:kern w:val="2"/>
          <w:sz w:val="32"/>
          <w:szCs w:val="32"/>
          <w:lang w:val="en-US" w:eastAsia="zh-CN" w:bidi="ar-SA"/>
        </w:rPr>
        <w:t>行政九路大东城33栋1-3楼）和坪山街道（六和城）公共文化服务中心（六和城G座4-5楼）。</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ascii="仿宋_GB2312" w:hAnsi="仿宋" w:eastAsia="仿宋_GB2312" w:cs="仿宋"/>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rPr>
        <w:t>）报价要求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rPr>
        <w:t>1.本项目服务费采用包干制，应包括服务成本、法定税费和企业的利润。由投标供应商根据采购</w:t>
      </w:r>
      <w:r>
        <w:rPr>
          <w:rFonts w:hint="eastAsia" w:ascii="仿宋_GB2312" w:hAnsi="仿宋" w:eastAsia="仿宋_GB2312" w:cs="仿宋"/>
          <w:color w:val="auto"/>
          <w:sz w:val="32"/>
          <w:szCs w:val="32"/>
          <w:lang w:eastAsia="zh-CN"/>
        </w:rPr>
        <w:t>需求</w:t>
      </w:r>
      <w:r>
        <w:rPr>
          <w:rFonts w:hint="eastAsia" w:ascii="仿宋_GB2312" w:hAnsi="仿宋" w:eastAsia="仿宋_GB2312" w:cs="仿宋"/>
          <w:color w:val="auto"/>
          <w:sz w:val="32"/>
          <w:szCs w:val="32"/>
        </w:rPr>
        <w:t>文件所提供的资料自行测算投标报价；一经中标，报价总价作为中标供应商与采购</w:t>
      </w:r>
      <w:r>
        <w:rPr>
          <w:rFonts w:hint="eastAsia" w:ascii="仿宋_GB2312" w:hAnsi="仿宋" w:eastAsia="仿宋_GB2312" w:cs="仿宋"/>
          <w:color w:val="auto"/>
          <w:sz w:val="32"/>
          <w:szCs w:val="32"/>
          <w:lang w:eastAsia="zh-CN"/>
        </w:rPr>
        <w:t>单位</w:t>
      </w:r>
      <w:r>
        <w:rPr>
          <w:rFonts w:hint="eastAsia" w:ascii="仿宋_GB2312" w:hAnsi="仿宋" w:eastAsia="仿宋_GB2312" w:cs="仿宋"/>
          <w:color w:val="auto"/>
          <w:sz w:val="32"/>
          <w:szCs w:val="32"/>
        </w:rPr>
        <w:t>签定的合同金额，合同期限内不做调整。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rPr>
        <w:t>2.投标供应商应当根据本企业的成本自行决定报价，但不得以低于其企业成本的报价投标。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rPr>
        <w:t>3.投标供应商的报价不得超过项目预算金额。</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rPr>
        <w:t>4.投标供应商的报价，应当是本项目采购范围和采购</w:t>
      </w:r>
      <w:r>
        <w:rPr>
          <w:rFonts w:hint="eastAsia" w:ascii="仿宋_GB2312" w:hAnsi="仿宋" w:eastAsia="仿宋_GB2312" w:cs="仿宋"/>
          <w:color w:val="auto"/>
          <w:sz w:val="32"/>
          <w:szCs w:val="32"/>
          <w:lang w:eastAsia="zh-CN"/>
        </w:rPr>
        <w:t>需求</w:t>
      </w:r>
      <w:r>
        <w:rPr>
          <w:rFonts w:hint="eastAsia" w:ascii="仿宋_GB2312" w:hAnsi="仿宋" w:eastAsia="仿宋_GB2312" w:cs="仿宋"/>
          <w:color w:val="auto"/>
          <w:sz w:val="32"/>
          <w:szCs w:val="32"/>
        </w:rPr>
        <w:t>文件上所列的各项内容中所述的全部，不得以任何理由予以重复。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rPr>
        <w:t>5.除非采购</w:t>
      </w:r>
      <w:r>
        <w:rPr>
          <w:rFonts w:hint="eastAsia" w:ascii="仿宋_GB2312" w:hAnsi="仿宋" w:eastAsia="仿宋_GB2312" w:cs="仿宋"/>
          <w:color w:val="auto"/>
          <w:sz w:val="32"/>
          <w:szCs w:val="32"/>
          <w:lang w:eastAsia="zh-CN"/>
        </w:rPr>
        <w:t>单位</w:t>
      </w:r>
      <w:r>
        <w:rPr>
          <w:rFonts w:hint="eastAsia" w:ascii="仿宋_GB2312" w:hAnsi="仿宋" w:eastAsia="仿宋_GB2312" w:cs="仿宋"/>
          <w:color w:val="auto"/>
          <w:sz w:val="32"/>
          <w:szCs w:val="32"/>
        </w:rPr>
        <w:t>通过修改采购</w:t>
      </w:r>
      <w:r>
        <w:rPr>
          <w:rFonts w:hint="eastAsia" w:ascii="仿宋_GB2312" w:hAnsi="仿宋" w:eastAsia="仿宋_GB2312" w:cs="仿宋"/>
          <w:color w:val="auto"/>
          <w:sz w:val="32"/>
          <w:szCs w:val="32"/>
          <w:lang w:eastAsia="zh-CN"/>
        </w:rPr>
        <w:t>需求</w:t>
      </w:r>
      <w:r>
        <w:rPr>
          <w:rFonts w:hint="eastAsia" w:ascii="仿宋_GB2312" w:hAnsi="仿宋" w:eastAsia="仿宋_GB2312" w:cs="仿宋"/>
          <w:color w:val="auto"/>
          <w:sz w:val="32"/>
          <w:szCs w:val="32"/>
        </w:rPr>
        <w:t>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6</w:t>
      </w:r>
      <w:r>
        <w:rPr>
          <w:rFonts w:hint="eastAsia" w:ascii="仿宋_GB2312" w:hAnsi="仿宋" w:eastAsia="仿宋_GB2312" w:cs="仿宋"/>
          <w:color w:val="auto"/>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 w:eastAsia="仿宋_GB2312" w:cs="仿宋"/>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rPr>
        <w:t>）付款方式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项目资金分期支付，以合同约定的方式为准。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 w:eastAsia="仿宋_GB2312" w:cs="仿宋"/>
          <w:color w:val="auto"/>
          <w:sz w:val="32"/>
          <w:szCs w:val="32"/>
          <w:lang w:eastAsia="zh-CN"/>
        </w:rPr>
        <w:t>每期付款，经采购单位查验认可中标供应商履约行为及结果符合合同约定后，在合同约定的付款日前，中标供</w:t>
      </w:r>
      <w:r>
        <w:rPr>
          <w:rFonts w:hint="eastAsia" w:ascii="仿宋_GB2312" w:hAnsi="仿宋_GB2312" w:eastAsia="仿宋_GB2312" w:cs="仿宋_GB2312"/>
          <w:color w:val="auto"/>
          <w:sz w:val="32"/>
          <w:szCs w:val="32"/>
          <w:lang w:eastAsia="zh-CN"/>
        </w:rPr>
        <w:t>应商至少提前</w:t>
      </w:r>
      <w:r>
        <w:rPr>
          <w:rFonts w:hint="eastAsia" w:ascii="仿宋_GB2312" w:hAnsi="仿宋_GB2312" w:eastAsia="仿宋_GB2312" w:cs="仿宋_GB2312"/>
          <w:color w:val="auto"/>
          <w:sz w:val="32"/>
          <w:szCs w:val="32"/>
          <w:lang w:val="en-US" w:eastAsia="zh-CN"/>
        </w:rPr>
        <w:t>5个工作日向采购单位提供等额合法发票（开票信息须经采购单位同意，相应税费由中标</w:t>
      </w: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lang w:val="en-US" w:eastAsia="zh-CN"/>
        </w:rPr>
        <w:t>承担），由采购单位内设部门按照政府财政支付流程完成相应的付款审批程序，并在审批完成后5个工作日内将相应价款支付至中标</w:t>
      </w: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lang w:val="en-US" w:eastAsia="zh-CN"/>
        </w:rPr>
        <w:t>指定收款账户。因采购单位内部审批流程导致采购单位未能按照合同其他条款约定的期限付款的，免除采购单位此项逾期付款的违约责任。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 w:eastAsia="仿宋_GB2312" w:cs="仿宋"/>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六</w:t>
      </w:r>
      <w:r>
        <w:rPr>
          <w:rFonts w:hint="eastAsia" w:ascii="楷体_GB2312" w:hAnsi="楷体_GB2312" w:eastAsia="楷体_GB2312" w:cs="楷体_GB2312"/>
          <w:color w:val="auto"/>
          <w:sz w:val="32"/>
          <w:szCs w:val="32"/>
        </w:rPr>
        <w:t>）履约担保金</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本项目无需提供保证金。</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 w:eastAsia="仿宋_GB2312" w:cs="仿宋"/>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七</w:t>
      </w:r>
      <w:r>
        <w:rPr>
          <w:rFonts w:hint="eastAsia" w:ascii="楷体_GB2312" w:hAnsi="楷体_GB2312" w:eastAsia="楷体_GB2312" w:cs="楷体_GB2312"/>
          <w:color w:val="auto"/>
          <w:sz w:val="32"/>
          <w:szCs w:val="32"/>
        </w:rPr>
        <w:t>）违约责任</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.采购单位</w:t>
      </w:r>
      <w:r>
        <w:rPr>
          <w:rFonts w:hint="eastAsia" w:ascii="仿宋_GB2312" w:hAnsi="仿宋_GB2312" w:eastAsia="仿宋_GB2312" w:cs="仿宋_GB2312"/>
          <w:color w:val="auto"/>
          <w:sz w:val="32"/>
          <w:szCs w:val="32"/>
          <w:highlight w:val="none"/>
        </w:rPr>
        <w:t>应及时、足额支付协议款项，若延迟支付，则每日按合同总价的万分之</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color w:val="auto"/>
          <w:sz w:val="32"/>
          <w:szCs w:val="32"/>
          <w:highlight w:val="none"/>
          <w:lang w:eastAsia="zh-CN"/>
        </w:rPr>
        <w:t>中标</w:t>
      </w: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highlight w:val="none"/>
        </w:rPr>
        <w:t>支付违约金（违约金总额不得超过合同总价的百分之三十）。合同期限内，</w:t>
      </w:r>
      <w:r>
        <w:rPr>
          <w:rFonts w:hint="eastAsia" w:ascii="仿宋_GB2312" w:hAnsi="仿宋_GB2312" w:eastAsia="仿宋_GB2312" w:cs="仿宋_GB2312"/>
          <w:color w:val="auto"/>
          <w:sz w:val="32"/>
          <w:szCs w:val="32"/>
          <w:highlight w:val="none"/>
          <w:lang w:val="en-US" w:eastAsia="zh-CN"/>
        </w:rPr>
        <w:t>采购单位</w:t>
      </w:r>
      <w:r>
        <w:rPr>
          <w:rFonts w:hint="eastAsia" w:ascii="仿宋_GB2312" w:hAnsi="仿宋_GB2312" w:eastAsia="仿宋_GB2312" w:cs="仿宋_GB2312"/>
          <w:color w:val="auto"/>
          <w:sz w:val="32"/>
          <w:szCs w:val="32"/>
          <w:highlight w:val="none"/>
        </w:rPr>
        <w:t>延迟一个月未向</w:t>
      </w:r>
      <w:r>
        <w:rPr>
          <w:rFonts w:hint="eastAsia" w:ascii="仿宋_GB2312" w:hAnsi="仿宋_GB2312" w:eastAsia="仿宋_GB2312" w:cs="仿宋_GB2312"/>
          <w:color w:val="auto"/>
          <w:sz w:val="32"/>
          <w:szCs w:val="32"/>
          <w:highlight w:val="none"/>
          <w:lang w:eastAsia="zh-CN"/>
        </w:rPr>
        <w:t>中标</w:t>
      </w: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highlight w:val="none"/>
        </w:rPr>
        <w:t>支付款项时，</w:t>
      </w:r>
      <w:r>
        <w:rPr>
          <w:rFonts w:hint="eastAsia" w:ascii="仿宋_GB2312" w:hAnsi="仿宋_GB2312" w:eastAsia="仿宋_GB2312" w:cs="仿宋_GB2312"/>
          <w:color w:val="auto"/>
          <w:sz w:val="32"/>
          <w:szCs w:val="32"/>
          <w:highlight w:val="none"/>
          <w:lang w:eastAsia="zh-CN"/>
        </w:rPr>
        <w:t>中标</w:t>
      </w: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highlight w:val="none"/>
        </w:rPr>
        <w:t>有权解除合同，并有权要求</w:t>
      </w:r>
      <w:r>
        <w:rPr>
          <w:rFonts w:hint="eastAsia" w:ascii="仿宋_GB2312" w:hAnsi="仿宋_GB2312" w:eastAsia="仿宋_GB2312" w:cs="仿宋_GB2312"/>
          <w:color w:val="auto"/>
          <w:sz w:val="32"/>
          <w:szCs w:val="32"/>
          <w:highlight w:val="none"/>
          <w:lang w:val="en-US" w:eastAsia="zh-CN"/>
        </w:rPr>
        <w:t>采购单位</w:t>
      </w:r>
      <w:r>
        <w:rPr>
          <w:rFonts w:hint="eastAsia" w:ascii="仿宋_GB2312" w:hAnsi="仿宋_GB2312" w:eastAsia="仿宋_GB2312" w:cs="仿宋_GB2312"/>
          <w:color w:val="auto"/>
          <w:sz w:val="32"/>
          <w:szCs w:val="32"/>
          <w:highlight w:val="none"/>
        </w:rPr>
        <w:t>按照本条款约定承担违约责任。</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中标</w:t>
      </w: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highlight w:val="none"/>
        </w:rPr>
        <w:t>应及时、按要求为</w:t>
      </w:r>
      <w:r>
        <w:rPr>
          <w:rFonts w:hint="eastAsia" w:ascii="仿宋_GB2312" w:hAnsi="仿宋_GB2312" w:eastAsia="仿宋_GB2312" w:cs="仿宋_GB2312"/>
          <w:color w:val="auto"/>
          <w:sz w:val="32"/>
          <w:szCs w:val="32"/>
          <w:highlight w:val="none"/>
          <w:lang w:val="en-US" w:eastAsia="zh-CN"/>
        </w:rPr>
        <w:t>采购单位</w:t>
      </w:r>
      <w:r>
        <w:rPr>
          <w:rFonts w:hint="eastAsia" w:ascii="仿宋_GB2312" w:hAnsi="仿宋_GB2312" w:eastAsia="仿宋_GB2312" w:cs="仿宋_GB2312"/>
          <w:color w:val="auto"/>
          <w:sz w:val="32"/>
          <w:szCs w:val="32"/>
          <w:highlight w:val="none"/>
        </w:rPr>
        <w:t>完成服务项目内容及业务管理指标，若相关业务管理指标不达标，每项按合同总价的</w:t>
      </w:r>
      <w:r>
        <w:rPr>
          <w:rFonts w:hint="eastAsia" w:ascii="仿宋_GB2312" w:hAnsi="仿宋_GB2312" w:eastAsia="仿宋_GB2312" w:cs="仿宋_GB2312"/>
          <w:color w:val="auto"/>
          <w:sz w:val="32"/>
          <w:szCs w:val="32"/>
          <w:highlight w:val="none"/>
          <w:lang w:eastAsia="zh-CN"/>
        </w:rPr>
        <w:t>百分之三</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color w:val="auto"/>
          <w:sz w:val="32"/>
          <w:szCs w:val="32"/>
          <w:highlight w:val="none"/>
          <w:lang w:eastAsia="zh-CN"/>
        </w:rPr>
        <w:t>采购单位</w:t>
      </w:r>
      <w:r>
        <w:rPr>
          <w:rFonts w:hint="eastAsia" w:ascii="仿宋_GB2312" w:hAnsi="仿宋_GB2312" w:eastAsia="仿宋_GB2312" w:cs="仿宋_GB2312"/>
          <w:color w:val="auto"/>
          <w:sz w:val="32"/>
          <w:szCs w:val="32"/>
          <w:highlight w:val="none"/>
        </w:rPr>
        <w:t>支付违约金（违约金总额不得超过合同总价的百分之三十）。合同期限内，</w:t>
      </w:r>
      <w:r>
        <w:rPr>
          <w:rFonts w:hint="eastAsia" w:ascii="仿宋_GB2312" w:hAnsi="仿宋_GB2312" w:eastAsia="仿宋_GB2312" w:cs="仿宋_GB2312"/>
          <w:color w:val="auto"/>
          <w:sz w:val="32"/>
          <w:szCs w:val="32"/>
          <w:highlight w:val="none"/>
          <w:lang w:eastAsia="zh-CN"/>
        </w:rPr>
        <w:t>中标</w:t>
      </w: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highlight w:val="none"/>
        </w:rPr>
        <w:t>累计业务指标不达标</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项以上时，</w:t>
      </w:r>
      <w:r>
        <w:rPr>
          <w:rFonts w:hint="eastAsia" w:ascii="仿宋_GB2312" w:hAnsi="仿宋_GB2312" w:eastAsia="仿宋_GB2312" w:cs="仿宋_GB2312"/>
          <w:color w:val="auto"/>
          <w:sz w:val="32"/>
          <w:szCs w:val="32"/>
          <w:highlight w:val="none"/>
          <w:lang w:val="en-US" w:eastAsia="zh-CN"/>
        </w:rPr>
        <w:t>采购单位</w:t>
      </w:r>
      <w:r>
        <w:rPr>
          <w:rFonts w:hint="eastAsia" w:ascii="仿宋_GB2312" w:hAnsi="仿宋_GB2312" w:eastAsia="仿宋_GB2312" w:cs="仿宋_GB2312"/>
          <w:color w:val="auto"/>
          <w:sz w:val="32"/>
          <w:szCs w:val="32"/>
          <w:highlight w:val="none"/>
        </w:rPr>
        <w:t>有权解除合同，并有权要求</w:t>
      </w:r>
      <w:r>
        <w:rPr>
          <w:rFonts w:hint="eastAsia" w:ascii="仿宋_GB2312" w:hAnsi="仿宋_GB2312" w:eastAsia="仿宋_GB2312" w:cs="仿宋_GB2312"/>
          <w:color w:val="auto"/>
          <w:sz w:val="32"/>
          <w:szCs w:val="32"/>
          <w:highlight w:val="none"/>
          <w:lang w:eastAsia="zh-CN"/>
        </w:rPr>
        <w:t>中标</w:t>
      </w: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highlight w:val="none"/>
        </w:rPr>
        <w:t>按照本条款约定承担违约责任。</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因</w:t>
      </w:r>
      <w:r>
        <w:rPr>
          <w:rFonts w:hint="eastAsia" w:ascii="仿宋_GB2312" w:hAnsi="仿宋_GB2312" w:eastAsia="仿宋_GB2312" w:cs="仿宋_GB2312"/>
          <w:color w:val="auto"/>
          <w:sz w:val="32"/>
          <w:szCs w:val="32"/>
          <w:highlight w:val="none"/>
          <w:lang w:eastAsia="zh-CN"/>
        </w:rPr>
        <w:t>中标</w:t>
      </w: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highlight w:val="none"/>
        </w:rPr>
        <w:t>项目服务人员提供服务而造成</w:t>
      </w:r>
      <w:r>
        <w:rPr>
          <w:rFonts w:hint="eastAsia" w:ascii="仿宋_GB2312" w:hAnsi="仿宋_GB2312" w:eastAsia="仿宋_GB2312" w:cs="仿宋_GB2312"/>
          <w:color w:val="auto"/>
          <w:sz w:val="32"/>
          <w:szCs w:val="32"/>
          <w:highlight w:val="none"/>
          <w:lang w:val="en-US" w:eastAsia="zh-CN"/>
        </w:rPr>
        <w:t>采购单位</w:t>
      </w:r>
      <w:r>
        <w:rPr>
          <w:rFonts w:hint="eastAsia" w:ascii="仿宋_GB2312" w:hAnsi="仿宋_GB2312" w:eastAsia="仿宋_GB2312" w:cs="仿宋_GB2312"/>
          <w:color w:val="auto"/>
          <w:sz w:val="32"/>
          <w:szCs w:val="32"/>
          <w:highlight w:val="none"/>
        </w:rPr>
        <w:t>经济、名誉等损失的，</w:t>
      </w:r>
      <w:r>
        <w:rPr>
          <w:rFonts w:hint="eastAsia" w:ascii="仿宋_GB2312" w:hAnsi="仿宋_GB2312" w:eastAsia="仿宋_GB2312" w:cs="仿宋_GB2312"/>
          <w:color w:val="auto"/>
          <w:sz w:val="32"/>
          <w:szCs w:val="32"/>
          <w:highlight w:val="none"/>
          <w:lang w:val="en-US" w:eastAsia="zh-CN"/>
        </w:rPr>
        <w:t>采购单位</w:t>
      </w:r>
      <w:r>
        <w:rPr>
          <w:rFonts w:hint="eastAsia" w:ascii="仿宋_GB2312" w:hAnsi="仿宋_GB2312" w:eastAsia="仿宋_GB2312" w:cs="仿宋_GB2312"/>
          <w:color w:val="auto"/>
          <w:sz w:val="32"/>
          <w:szCs w:val="32"/>
          <w:highlight w:val="none"/>
        </w:rPr>
        <w:t>有权解除本合同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由于服务人员的过错原因造成</w:t>
      </w:r>
      <w:r>
        <w:rPr>
          <w:rFonts w:hint="eastAsia" w:ascii="仿宋_GB2312" w:hAnsi="仿宋_GB2312" w:eastAsia="仿宋_GB2312" w:cs="仿宋_GB2312"/>
          <w:color w:val="auto"/>
          <w:sz w:val="32"/>
          <w:szCs w:val="32"/>
          <w:highlight w:val="none"/>
          <w:lang w:val="en-US" w:eastAsia="zh-CN"/>
        </w:rPr>
        <w:t>采购单位</w:t>
      </w:r>
      <w:r>
        <w:rPr>
          <w:rFonts w:hint="eastAsia" w:ascii="仿宋_GB2312" w:hAnsi="仿宋_GB2312" w:eastAsia="仿宋_GB2312" w:cs="仿宋_GB2312"/>
          <w:color w:val="auto"/>
          <w:sz w:val="32"/>
          <w:szCs w:val="32"/>
          <w:highlight w:val="none"/>
        </w:rPr>
        <w:t>实际经济损失的，</w:t>
      </w:r>
      <w:r>
        <w:rPr>
          <w:rFonts w:hint="eastAsia" w:ascii="仿宋_GB2312" w:hAnsi="仿宋_GB2312" w:eastAsia="仿宋_GB2312" w:cs="仿宋_GB2312"/>
          <w:color w:val="auto"/>
          <w:sz w:val="32"/>
          <w:szCs w:val="32"/>
          <w:highlight w:val="none"/>
          <w:lang w:eastAsia="zh-CN"/>
        </w:rPr>
        <w:t>中标</w:t>
      </w: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highlight w:val="none"/>
        </w:rPr>
        <w:t>有义务按有关规定协助</w:t>
      </w:r>
      <w:r>
        <w:rPr>
          <w:rFonts w:hint="eastAsia" w:ascii="仿宋_GB2312" w:hAnsi="仿宋_GB2312" w:eastAsia="仿宋_GB2312" w:cs="仿宋_GB2312"/>
          <w:color w:val="auto"/>
          <w:sz w:val="32"/>
          <w:szCs w:val="32"/>
          <w:highlight w:val="none"/>
          <w:lang w:val="en-US" w:eastAsia="zh-CN"/>
        </w:rPr>
        <w:t>采购单位</w:t>
      </w:r>
      <w:r>
        <w:rPr>
          <w:rFonts w:hint="eastAsia" w:ascii="仿宋_GB2312" w:hAnsi="仿宋_GB2312" w:eastAsia="仿宋_GB2312" w:cs="仿宋_GB2312"/>
          <w:color w:val="auto"/>
          <w:sz w:val="32"/>
          <w:szCs w:val="32"/>
          <w:highlight w:val="none"/>
        </w:rPr>
        <w:t>向造成损失的员工追偿，服务人员违法犯罪并造成</w:t>
      </w:r>
      <w:r>
        <w:rPr>
          <w:rFonts w:hint="eastAsia" w:ascii="仿宋_GB2312" w:hAnsi="仿宋_GB2312" w:eastAsia="仿宋_GB2312" w:cs="仿宋_GB2312"/>
          <w:color w:val="auto"/>
          <w:sz w:val="32"/>
          <w:szCs w:val="32"/>
          <w:highlight w:val="none"/>
          <w:lang w:val="en-US" w:eastAsia="zh-CN"/>
        </w:rPr>
        <w:t>采购单位</w:t>
      </w:r>
      <w:r>
        <w:rPr>
          <w:rFonts w:hint="eastAsia" w:ascii="仿宋_GB2312" w:hAnsi="仿宋_GB2312" w:eastAsia="仿宋_GB2312" w:cs="仿宋_GB2312"/>
          <w:color w:val="auto"/>
          <w:sz w:val="32"/>
          <w:szCs w:val="32"/>
          <w:highlight w:val="none"/>
        </w:rPr>
        <w:t>损失的，应将员工移交司法机关处理。</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未经</w:t>
      </w:r>
      <w:r>
        <w:rPr>
          <w:rFonts w:hint="eastAsia" w:ascii="仿宋_GB2312" w:hAnsi="仿宋_GB2312" w:eastAsia="仿宋_GB2312" w:cs="仿宋_GB2312"/>
          <w:color w:val="auto"/>
          <w:sz w:val="32"/>
          <w:szCs w:val="32"/>
          <w:highlight w:val="none"/>
          <w:lang w:val="en-US" w:eastAsia="zh-CN"/>
        </w:rPr>
        <w:t>采购单位</w:t>
      </w:r>
      <w:r>
        <w:rPr>
          <w:rFonts w:hint="eastAsia" w:ascii="仿宋_GB2312" w:hAnsi="仿宋_GB2312" w:eastAsia="仿宋_GB2312" w:cs="仿宋_GB2312"/>
          <w:color w:val="auto"/>
          <w:sz w:val="32"/>
          <w:szCs w:val="32"/>
          <w:highlight w:val="none"/>
        </w:rPr>
        <w:t>同意，</w:t>
      </w:r>
      <w:r>
        <w:rPr>
          <w:rFonts w:hint="eastAsia" w:ascii="仿宋_GB2312" w:hAnsi="仿宋_GB2312" w:eastAsia="仿宋_GB2312" w:cs="仿宋_GB2312"/>
          <w:color w:val="auto"/>
          <w:sz w:val="32"/>
          <w:szCs w:val="32"/>
          <w:highlight w:val="none"/>
          <w:lang w:eastAsia="zh-CN"/>
        </w:rPr>
        <w:t>中标</w:t>
      </w: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highlight w:val="none"/>
        </w:rPr>
        <w:t>擅自将服务项目的实施工作全部或部分转移给第三方的，</w:t>
      </w:r>
      <w:r>
        <w:rPr>
          <w:rFonts w:hint="eastAsia" w:ascii="仿宋_GB2312" w:hAnsi="仿宋_GB2312" w:eastAsia="仿宋_GB2312" w:cs="仿宋_GB2312"/>
          <w:color w:val="auto"/>
          <w:sz w:val="32"/>
          <w:szCs w:val="32"/>
          <w:highlight w:val="none"/>
          <w:lang w:val="en-US" w:eastAsia="zh-CN"/>
        </w:rPr>
        <w:t>采购单位</w:t>
      </w:r>
      <w:r>
        <w:rPr>
          <w:rFonts w:hint="eastAsia" w:ascii="仿宋_GB2312" w:hAnsi="仿宋_GB2312" w:eastAsia="仿宋_GB2312" w:cs="仿宋_GB2312"/>
          <w:color w:val="auto"/>
          <w:sz w:val="32"/>
          <w:szCs w:val="32"/>
          <w:highlight w:val="none"/>
        </w:rPr>
        <w:t>有权解除合同并要求</w:t>
      </w:r>
      <w:r>
        <w:rPr>
          <w:rFonts w:hint="eastAsia" w:ascii="仿宋_GB2312" w:hAnsi="仿宋_GB2312" w:eastAsia="仿宋_GB2312" w:cs="仿宋_GB2312"/>
          <w:color w:val="auto"/>
          <w:sz w:val="32"/>
          <w:szCs w:val="32"/>
          <w:highlight w:val="none"/>
          <w:lang w:eastAsia="zh-CN"/>
        </w:rPr>
        <w:t>中标</w:t>
      </w: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highlight w:val="none"/>
        </w:rPr>
        <w:t>按照合同总价的30%承担违约责任。</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5.本合同提前解除的，采购单位应付服务费按中标供应商已提供的实际服务情况进行结算；如属</w:t>
      </w:r>
      <w:r>
        <w:rPr>
          <w:rFonts w:hint="eastAsia" w:ascii="仿宋_GB2312" w:hAnsi="仿宋_GB2312" w:eastAsia="仿宋_GB2312" w:cs="仿宋_GB2312"/>
          <w:color w:val="auto"/>
          <w:sz w:val="32"/>
          <w:szCs w:val="32"/>
          <w:highlight w:val="none"/>
          <w:lang w:eastAsia="zh-CN"/>
        </w:rPr>
        <w:t>中标</w:t>
      </w: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highlight w:val="none"/>
          <w:lang w:val="en-US" w:eastAsia="zh-CN"/>
        </w:rPr>
        <w:t xml:space="preserve">违约的，采购单位将有权从应付服务费中直接扣减相应违约金。 </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textAlignment w:val="auto"/>
        <w:outlineLvl w:val="9"/>
        <w:rPr>
          <w:rFonts w:hint="eastAsia" w:ascii="楷体_GB2312" w:hAnsi="楷体_GB2312" w:eastAsia="楷体_GB2312" w:cs="楷体_GB2312"/>
          <w:b w:val="0"/>
          <w:bCs w:val="0"/>
          <w:color w:val="auto"/>
          <w:sz w:val="32"/>
          <w:szCs w:val="48"/>
        </w:rPr>
      </w:pPr>
      <w:r>
        <w:rPr>
          <w:rFonts w:hint="eastAsia" w:ascii="楷体_GB2312" w:hAnsi="楷体_GB2312" w:eastAsia="楷体_GB2312" w:cs="楷体_GB2312"/>
          <w:b w:val="0"/>
          <w:bCs w:val="0"/>
          <w:color w:val="auto"/>
          <w:sz w:val="32"/>
          <w:szCs w:val="48"/>
          <w:lang w:eastAsia="zh-CN"/>
        </w:rPr>
        <w:t>（</w:t>
      </w:r>
      <w:r>
        <w:rPr>
          <w:rFonts w:hint="eastAsia" w:ascii="楷体_GB2312" w:hAnsi="楷体_GB2312" w:eastAsia="楷体_GB2312" w:cs="楷体_GB2312"/>
          <w:b w:val="0"/>
          <w:bCs w:val="0"/>
          <w:color w:val="auto"/>
          <w:sz w:val="32"/>
          <w:szCs w:val="48"/>
          <w:lang w:val="en-US" w:eastAsia="zh-CN"/>
        </w:rPr>
        <w:t>八</w:t>
      </w:r>
      <w:r>
        <w:rPr>
          <w:rFonts w:hint="eastAsia" w:ascii="楷体_GB2312" w:hAnsi="楷体_GB2312" w:eastAsia="楷体_GB2312" w:cs="楷体_GB2312"/>
          <w:b w:val="0"/>
          <w:bCs w:val="0"/>
          <w:color w:val="auto"/>
          <w:sz w:val="32"/>
          <w:szCs w:val="48"/>
          <w:lang w:eastAsia="zh-CN"/>
        </w:rPr>
        <w:t>）</w:t>
      </w:r>
      <w:r>
        <w:rPr>
          <w:rFonts w:hint="eastAsia" w:ascii="楷体_GB2312" w:hAnsi="楷体_GB2312" w:eastAsia="楷体_GB2312" w:cs="楷体_GB2312"/>
          <w:b w:val="0"/>
          <w:bCs w:val="0"/>
          <w:color w:val="auto"/>
          <w:sz w:val="32"/>
          <w:szCs w:val="48"/>
        </w:rPr>
        <w:t>项目费用支出清单</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1.分项报价清单</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rPr>
        <w:t>名称：</w:t>
      </w:r>
      <w:r>
        <w:rPr>
          <w:rFonts w:hint="eastAsia" w:ascii="仿宋_GB2312" w:hAnsi="仿宋_GB2312" w:eastAsia="仿宋_GB2312" w:cs="仿宋_GB2312"/>
          <w:color w:val="auto"/>
          <w:sz w:val="32"/>
          <w:szCs w:val="32"/>
          <w:u w:val="single"/>
        </w:rPr>
        <w:t xml:space="preserve">                   </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435"/>
        <w:gridCol w:w="1220"/>
        <w:gridCol w:w="893"/>
        <w:gridCol w:w="4436"/>
        <w:gridCol w:w="859"/>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913" w:type="pct"/>
            <w:gridSpan w:val="2"/>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指标项目</w:t>
            </w:r>
          </w:p>
        </w:tc>
        <w:tc>
          <w:tcPr>
            <w:tcW w:w="493"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数量</w:t>
            </w:r>
          </w:p>
        </w:tc>
        <w:tc>
          <w:tcPr>
            <w:tcW w:w="2449"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服务说明</w:t>
            </w:r>
          </w:p>
        </w:tc>
        <w:tc>
          <w:tcPr>
            <w:tcW w:w="474"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金额（元）</w:t>
            </w:r>
          </w:p>
        </w:tc>
        <w:tc>
          <w:tcPr>
            <w:tcW w:w="343"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240" w:type="pct"/>
            <w:vMerge w:val="restar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平台打造与维护</w:t>
            </w:r>
          </w:p>
        </w:tc>
        <w:tc>
          <w:tcPr>
            <w:tcW w:w="673"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kern w:val="2"/>
                <w:sz w:val="24"/>
                <w:szCs w:val="24"/>
                <w:lang w:val="en-US" w:eastAsia="zh-CN" w:bidi="ar"/>
              </w:rPr>
            </w:pPr>
            <w:r>
              <w:rPr>
                <w:rFonts w:hint="eastAsia" w:ascii="仿宋_GB2312" w:hAnsi="仿宋_GB2312" w:eastAsia="仿宋_GB2312" w:cs="仿宋_GB2312"/>
                <w:sz w:val="24"/>
                <w:szCs w:val="24"/>
                <w:lang w:eastAsia="zh-CN" w:bidi="ar"/>
              </w:rPr>
              <w:t>平台打造与运维</w:t>
            </w:r>
          </w:p>
        </w:tc>
        <w:tc>
          <w:tcPr>
            <w:tcW w:w="493"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1项</w:t>
            </w:r>
          </w:p>
        </w:tc>
        <w:tc>
          <w:tcPr>
            <w:tcW w:w="2449"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1.持续深化打造群众文化社交服务平台，制定平台的宣传策略，明确品牌定位，塑造平台形象，提升平台的知名度和美誉度；</w:t>
            </w:r>
          </w:p>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val="en-US" w:eastAsia="zh-CN" w:bidi="ar"/>
              </w:rPr>
              <w:t>2.通过多渠道宣传平台的特色和优势，如区文化馆“文化坪山”公众号（视频号）、线下活动等。</w:t>
            </w:r>
          </w:p>
        </w:tc>
        <w:tc>
          <w:tcPr>
            <w:tcW w:w="474"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sz w:val="24"/>
                <w:szCs w:val="24"/>
                <w:lang w:val="en-US" w:eastAsia="zh-CN" w:bidi="ar"/>
              </w:rPr>
            </w:pPr>
          </w:p>
        </w:tc>
        <w:tc>
          <w:tcPr>
            <w:tcW w:w="343"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240"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eastAsia="zh-CN" w:bidi="ar"/>
              </w:rPr>
            </w:pPr>
          </w:p>
        </w:tc>
        <w:tc>
          <w:tcPr>
            <w:tcW w:w="673"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sz w:val="24"/>
                <w:szCs w:val="24"/>
                <w:lang w:eastAsia="zh-CN" w:bidi="ar"/>
              </w:rPr>
              <w:t>新特品牌构建</w:t>
            </w:r>
          </w:p>
        </w:tc>
        <w:tc>
          <w:tcPr>
            <w:tcW w:w="493"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1项</w:t>
            </w:r>
          </w:p>
        </w:tc>
        <w:tc>
          <w:tcPr>
            <w:tcW w:w="2449" w:type="pct"/>
            <w:noWrap w:val="0"/>
            <w:vAlign w:val="center"/>
          </w:tcPr>
          <w:p>
            <w:pPr>
              <w:pStyle w:val="7"/>
              <w:keepNext w:val="0"/>
              <w:keepLines w:val="0"/>
              <w:pageBreakBefore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color w:val="auto"/>
                <w:sz w:val="24"/>
                <w:szCs w:val="24"/>
                <w:lang w:val="en-US" w:eastAsia="zh-CN" w:bidi="ar"/>
              </w:rPr>
              <w:t>依托</w:t>
            </w:r>
            <w:r>
              <w:rPr>
                <w:rFonts w:hint="eastAsia" w:ascii="仿宋_GB2312" w:hAnsi="仿宋_GB2312" w:eastAsia="仿宋_GB2312" w:cs="仿宋_GB2312"/>
                <w:sz w:val="24"/>
                <w:szCs w:val="24"/>
                <w:lang w:val="en-US" w:eastAsia="zh-CN" w:bidi="ar"/>
              </w:rPr>
              <w:t>群众文化社交服务平台</w:t>
            </w:r>
            <w:r>
              <w:rPr>
                <w:rFonts w:hint="eastAsia" w:ascii="仿宋_GB2312" w:hAnsi="仿宋_GB2312" w:eastAsia="仿宋_GB2312" w:cs="仿宋_GB2312"/>
                <w:color w:val="auto"/>
                <w:sz w:val="24"/>
                <w:szCs w:val="24"/>
                <w:lang w:val="en-US" w:eastAsia="zh-CN" w:bidi="ar"/>
              </w:rPr>
              <w:t>，新增1个“文化四季”特色服务板块，开展阳春乐章、盛夏文韵、红实金秋、万象九冬4个服务内容。</w:t>
            </w:r>
          </w:p>
        </w:tc>
        <w:tc>
          <w:tcPr>
            <w:tcW w:w="474" w:type="pct"/>
            <w:noWrap w:val="0"/>
            <w:vAlign w:val="center"/>
          </w:tcPr>
          <w:p>
            <w:pPr>
              <w:pStyle w:val="7"/>
              <w:keepNext w:val="0"/>
              <w:keepLines w:val="0"/>
              <w:pageBreakBefore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sz w:val="24"/>
                <w:szCs w:val="24"/>
                <w:lang w:val="en-US" w:eastAsia="zh-CN" w:bidi="ar"/>
              </w:rPr>
            </w:pPr>
          </w:p>
        </w:tc>
        <w:tc>
          <w:tcPr>
            <w:tcW w:w="343" w:type="pct"/>
            <w:noWrap w:val="0"/>
            <w:vAlign w:val="center"/>
          </w:tcPr>
          <w:p>
            <w:pPr>
              <w:pStyle w:val="7"/>
              <w:keepNext w:val="0"/>
              <w:keepLines w:val="0"/>
              <w:pageBreakBefore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2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240"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eastAsia="zh-CN" w:bidi="ar"/>
              </w:rPr>
            </w:pPr>
          </w:p>
        </w:tc>
        <w:tc>
          <w:tcPr>
            <w:tcW w:w="673"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构建服务资源库</w:t>
            </w:r>
          </w:p>
        </w:tc>
        <w:tc>
          <w:tcPr>
            <w:tcW w:w="493" w:type="pct"/>
            <w:noWrap w:val="0"/>
            <w:vAlign w:val="center"/>
          </w:tcPr>
          <w:p>
            <w:pPr>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1项</w:t>
            </w:r>
          </w:p>
        </w:tc>
        <w:tc>
          <w:tcPr>
            <w:tcW w:w="2449"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1.通过走访、电话、微信、宣传等多渠道链接资源不少于10次，构建公益团队资源库，提供各类公益服务；</w:t>
            </w:r>
          </w:p>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2.链接辖区校区、厂区、园区等场地资源不少于10次，搭建群众展示平台。</w:t>
            </w:r>
          </w:p>
        </w:tc>
        <w:tc>
          <w:tcPr>
            <w:tcW w:w="474"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仿宋_GB2312" w:hAnsi="仿宋_GB2312" w:eastAsia="仿宋_GB2312" w:cs="仿宋_GB2312"/>
                <w:sz w:val="24"/>
                <w:szCs w:val="24"/>
                <w:lang w:val="en-US" w:eastAsia="zh-CN" w:bidi="ar"/>
              </w:rPr>
            </w:pPr>
          </w:p>
        </w:tc>
        <w:tc>
          <w:tcPr>
            <w:tcW w:w="343"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仿宋_GB2312" w:hAnsi="仿宋_GB2312" w:eastAsia="仿宋_GB2312" w:cs="仿宋_GB231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2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240"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eastAsia="zh-CN" w:bidi="ar"/>
              </w:rPr>
            </w:pPr>
          </w:p>
        </w:tc>
        <w:tc>
          <w:tcPr>
            <w:tcW w:w="673"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档案规范管理</w:t>
            </w:r>
          </w:p>
        </w:tc>
        <w:tc>
          <w:tcPr>
            <w:tcW w:w="493"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1年</w:t>
            </w:r>
          </w:p>
        </w:tc>
        <w:tc>
          <w:tcPr>
            <w:tcW w:w="2449" w:type="pct"/>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1.各类文体活动资料精细化管理，归类成档；</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2.建立并完善辖区社会体育指导员的花名册。</w:t>
            </w:r>
          </w:p>
        </w:tc>
        <w:tc>
          <w:tcPr>
            <w:tcW w:w="474" w:type="pct"/>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仿宋_GB2312" w:hAnsi="仿宋_GB2312" w:eastAsia="仿宋_GB2312" w:cs="仿宋_GB2312"/>
                <w:sz w:val="24"/>
                <w:szCs w:val="24"/>
                <w:lang w:val="en-US" w:eastAsia="zh-CN" w:bidi="ar"/>
              </w:rPr>
            </w:pPr>
          </w:p>
        </w:tc>
        <w:tc>
          <w:tcPr>
            <w:tcW w:w="343" w:type="pct"/>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仿宋_GB2312" w:hAnsi="仿宋_GB2312" w:eastAsia="仿宋_GB2312" w:cs="仿宋_GB231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w:t>
            </w:r>
          </w:p>
        </w:tc>
        <w:tc>
          <w:tcPr>
            <w:tcW w:w="240"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eastAsia="zh-CN" w:bidi="ar"/>
              </w:rPr>
            </w:pPr>
          </w:p>
        </w:tc>
        <w:tc>
          <w:tcPr>
            <w:tcW w:w="673" w:type="pct"/>
            <w:vMerge w:val="restar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宣传推广</w:t>
            </w:r>
          </w:p>
        </w:tc>
        <w:tc>
          <w:tcPr>
            <w:tcW w:w="493"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1项</w:t>
            </w:r>
          </w:p>
        </w:tc>
        <w:tc>
          <w:tcPr>
            <w:tcW w:w="2449" w:type="pct"/>
            <w:noWrap w:val="0"/>
            <w:vAlign w:val="center"/>
          </w:tcPr>
          <w:p>
            <w:pPr>
              <w:pStyle w:val="7"/>
              <w:keepNext w:val="0"/>
              <w:keepLines w:val="0"/>
              <w:pageBreakBefore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在“深圳文化云”、“深圳文体旅智慧服务系统”、广东省社会体育指导员服务平台、宣传栏及微信居民群等平台进行日常宣传。</w:t>
            </w:r>
          </w:p>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1.日常宣传活动不少于100次；</w:t>
            </w:r>
          </w:p>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2.新时代思想道德和群众性精神文明宣传不少于10次；</w:t>
            </w:r>
          </w:p>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3.制作并更换服务计划宣传信息不少于12次；</w:t>
            </w:r>
          </w:p>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4.宣传栏服务及信息更换不少于20期；</w:t>
            </w:r>
          </w:p>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5.编印文艺、信息等刊物资料不少于4期，1期25份；</w:t>
            </w:r>
          </w:p>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6.编印本地业余作者文艺作品集不少于3次，1次10份；</w:t>
            </w:r>
          </w:p>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sz w:val="24"/>
                <w:szCs w:val="24"/>
                <w:lang w:val="en-US" w:eastAsia="zh-CN" w:bidi="ar"/>
              </w:rPr>
              <w:t>7.阵地服务成果摄影展更新不少于2次。</w:t>
            </w:r>
          </w:p>
        </w:tc>
        <w:tc>
          <w:tcPr>
            <w:tcW w:w="474"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仿宋_GB2312" w:hAnsi="仿宋_GB2312" w:eastAsia="仿宋_GB2312" w:cs="仿宋_GB2312"/>
                <w:sz w:val="24"/>
                <w:szCs w:val="24"/>
                <w:lang w:val="en-US" w:eastAsia="zh-CN" w:bidi="ar"/>
              </w:rPr>
            </w:pPr>
          </w:p>
        </w:tc>
        <w:tc>
          <w:tcPr>
            <w:tcW w:w="343"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仿宋_GB2312" w:hAnsi="仿宋_GB2312" w:eastAsia="仿宋_GB2312" w:cs="仿宋_GB231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w:t>
            </w:r>
          </w:p>
        </w:tc>
        <w:tc>
          <w:tcPr>
            <w:tcW w:w="240"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eastAsia="zh-CN" w:bidi="ar"/>
              </w:rPr>
            </w:pPr>
          </w:p>
        </w:tc>
        <w:tc>
          <w:tcPr>
            <w:tcW w:w="673"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
              </w:rPr>
            </w:pPr>
          </w:p>
        </w:tc>
        <w:tc>
          <w:tcPr>
            <w:tcW w:w="493"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1项</w:t>
            </w:r>
          </w:p>
        </w:tc>
        <w:tc>
          <w:tcPr>
            <w:tcW w:w="2449"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各类文体活动的摄影摄像不少于100次。</w:t>
            </w:r>
          </w:p>
        </w:tc>
        <w:tc>
          <w:tcPr>
            <w:tcW w:w="474"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仿宋_GB2312" w:hAnsi="仿宋_GB2312" w:eastAsia="仿宋_GB2312" w:cs="仿宋_GB2312"/>
                <w:sz w:val="24"/>
                <w:szCs w:val="24"/>
                <w:lang w:val="en-US" w:eastAsia="zh-CN" w:bidi="ar"/>
              </w:rPr>
            </w:pPr>
          </w:p>
        </w:tc>
        <w:tc>
          <w:tcPr>
            <w:tcW w:w="343"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仿宋_GB2312" w:hAnsi="仿宋_GB2312" w:eastAsia="仿宋_GB2312" w:cs="仿宋_GB231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w:t>
            </w:r>
          </w:p>
        </w:tc>
        <w:tc>
          <w:tcPr>
            <w:tcW w:w="240"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eastAsia="zh-CN" w:bidi="ar"/>
              </w:rPr>
            </w:pPr>
          </w:p>
        </w:tc>
        <w:tc>
          <w:tcPr>
            <w:tcW w:w="673"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
              </w:rPr>
            </w:pPr>
          </w:p>
        </w:tc>
        <w:tc>
          <w:tcPr>
            <w:tcW w:w="493"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1项</w:t>
            </w:r>
          </w:p>
        </w:tc>
        <w:tc>
          <w:tcPr>
            <w:tcW w:w="2449"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视频后期剪辑不少于50次。</w:t>
            </w:r>
          </w:p>
        </w:tc>
        <w:tc>
          <w:tcPr>
            <w:tcW w:w="474"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仿宋_GB2312" w:hAnsi="仿宋_GB2312" w:eastAsia="仿宋_GB2312" w:cs="仿宋_GB2312"/>
                <w:sz w:val="24"/>
                <w:szCs w:val="24"/>
                <w:lang w:val="en-US" w:eastAsia="zh-CN" w:bidi="ar"/>
              </w:rPr>
            </w:pPr>
          </w:p>
        </w:tc>
        <w:tc>
          <w:tcPr>
            <w:tcW w:w="343"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仿宋_GB2312" w:hAnsi="仿宋_GB2312" w:eastAsia="仿宋_GB2312" w:cs="仿宋_GB231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w:t>
            </w:r>
          </w:p>
        </w:tc>
        <w:tc>
          <w:tcPr>
            <w:tcW w:w="240"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eastAsia="zh-CN" w:bidi="ar"/>
              </w:rPr>
            </w:pPr>
          </w:p>
        </w:tc>
        <w:tc>
          <w:tcPr>
            <w:tcW w:w="673" w:type="pct"/>
            <w:vMerge w:val="restar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场馆管理</w:t>
            </w:r>
          </w:p>
        </w:tc>
        <w:tc>
          <w:tcPr>
            <w:tcW w:w="493"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1项</w:t>
            </w:r>
          </w:p>
        </w:tc>
        <w:tc>
          <w:tcPr>
            <w:tcW w:w="2449"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1.提供场馆免费错时开放，每个场馆每周开放时间不少于48小时，服务总人次不少于40000人次；</w:t>
            </w:r>
          </w:p>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2.针对管理人员、安保、服务人员开展业务提升活动不少于24次；</w:t>
            </w:r>
          </w:p>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3.日用品（场馆服务群众含饮用水、纸巾、清洁用品等）；</w:t>
            </w:r>
          </w:p>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4.应急物资的储备（防护用品、应急药品等）；</w:t>
            </w:r>
          </w:p>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5.建立健全场馆预约、服务管</w:t>
            </w:r>
            <w:r>
              <w:rPr>
                <w:rFonts w:hint="eastAsia" w:ascii="仿宋_GB2312" w:hAnsi="仿宋_GB2312" w:eastAsia="仿宋_GB2312" w:cs="仿宋_GB2312"/>
                <w:i w:val="0"/>
                <w:color w:val="000000"/>
                <w:kern w:val="0"/>
                <w:sz w:val="24"/>
                <w:szCs w:val="24"/>
                <w:u w:val="none"/>
                <w:lang w:val="en-US" w:eastAsia="zh-CN" w:bidi="ar"/>
              </w:rPr>
              <w:t>理、志愿者管理、档案管理、功能室管理、安全保卫等制度。</w:t>
            </w:r>
          </w:p>
        </w:tc>
        <w:tc>
          <w:tcPr>
            <w:tcW w:w="474"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sz w:val="24"/>
                <w:szCs w:val="24"/>
                <w:lang w:val="en-US" w:eastAsia="zh-CN" w:bidi="ar"/>
              </w:rPr>
            </w:pPr>
          </w:p>
        </w:tc>
        <w:tc>
          <w:tcPr>
            <w:tcW w:w="343"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w:t>
            </w:r>
          </w:p>
        </w:tc>
        <w:tc>
          <w:tcPr>
            <w:tcW w:w="240"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eastAsia="zh-CN" w:bidi="ar"/>
              </w:rPr>
            </w:pPr>
          </w:p>
        </w:tc>
        <w:tc>
          <w:tcPr>
            <w:tcW w:w="673"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
              </w:rPr>
            </w:pPr>
          </w:p>
        </w:tc>
        <w:tc>
          <w:tcPr>
            <w:tcW w:w="493" w:type="pct"/>
            <w:noWrap w:val="0"/>
            <w:vAlign w:val="center"/>
          </w:tcPr>
          <w:p>
            <w:pPr>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1年</w:t>
            </w:r>
          </w:p>
        </w:tc>
        <w:tc>
          <w:tcPr>
            <w:tcW w:w="2449" w:type="pct"/>
            <w:noWrap w:val="0"/>
            <w:vAlign w:val="center"/>
          </w:tcPr>
          <w:p>
            <w:pPr>
              <w:pStyle w:val="7"/>
              <w:keepNext w:val="0"/>
              <w:keepLines w:val="0"/>
              <w:pageBreakBefore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购买两个场馆场地险。</w:t>
            </w:r>
          </w:p>
        </w:tc>
        <w:tc>
          <w:tcPr>
            <w:tcW w:w="474" w:type="pct"/>
            <w:noWrap w:val="0"/>
            <w:vAlign w:val="center"/>
          </w:tcPr>
          <w:p>
            <w:pPr>
              <w:pStyle w:val="7"/>
              <w:keepNext w:val="0"/>
              <w:keepLines w:val="0"/>
              <w:pageBreakBefore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sz w:val="24"/>
                <w:szCs w:val="24"/>
                <w:lang w:val="en-US" w:eastAsia="zh-CN" w:bidi="ar"/>
              </w:rPr>
            </w:pPr>
          </w:p>
        </w:tc>
        <w:tc>
          <w:tcPr>
            <w:tcW w:w="343" w:type="pct"/>
            <w:noWrap w:val="0"/>
            <w:vAlign w:val="center"/>
          </w:tcPr>
          <w:p>
            <w:pPr>
              <w:pStyle w:val="7"/>
              <w:keepNext w:val="0"/>
              <w:keepLines w:val="0"/>
              <w:pageBreakBefore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2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w:t>
            </w:r>
          </w:p>
        </w:tc>
        <w:tc>
          <w:tcPr>
            <w:tcW w:w="240"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eastAsia="zh-CN" w:bidi="ar"/>
              </w:rPr>
            </w:pPr>
          </w:p>
        </w:tc>
        <w:tc>
          <w:tcPr>
            <w:tcW w:w="673"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
              </w:rPr>
            </w:pPr>
          </w:p>
        </w:tc>
        <w:tc>
          <w:tcPr>
            <w:tcW w:w="493" w:type="pct"/>
            <w:noWrap w:val="0"/>
            <w:vAlign w:val="center"/>
          </w:tcPr>
          <w:p>
            <w:pPr>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1年</w:t>
            </w:r>
          </w:p>
        </w:tc>
        <w:tc>
          <w:tcPr>
            <w:tcW w:w="2449" w:type="pct"/>
            <w:noWrap w:val="0"/>
            <w:vAlign w:val="center"/>
          </w:tcPr>
          <w:p>
            <w:pPr>
              <w:pStyle w:val="7"/>
              <w:keepNext w:val="0"/>
              <w:keepLines w:val="0"/>
              <w:pageBreakBefore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两个场馆</w:t>
            </w:r>
            <w:r>
              <w:rPr>
                <w:rFonts w:hint="eastAsia" w:ascii="仿宋_GB2312" w:hAnsi="仿宋_GB2312" w:eastAsia="仿宋_GB2312" w:cs="仿宋_GB2312"/>
                <w:sz w:val="24"/>
                <w:szCs w:val="24"/>
                <w:lang w:eastAsia="zh-CN" w:bidi="ar"/>
              </w:rPr>
              <w:t>设备</w:t>
            </w:r>
            <w:r>
              <w:rPr>
                <w:rFonts w:hint="eastAsia" w:ascii="仿宋_GB2312" w:hAnsi="仿宋_GB2312" w:eastAsia="仿宋_GB2312" w:cs="仿宋_GB2312"/>
                <w:sz w:val="24"/>
                <w:szCs w:val="24"/>
                <w:lang w:val="en-US" w:eastAsia="zh-CN" w:bidi="ar"/>
              </w:rPr>
              <w:t>维修维护。</w:t>
            </w:r>
          </w:p>
        </w:tc>
        <w:tc>
          <w:tcPr>
            <w:tcW w:w="474" w:type="pct"/>
            <w:noWrap w:val="0"/>
            <w:vAlign w:val="center"/>
          </w:tcPr>
          <w:p>
            <w:pPr>
              <w:pStyle w:val="7"/>
              <w:keepNext w:val="0"/>
              <w:keepLines w:val="0"/>
              <w:pageBreakBefore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sz w:val="24"/>
                <w:szCs w:val="24"/>
                <w:lang w:val="en-US" w:eastAsia="zh-CN" w:bidi="ar"/>
              </w:rPr>
            </w:pPr>
          </w:p>
        </w:tc>
        <w:tc>
          <w:tcPr>
            <w:tcW w:w="343" w:type="pct"/>
            <w:noWrap w:val="0"/>
            <w:vAlign w:val="center"/>
          </w:tcPr>
          <w:p>
            <w:pPr>
              <w:pStyle w:val="7"/>
              <w:keepNext w:val="0"/>
              <w:keepLines w:val="0"/>
              <w:pageBreakBefore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2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11</w:t>
            </w:r>
          </w:p>
        </w:tc>
        <w:tc>
          <w:tcPr>
            <w:tcW w:w="240"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eastAsia="zh-CN" w:bidi="ar"/>
              </w:rPr>
            </w:pPr>
          </w:p>
        </w:tc>
        <w:tc>
          <w:tcPr>
            <w:tcW w:w="673" w:type="pct"/>
            <w:vMerge w:val="restar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需求调研</w:t>
            </w:r>
          </w:p>
        </w:tc>
        <w:tc>
          <w:tcPr>
            <w:tcW w:w="493" w:type="pct"/>
            <w:noWrap w:val="0"/>
            <w:vAlign w:val="center"/>
          </w:tcPr>
          <w:p>
            <w:pPr>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1项</w:t>
            </w:r>
          </w:p>
        </w:tc>
        <w:tc>
          <w:tcPr>
            <w:tcW w:w="2449" w:type="pct"/>
            <w:noWrap w:val="0"/>
            <w:vAlign w:val="center"/>
          </w:tcPr>
          <w:p>
            <w:pPr>
              <w:pStyle w:val="7"/>
              <w:keepNext w:val="0"/>
              <w:keepLines w:val="0"/>
              <w:pageBreakBefore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开展民众心声沙龙活动不少于2场，收集群众意见，并针对群众意见进行分析。</w:t>
            </w:r>
          </w:p>
        </w:tc>
        <w:tc>
          <w:tcPr>
            <w:tcW w:w="474" w:type="pct"/>
            <w:noWrap w:val="0"/>
            <w:vAlign w:val="center"/>
          </w:tcPr>
          <w:p>
            <w:pPr>
              <w:pStyle w:val="7"/>
              <w:keepNext w:val="0"/>
              <w:keepLines w:val="0"/>
              <w:pageBreakBefore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lang w:val="en-US" w:eastAsia="zh-CN" w:bidi="ar"/>
              </w:rPr>
            </w:pPr>
          </w:p>
        </w:tc>
        <w:tc>
          <w:tcPr>
            <w:tcW w:w="343" w:type="pct"/>
            <w:noWrap w:val="0"/>
            <w:vAlign w:val="center"/>
          </w:tcPr>
          <w:p>
            <w:pPr>
              <w:pStyle w:val="7"/>
              <w:keepNext w:val="0"/>
              <w:keepLines w:val="0"/>
              <w:pageBreakBefore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2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12</w:t>
            </w:r>
          </w:p>
        </w:tc>
        <w:tc>
          <w:tcPr>
            <w:tcW w:w="240"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eastAsia="zh-CN" w:bidi="ar"/>
              </w:rPr>
            </w:pPr>
          </w:p>
        </w:tc>
        <w:tc>
          <w:tcPr>
            <w:tcW w:w="673"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
              </w:rPr>
            </w:pPr>
          </w:p>
        </w:tc>
        <w:tc>
          <w:tcPr>
            <w:tcW w:w="493" w:type="pct"/>
            <w:noWrap w:val="0"/>
            <w:vAlign w:val="center"/>
          </w:tcPr>
          <w:p>
            <w:pPr>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1项</w:t>
            </w:r>
          </w:p>
        </w:tc>
        <w:tc>
          <w:tcPr>
            <w:tcW w:w="2449" w:type="pct"/>
            <w:noWrap w:val="0"/>
            <w:vAlign w:val="center"/>
          </w:tcPr>
          <w:p>
            <w:pPr>
              <w:pStyle w:val="7"/>
              <w:keepNext w:val="0"/>
              <w:keepLines w:val="0"/>
              <w:pageBreakBefore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val="en-US" w:eastAsia="zh-CN" w:bidi="ar"/>
              </w:rPr>
              <w:t>每年不少于2次公共文体服务满意度调查（含问卷设计、数据采集、数据分析等），并针对群众意见进行分析。</w:t>
            </w:r>
          </w:p>
        </w:tc>
        <w:tc>
          <w:tcPr>
            <w:tcW w:w="474" w:type="pct"/>
            <w:noWrap w:val="0"/>
            <w:vAlign w:val="center"/>
          </w:tcPr>
          <w:p>
            <w:pPr>
              <w:pStyle w:val="7"/>
              <w:keepNext w:val="0"/>
              <w:keepLines w:val="0"/>
              <w:pageBreakBefore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auto"/>
                <w:sz w:val="24"/>
                <w:szCs w:val="24"/>
                <w:lang w:val="en-US" w:eastAsia="zh-CN" w:bidi="ar"/>
              </w:rPr>
            </w:pPr>
          </w:p>
        </w:tc>
        <w:tc>
          <w:tcPr>
            <w:tcW w:w="343" w:type="pct"/>
            <w:noWrap w:val="0"/>
            <w:vAlign w:val="center"/>
          </w:tcPr>
          <w:p>
            <w:pPr>
              <w:pStyle w:val="7"/>
              <w:keepNext w:val="0"/>
              <w:keepLines w:val="0"/>
              <w:pageBreakBefore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13</w:t>
            </w:r>
          </w:p>
        </w:tc>
        <w:tc>
          <w:tcPr>
            <w:tcW w:w="240" w:type="pct"/>
            <w:vMerge w:val="restar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kern w:val="2"/>
                <w:sz w:val="24"/>
                <w:szCs w:val="24"/>
                <w:lang w:val="en-US" w:eastAsia="zh-CN" w:bidi="ar"/>
              </w:rPr>
              <w:t>志愿者管理</w:t>
            </w:r>
          </w:p>
        </w:tc>
        <w:tc>
          <w:tcPr>
            <w:tcW w:w="673" w:type="pct"/>
            <w:vMerge w:val="restar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志愿者队伍建设</w:t>
            </w:r>
          </w:p>
        </w:tc>
        <w:tc>
          <w:tcPr>
            <w:tcW w:w="493" w:type="pct"/>
            <w:noWrap w:val="0"/>
            <w:vAlign w:val="center"/>
          </w:tcPr>
          <w:p>
            <w:pPr>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1项</w:t>
            </w:r>
          </w:p>
        </w:tc>
        <w:tc>
          <w:tcPr>
            <w:tcW w:w="2449" w:type="pct"/>
            <w:noWrap w:val="0"/>
            <w:vAlign w:val="center"/>
          </w:tcPr>
          <w:p>
            <w:pPr>
              <w:pStyle w:val="7"/>
              <w:keepNext w:val="0"/>
              <w:keepLines w:val="0"/>
              <w:pageBreakBefore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打造并拓展“文化星光”志愿服务队，完善队伍架构及管理制度，新增不少于20名中青年志愿者，开展团建活动不少于2场。</w:t>
            </w:r>
          </w:p>
        </w:tc>
        <w:tc>
          <w:tcPr>
            <w:tcW w:w="474" w:type="pct"/>
            <w:noWrap w:val="0"/>
            <w:vAlign w:val="center"/>
          </w:tcPr>
          <w:p>
            <w:pPr>
              <w:pStyle w:val="7"/>
              <w:keepNext w:val="0"/>
              <w:keepLines w:val="0"/>
              <w:pageBreakBefore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lang w:val="en-US" w:eastAsia="zh-CN" w:bidi="ar"/>
              </w:rPr>
            </w:pPr>
          </w:p>
        </w:tc>
        <w:tc>
          <w:tcPr>
            <w:tcW w:w="343" w:type="pct"/>
            <w:noWrap w:val="0"/>
            <w:vAlign w:val="center"/>
          </w:tcPr>
          <w:p>
            <w:pPr>
              <w:pStyle w:val="7"/>
              <w:keepNext w:val="0"/>
              <w:keepLines w:val="0"/>
              <w:pageBreakBefore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14</w:t>
            </w:r>
          </w:p>
        </w:tc>
        <w:tc>
          <w:tcPr>
            <w:tcW w:w="240"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eastAsia="zh-CN" w:bidi="ar"/>
              </w:rPr>
            </w:pPr>
          </w:p>
        </w:tc>
        <w:tc>
          <w:tcPr>
            <w:tcW w:w="673"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
              </w:rPr>
            </w:pPr>
          </w:p>
        </w:tc>
        <w:tc>
          <w:tcPr>
            <w:tcW w:w="493" w:type="pct"/>
            <w:noWrap w:val="0"/>
            <w:vAlign w:val="center"/>
          </w:tcPr>
          <w:p>
            <w:pPr>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1项</w:t>
            </w:r>
          </w:p>
        </w:tc>
        <w:tc>
          <w:tcPr>
            <w:tcW w:w="2449" w:type="pct"/>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1.通过线上线下多渠道发布招募信息，广泛动员热心公益事业、具有竞技特长或相关体育背景的志愿者，组建“竞技先锋”志愿服务队；</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2.设计队伍架构，制定规章制度，建立志愿者档案，制定志愿服务活动流程，开展专项团建活动不少于2场，提升队伍的凝聚力。</w:t>
            </w:r>
          </w:p>
        </w:tc>
        <w:tc>
          <w:tcPr>
            <w:tcW w:w="474" w:type="pct"/>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仿宋_GB2312" w:hAnsi="仿宋_GB2312" w:eastAsia="仿宋_GB2312" w:cs="仿宋_GB2312"/>
                <w:sz w:val="24"/>
                <w:szCs w:val="24"/>
                <w:lang w:val="en-US" w:eastAsia="zh-CN" w:bidi="ar"/>
              </w:rPr>
            </w:pPr>
          </w:p>
        </w:tc>
        <w:tc>
          <w:tcPr>
            <w:tcW w:w="343" w:type="pct"/>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仿宋_GB2312" w:hAnsi="仿宋_GB2312" w:eastAsia="仿宋_GB2312" w:cs="仿宋_GB231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2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15</w:t>
            </w:r>
          </w:p>
        </w:tc>
        <w:tc>
          <w:tcPr>
            <w:tcW w:w="240"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eastAsia="zh-CN" w:bidi="ar"/>
              </w:rPr>
            </w:pPr>
          </w:p>
        </w:tc>
        <w:tc>
          <w:tcPr>
            <w:tcW w:w="673"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kern w:val="2"/>
                <w:sz w:val="24"/>
                <w:szCs w:val="24"/>
                <w:lang w:val="en-US" w:eastAsia="zh-CN" w:bidi="ar"/>
              </w:rPr>
            </w:pPr>
          </w:p>
        </w:tc>
        <w:tc>
          <w:tcPr>
            <w:tcW w:w="493"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1项</w:t>
            </w:r>
          </w:p>
        </w:tc>
        <w:tc>
          <w:tcPr>
            <w:tcW w:w="2449" w:type="pct"/>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1.开展针对文化、体育指导员等志愿者不少于3场业务提升活动；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2.志愿者队伍的日常组织管理及志愿深圳系统志愿服务时长录入工作。</w:t>
            </w:r>
          </w:p>
        </w:tc>
        <w:tc>
          <w:tcPr>
            <w:tcW w:w="474" w:type="pct"/>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sz w:val="24"/>
                <w:szCs w:val="24"/>
                <w:lang w:val="en-US" w:eastAsia="zh-CN" w:bidi="ar"/>
              </w:rPr>
            </w:pPr>
          </w:p>
        </w:tc>
        <w:tc>
          <w:tcPr>
            <w:tcW w:w="343" w:type="pct"/>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16</w:t>
            </w:r>
          </w:p>
        </w:tc>
        <w:tc>
          <w:tcPr>
            <w:tcW w:w="240" w:type="pct"/>
            <w:vMerge w:val="restar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color w:val="auto"/>
                <w:sz w:val="24"/>
                <w:szCs w:val="24"/>
                <w:lang w:val="en-US" w:eastAsia="zh-CN" w:bidi="ar"/>
              </w:rPr>
              <w:t>文化四季特色服务板块</w:t>
            </w:r>
          </w:p>
        </w:tc>
        <w:tc>
          <w:tcPr>
            <w:tcW w:w="673" w:type="pct"/>
            <w:vMerge w:val="restar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文体活动开展</w:t>
            </w:r>
          </w:p>
        </w:tc>
        <w:tc>
          <w:tcPr>
            <w:tcW w:w="493" w:type="pct"/>
            <w:noWrap w:val="0"/>
            <w:vAlign w:val="center"/>
          </w:tcPr>
          <w:p>
            <w:pPr>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1项</w:t>
            </w:r>
          </w:p>
        </w:tc>
        <w:tc>
          <w:tcPr>
            <w:tcW w:w="244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举办公益性文体活动（含展演赛事、阅读推广、传统文化、民俗文化等）不少于150场，服务不少于10000人次，丰富群众文化生活，提高群众文化素养，推动文化事业发展。</w:t>
            </w:r>
          </w:p>
        </w:tc>
        <w:tc>
          <w:tcPr>
            <w:tcW w:w="4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lang w:val="en-US" w:eastAsia="zh-CN" w:bidi="ar"/>
              </w:rPr>
            </w:pPr>
          </w:p>
        </w:tc>
        <w:tc>
          <w:tcPr>
            <w:tcW w:w="3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17</w:t>
            </w:r>
          </w:p>
        </w:tc>
        <w:tc>
          <w:tcPr>
            <w:tcW w:w="240"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673"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val="en-US" w:eastAsia="zh-CN" w:bidi="ar"/>
              </w:rPr>
            </w:pPr>
          </w:p>
        </w:tc>
        <w:tc>
          <w:tcPr>
            <w:tcW w:w="493" w:type="pct"/>
            <w:noWrap w:val="0"/>
            <w:vAlign w:val="center"/>
          </w:tcPr>
          <w:p>
            <w:pPr>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1项</w:t>
            </w:r>
          </w:p>
        </w:tc>
        <w:tc>
          <w:tcPr>
            <w:tcW w:w="244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组织综合性大型文体活动不少于4场，服务不少于2000人次。</w:t>
            </w:r>
          </w:p>
        </w:tc>
        <w:tc>
          <w:tcPr>
            <w:tcW w:w="4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lang w:val="en-US" w:eastAsia="zh-CN" w:bidi="ar"/>
              </w:rPr>
            </w:pPr>
          </w:p>
        </w:tc>
        <w:tc>
          <w:tcPr>
            <w:tcW w:w="3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18</w:t>
            </w:r>
          </w:p>
        </w:tc>
        <w:tc>
          <w:tcPr>
            <w:tcW w:w="240"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val="en-US" w:eastAsia="zh-CN" w:bidi="ar"/>
              </w:rPr>
            </w:pPr>
          </w:p>
        </w:tc>
        <w:tc>
          <w:tcPr>
            <w:tcW w:w="673"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val="en-US" w:eastAsia="zh-CN" w:bidi="ar"/>
              </w:rPr>
            </w:pPr>
          </w:p>
        </w:tc>
        <w:tc>
          <w:tcPr>
            <w:tcW w:w="493" w:type="pct"/>
            <w:noWrap w:val="0"/>
            <w:vAlign w:val="center"/>
          </w:tcPr>
          <w:p>
            <w:pPr>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1项</w:t>
            </w:r>
          </w:p>
        </w:tc>
        <w:tc>
          <w:tcPr>
            <w:tcW w:w="2449" w:type="pct"/>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bidi="ar"/>
              </w:rPr>
              <w:t>组织创作并展演的文艺作品不少于5部(件)。</w:t>
            </w:r>
          </w:p>
        </w:tc>
        <w:tc>
          <w:tcPr>
            <w:tcW w:w="474" w:type="pct"/>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sz w:val="24"/>
                <w:szCs w:val="24"/>
                <w:lang w:val="en-US" w:eastAsia="zh-CN" w:bidi="ar"/>
              </w:rPr>
            </w:pPr>
          </w:p>
        </w:tc>
        <w:tc>
          <w:tcPr>
            <w:tcW w:w="343" w:type="pct"/>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19</w:t>
            </w:r>
          </w:p>
        </w:tc>
        <w:tc>
          <w:tcPr>
            <w:tcW w:w="240"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val="en-US" w:eastAsia="zh-CN" w:bidi="ar"/>
              </w:rPr>
            </w:pPr>
          </w:p>
        </w:tc>
        <w:tc>
          <w:tcPr>
            <w:tcW w:w="673"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val="en-US" w:eastAsia="zh-CN" w:bidi="ar"/>
              </w:rPr>
            </w:pPr>
          </w:p>
        </w:tc>
        <w:tc>
          <w:tcPr>
            <w:tcW w:w="493" w:type="pct"/>
            <w:noWrap w:val="0"/>
            <w:vAlign w:val="center"/>
          </w:tcPr>
          <w:p>
            <w:pPr>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1项</w:t>
            </w:r>
          </w:p>
        </w:tc>
        <w:tc>
          <w:tcPr>
            <w:tcW w:w="2449" w:type="pct"/>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bidi="ar"/>
              </w:rPr>
              <w:t>开展非物质文化遗产传承活动不少于3场。</w:t>
            </w:r>
          </w:p>
        </w:tc>
        <w:tc>
          <w:tcPr>
            <w:tcW w:w="474" w:type="pct"/>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sz w:val="24"/>
                <w:szCs w:val="24"/>
                <w:lang w:val="en-US" w:eastAsia="zh-CN" w:bidi="ar"/>
              </w:rPr>
            </w:pPr>
          </w:p>
        </w:tc>
        <w:tc>
          <w:tcPr>
            <w:tcW w:w="343" w:type="pct"/>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2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20</w:t>
            </w:r>
          </w:p>
        </w:tc>
        <w:tc>
          <w:tcPr>
            <w:tcW w:w="240"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val="en-US" w:eastAsia="zh-CN" w:bidi="ar"/>
              </w:rPr>
            </w:pPr>
          </w:p>
        </w:tc>
        <w:tc>
          <w:tcPr>
            <w:tcW w:w="673"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kern w:val="2"/>
                <w:sz w:val="24"/>
                <w:szCs w:val="24"/>
                <w:lang w:val="en-US" w:eastAsia="zh-CN" w:bidi="ar"/>
              </w:rPr>
            </w:pPr>
            <w:r>
              <w:rPr>
                <w:rFonts w:hint="eastAsia" w:ascii="仿宋_GB2312" w:hAnsi="仿宋_GB2312" w:eastAsia="仿宋_GB2312" w:cs="仿宋_GB2312"/>
                <w:sz w:val="24"/>
                <w:szCs w:val="24"/>
                <w:lang w:val="en-US" w:eastAsia="zh-CN" w:bidi="ar"/>
              </w:rPr>
              <w:t>文体项目沙龙开展</w:t>
            </w:r>
          </w:p>
        </w:tc>
        <w:tc>
          <w:tcPr>
            <w:tcW w:w="493" w:type="pct"/>
            <w:noWrap w:val="0"/>
            <w:vAlign w:val="center"/>
          </w:tcPr>
          <w:p>
            <w:pPr>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1项</w:t>
            </w:r>
          </w:p>
        </w:tc>
        <w:tc>
          <w:tcPr>
            <w:tcW w:w="2449" w:type="pct"/>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bidi="ar"/>
              </w:rPr>
              <w:t>组织开展各类文体项目沙龙,开展项目不少于8期，每期项目不少于20节次，每节次不少于20人。</w:t>
            </w:r>
          </w:p>
        </w:tc>
        <w:tc>
          <w:tcPr>
            <w:tcW w:w="474" w:type="pct"/>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sz w:val="24"/>
                <w:szCs w:val="24"/>
                <w:lang w:val="en-US" w:eastAsia="zh-CN" w:bidi="ar"/>
              </w:rPr>
            </w:pPr>
          </w:p>
        </w:tc>
        <w:tc>
          <w:tcPr>
            <w:tcW w:w="343" w:type="pct"/>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21</w:t>
            </w:r>
          </w:p>
        </w:tc>
        <w:tc>
          <w:tcPr>
            <w:tcW w:w="240" w:type="pct"/>
            <w:vMerge w:val="continue"/>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val="en-US" w:eastAsia="zh-CN" w:bidi="ar"/>
              </w:rPr>
            </w:pPr>
          </w:p>
        </w:tc>
        <w:tc>
          <w:tcPr>
            <w:tcW w:w="673"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社会体育指导员服务工作</w:t>
            </w:r>
          </w:p>
        </w:tc>
        <w:tc>
          <w:tcPr>
            <w:tcW w:w="493" w:type="pct"/>
            <w:noWrap w:val="0"/>
            <w:vAlign w:val="center"/>
          </w:tcPr>
          <w:p>
            <w:pPr>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1项</w:t>
            </w:r>
          </w:p>
        </w:tc>
        <w:tc>
          <w:tcPr>
            <w:tcW w:w="2449"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val="en-US" w:eastAsia="zh-CN" w:bidi="ar"/>
              </w:rPr>
              <w:t>1.开展不少于5次健身技能传授，服务不少于200人次。</w:t>
            </w:r>
          </w:p>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auto"/>
                <w:sz w:val="24"/>
                <w:szCs w:val="24"/>
                <w:lang w:val="en-US" w:eastAsia="zh-CN" w:bidi="ar"/>
              </w:rPr>
              <w:t>2.开展专项体育活动不少于1场，</w:t>
            </w:r>
            <w:r>
              <w:rPr>
                <w:rFonts w:hint="default" w:ascii="仿宋_GB2312" w:hAnsi="仿宋_GB2312" w:eastAsia="仿宋_GB2312" w:cs="仿宋_GB2312"/>
                <w:color w:val="auto"/>
                <w:sz w:val="24"/>
                <w:szCs w:val="24"/>
                <w:lang w:val="en-US" w:eastAsia="zh-CN" w:bidi="ar"/>
              </w:rPr>
              <w:t>普及体育知识与文化宣传</w:t>
            </w:r>
            <w:r>
              <w:rPr>
                <w:rFonts w:hint="eastAsia" w:ascii="仿宋_GB2312" w:hAnsi="仿宋_GB2312" w:eastAsia="仿宋_GB2312" w:cs="仿宋_GB2312"/>
                <w:color w:val="auto"/>
                <w:sz w:val="24"/>
                <w:szCs w:val="24"/>
                <w:lang w:val="en-US" w:eastAsia="zh-CN" w:bidi="ar"/>
              </w:rPr>
              <w:t>，提供体育健身指导服务。</w:t>
            </w:r>
          </w:p>
        </w:tc>
        <w:tc>
          <w:tcPr>
            <w:tcW w:w="474"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color w:val="auto"/>
                <w:sz w:val="24"/>
                <w:szCs w:val="24"/>
                <w:lang w:val="en-US" w:eastAsia="zh-CN" w:bidi="ar"/>
              </w:rPr>
            </w:pPr>
          </w:p>
        </w:tc>
        <w:tc>
          <w:tcPr>
            <w:tcW w:w="343"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color w:val="auto"/>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22</w:t>
            </w:r>
          </w:p>
        </w:tc>
        <w:tc>
          <w:tcPr>
            <w:tcW w:w="240"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协助工作</w:t>
            </w:r>
          </w:p>
        </w:tc>
        <w:tc>
          <w:tcPr>
            <w:tcW w:w="673"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i w:val="0"/>
                <w:color w:val="000000"/>
                <w:kern w:val="0"/>
                <w:sz w:val="24"/>
                <w:szCs w:val="24"/>
                <w:u w:val="none"/>
                <w:lang w:val="en-US" w:eastAsia="zh-CN" w:bidi="ar"/>
              </w:rPr>
              <w:t>其他工作</w:t>
            </w:r>
          </w:p>
        </w:tc>
        <w:tc>
          <w:tcPr>
            <w:tcW w:w="493"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1项</w:t>
            </w:r>
          </w:p>
        </w:tc>
        <w:tc>
          <w:tcPr>
            <w:tcW w:w="2449"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1.协助街道完成省特级文化站评估、社会体育指导员服务站评估工作；</w:t>
            </w:r>
          </w:p>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color w:val="auto"/>
                <w:sz w:val="24"/>
                <w:szCs w:val="24"/>
                <w:lang w:val="en-US" w:eastAsia="zh-CN" w:bidi="ar"/>
              </w:rPr>
              <w:t>2.协助街道完成辖区社会体育指导员在广东省社会体育指导员服务平台(健身行)注册,并督促社会体育指导员每年开展的服务指导时长达到50个小时；</w:t>
            </w:r>
          </w:p>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3.协助开展文化、文物及体育等直属部门安排的其他工作。</w:t>
            </w:r>
          </w:p>
        </w:tc>
        <w:tc>
          <w:tcPr>
            <w:tcW w:w="474"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sz w:val="24"/>
                <w:szCs w:val="24"/>
                <w:lang w:val="en-US" w:eastAsia="zh-CN" w:bidi="ar"/>
              </w:rPr>
            </w:pPr>
          </w:p>
        </w:tc>
        <w:tc>
          <w:tcPr>
            <w:tcW w:w="343"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6"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23</w:t>
            </w:r>
          </w:p>
        </w:tc>
        <w:tc>
          <w:tcPr>
            <w:tcW w:w="240"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项目管理</w:t>
            </w:r>
          </w:p>
        </w:tc>
        <w:tc>
          <w:tcPr>
            <w:tcW w:w="673"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管理费</w:t>
            </w:r>
          </w:p>
        </w:tc>
        <w:tc>
          <w:tcPr>
            <w:tcW w:w="493" w:type="pct"/>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1项</w:t>
            </w:r>
          </w:p>
        </w:tc>
        <w:tc>
          <w:tcPr>
            <w:tcW w:w="2449"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项目中服务（</w:t>
            </w:r>
            <w:r>
              <w:rPr>
                <w:rFonts w:hint="eastAsia" w:ascii="仿宋_GB2312" w:hAnsi="仿宋_GB2312" w:eastAsia="仿宋_GB2312" w:cs="仿宋_GB2312"/>
                <w:kern w:val="2"/>
                <w:sz w:val="24"/>
                <w:szCs w:val="24"/>
                <w:lang w:val="en-US" w:eastAsia="zh-CN" w:bidi="ar"/>
              </w:rPr>
              <w:t>构建服务资源库、档案规范管理、社群运营、宣传推广、需求调研、志愿者队伍建设、文体活动、文体项目沙龙、社会体育指导员服务工作</w:t>
            </w:r>
            <w:r>
              <w:rPr>
                <w:rFonts w:hint="eastAsia" w:ascii="仿宋_GB2312" w:hAnsi="仿宋_GB2312" w:eastAsia="仿宋_GB2312" w:cs="仿宋_GB2312"/>
                <w:sz w:val="24"/>
                <w:szCs w:val="24"/>
                <w:lang w:val="en-US" w:eastAsia="zh-CN" w:bidi="ar"/>
              </w:rPr>
              <w:t>）的10%。</w:t>
            </w:r>
          </w:p>
        </w:tc>
        <w:tc>
          <w:tcPr>
            <w:tcW w:w="474"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sz w:val="24"/>
                <w:szCs w:val="24"/>
                <w:lang w:val="en-US" w:eastAsia="zh-CN" w:bidi="ar"/>
              </w:rPr>
            </w:pPr>
          </w:p>
        </w:tc>
        <w:tc>
          <w:tcPr>
            <w:tcW w:w="343" w:type="pct"/>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000" w:type="pct"/>
            <w:gridSpan w:val="7"/>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color w:val="000000"/>
                <w:sz w:val="24"/>
                <w:szCs w:val="24"/>
                <w:lang w:val="en-US" w:eastAsia="zh-CN"/>
              </w:rPr>
              <w:t>备注：以上服务配备5名全职人员和2名兼职工作人员。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2" w:type="pct"/>
            <w:gridSpan w:val="5"/>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left="0" w:leftChars="0" w:firstLine="0" w:firstLineChars="0"/>
              <w:jc w:val="center"/>
              <w:textAlignment w:val="auto"/>
              <w:rPr>
                <w:rFonts w:hint="eastAsia" w:ascii="仿宋_GB2312" w:hAnsi="仿宋_GB2312" w:eastAsia="仿宋_GB2312" w:cs="仿宋_GB2312"/>
                <w:b/>
                <w:bCs/>
                <w:color w:val="000000"/>
                <w:kern w:val="2"/>
                <w:sz w:val="24"/>
                <w:szCs w:val="24"/>
                <w:lang w:val="en-US" w:eastAsia="zh-CN" w:bidi="ar-SA"/>
              </w:rPr>
            </w:pPr>
            <w:r>
              <w:rPr>
                <w:rFonts w:hint="eastAsia" w:ascii="仿宋_GB2312" w:hAnsi="仿宋_GB2312" w:eastAsia="仿宋_GB2312" w:cs="仿宋_GB2312"/>
                <w:b/>
                <w:bCs/>
                <w:color w:val="000000"/>
                <w:sz w:val="24"/>
                <w:szCs w:val="24"/>
                <w:lang w:val="en-US" w:eastAsia="zh-CN"/>
              </w:rPr>
              <w:t>服务项目总额（含税）元</w:t>
            </w:r>
          </w:p>
        </w:tc>
        <w:tc>
          <w:tcPr>
            <w:tcW w:w="817" w:type="pct"/>
            <w:gridSpan w:val="2"/>
            <w:noWrap w:val="0"/>
            <w:vAlign w:val="center"/>
          </w:tcPr>
          <w:p>
            <w:pPr>
              <w:pStyle w:val="7"/>
              <w:keepNext w:val="0"/>
              <w:keepLines w:val="0"/>
              <w:pageBreakBefore w:val="0"/>
              <w:kinsoku/>
              <w:wordWrap/>
              <w:overflowPunct/>
              <w:topLinePunct w:val="0"/>
              <w:autoSpaceDE/>
              <w:autoSpaceDN/>
              <w:bidi w:val="0"/>
              <w:adjustRightInd/>
              <w:snapToGrid/>
              <w:spacing w:before="78" w:beforeLines="25" w:after="78" w:afterLines="25" w:line="260" w:lineRule="exact"/>
              <w:ind w:firstLine="451" w:firstLineChars="187"/>
              <w:jc w:val="both"/>
              <w:textAlignment w:val="auto"/>
              <w:rPr>
                <w:rFonts w:hint="eastAsia" w:ascii="仿宋_GB2312" w:hAnsi="仿宋_GB2312" w:eastAsia="仿宋_GB2312" w:cs="仿宋_GB2312"/>
                <w:b/>
                <w:bCs/>
                <w:color w:val="000000"/>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所有价格应按“</w:t>
      </w:r>
      <w:r>
        <w:rPr>
          <w:rFonts w:hint="eastAsia" w:ascii="仿宋_GB2312" w:hAnsi="仿宋_GB2312" w:eastAsia="仿宋_GB2312" w:cs="仿宋_GB2312"/>
          <w:bCs/>
          <w:color w:val="auto"/>
          <w:sz w:val="32"/>
          <w:szCs w:val="32"/>
          <w:lang w:val="en-US" w:eastAsia="zh-CN"/>
        </w:rPr>
        <w:t>采购需求</w:t>
      </w:r>
      <w:r>
        <w:rPr>
          <w:rFonts w:hint="eastAsia" w:ascii="仿宋_GB2312" w:hAnsi="仿宋_GB2312" w:eastAsia="仿宋_GB2312" w:cs="仿宋_GB2312"/>
          <w:bCs/>
          <w:color w:val="auto"/>
          <w:sz w:val="32"/>
          <w:szCs w:val="32"/>
        </w:rPr>
        <w:t>”中规定的货币单位填写；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lang w:eastAsia="zh-CN"/>
        </w:rPr>
        <w:t>）供应商</w:t>
      </w:r>
      <w:r>
        <w:rPr>
          <w:rFonts w:hint="eastAsia" w:ascii="仿宋_GB2312" w:hAnsi="仿宋_GB2312" w:eastAsia="仿宋_GB2312" w:cs="仿宋_GB2312"/>
          <w:bCs/>
          <w:color w:val="auto"/>
          <w:sz w:val="32"/>
          <w:szCs w:val="32"/>
        </w:rPr>
        <w:t>如果需要对报价或其它内容加以说明，可在备注栏填写</w:t>
      </w:r>
      <w:r>
        <w:rPr>
          <w:rFonts w:hint="eastAsia" w:ascii="仿宋_GB2312" w:hAnsi="仿宋_GB2312" w:eastAsia="仿宋_GB2312" w:cs="仿宋_GB2312"/>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供应商认为需要涉及的其他内容报价清单（格式自定）</w:t>
      </w:r>
    </w:p>
    <w:p>
      <w:pPr>
        <w:pStyle w:val="4"/>
        <w:keepNext/>
        <w:keepLines/>
        <w:pageBreakBefore w:val="0"/>
        <w:widowControl w:val="0"/>
        <w:numPr>
          <w:ilvl w:val="-1"/>
          <w:numId w:val="0"/>
        </w:numPr>
        <w:kinsoku/>
        <w:wordWrap/>
        <w:overflowPunct/>
        <w:topLinePunct w:val="0"/>
        <w:autoSpaceDE/>
        <w:autoSpaceDN/>
        <w:bidi w:val="0"/>
        <w:adjustRightInd/>
        <w:snapToGrid/>
        <w:spacing w:before="0" w:after="0" w:line="560" w:lineRule="exact"/>
        <w:ind w:left="0" w:firstLine="640" w:firstLineChars="200"/>
        <w:jc w:val="both"/>
        <w:textAlignment w:val="auto"/>
        <w:rPr>
          <w:rFonts w:hint="eastAsia" w:ascii="楷体_GB2312" w:hAnsi="楷体_GB2312" w:eastAsia="楷体_GB2312" w:cs="楷体_GB2312"/>
          <w:b w:val="0"/>
          <w:bCs w:val="0"/>
          <w:color w:val="auto"/>
          <w:szCs w:val="28"/>
        </w:rPr>
      </w:pPr>
      <w:r>
        <w:rPr>
          <w:rFonts w:hint="eastAsia" w:ascii="楷体_GB2312" w:hAnsi="楷体_GB2312" w:eastAsia="楷体_GB2312" w:cs="楷体_GB2312"/>
          <w:b w:val="0"/>
          <w:bCs w:val="0"/>
          <w:color w:val="auto"/>
          <w:szCs w:val="28"/>
          <w:lang w:eastAsia="zh-CN"/>
        </w:rPr>
        <w:t>（</w:t>
      </w:r>
      <w:r>
        <w:rPr>
          <w:rFonts w:hint="eastAsia" w:ascii="楷体_GB2312" w:hAnsi="楷体_GB2312" w:eastAsia="楷体_GB2312" w:cs="楷体_GB2312"/>
          <w:b w:val="0"/>
          <w:bCs w:val="0"/>
          <w:color w:val="auto"/>
          <w:szCs w:val="28"/>
          <w:lang w:val="en-US" w:eastAsia="zh-CN"/>
        </w:rPr>
        <w:t>九</w:t>
      </w:r>
      <w:r>
        <w:rPr>
          <w:rFonts w:hint="eastAsia" w:ascii="楷体_GB2312" w:hAnsi="楷体_GB2312" w:eastAsia="楷体_GB2312" w:cs="楷体_GB2312"/>
          <w:b w:val="0"/>
          <w:bCs w:val="0"/>
          <w:color w:val="auto"/>
          <w:szCs w:val="28"/>
          <w:lang w:eastAsia="zh-CN"/>
        </w:rPr>
        <w:t>）</w:t>
      </w:r>
      <w:r>
        <w:rPr>
          <w:rFonts w:hint="eastAsia" w:ascii="楷体_GB2312" w:hAnsi="楷体_GB2312" w:eastAsia="楷体_GB2312" w:cs="楷体_GB2312"/>
          <w:b w:val="0"/>
          <w:bCs w:val="0"/>
          <w:color w:val="auto"/>
          <w:szCs w:val="28"/>
        </w:rPr>
        <w:t>供应商情况介绍</w:t>
      </w:r>
    </w:p>
    <w:tbl>
      <w:tblPr>
        <w:tblStyle w:val="19"/>
        <w:tblW w:w="9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333"/>
        <w:gridCol w:w="4514"/>
        <w:gridCol w:w="170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79" w:type="dxa"/>
            <w:vAlign w:val="center"/>
          </w:tcPr>
          <w:p>
            <w:pPr>
              <w:pageBreakBefore w:val="0"/>
              <w:kinsoku/>
              <w:overflowPunct/>
              <w:topLinePunct w:val="0"/>
              <w:autoSpaceDE/>
              <w:autoSpaceDN/>
              <w:bidi w:val="0"/>
              <w:spacing w:line="560" w:lineRule="exact"/>
              <w:jc w:val="center"/>
              <w:textAlignment w:val="auto"/>
              <w:rPr>
                <w:b/>
                <w:color w:val="auto"/>
                <w:sz w:val="28"/>
                <w:szCs w:val="28"/>
              </w:rPr>
            </w:pPr>
            <w:r>
              <w:rPr>
                <w:rFonts w:hint="eastAsia"/>
                <w:b/>
                <w:color w:val="auto"/>
                <w:sz w:val="28"/>
                <w:szCs w:val="28"/>
              </w:rPr>
              <w:t>序号</w:t>
            </w:r>
          </w:p>
        </w:tc>
        <w:tc>
          <w:tcPr>
            <w:tcW w:w="2333" w:type="dxa"/>
            <w:vAlign w:val="top"/>
          </w:tcPr>
          <w:p>
            <w:pPr>
              <w:pageBreakBefore w:val="0"/>
              <w:kinsoku/>
              <w:overflowPunct/>
              <w:topLinePunct w:val="0"/>
              <w:autoSpaceDE/>
              <w:autoSpaceDN/>
              <w:bidi w:val="0"/>
              <w:spacing w:line="560" w:lineRule="exact"/>
              <w:jc w:val="center"/>
              <w:textAlignment w:val="auto"/>
              <w:rPr>
                <w:b/>
                <w:color w:val="auto"/>
                <w:sz w:val="28"/>
                <w:szCs w:val="28"/>
              </w:rPr>
            </w:pPr>
            <w:r>
              <w:rPr>
                <w:rFonts w:hint="eastAsia"/>
                <w:b/>
                <w:color w:val="auto"/>
                <w:sz w:val="28"/>
                <w:szCs w:val="28"/>
              </w:rPr>
              <w:t>项目</w:t>
            </w:r>
          </w:p>
        </w:tc>
        <w:tc>
          <w:tcPr>
            <w:tcW w:w="4514" w:type="dxa"/>
            <w:vAlign w:val="center"/>
          </w:tcPr>
          <w:p>
            <w:pPr>
              <w:pageBreakBefore w:val="0"/>
              <w:kinsoku/>
              <w:overflowPunct/>
              <w:topLinePunct w:val="0"/>
              <w:autoSpaceDE/>
              <w:autoSpaceDN/>
              <w:bidi w:val="0"/>
              <w:spacing w:line="560" w:lineRule="exact"/>
              <w:jc w:val="center"/>
              <w:textAlignment w:val="auto"/>
              <w:rPr>
                <w:b/>
                <w:color w:val="auto"/>
                <w:sz w:val="28"/>
                <w:szCs w:val="28"/>
              </w:rPr>
            </w:pPr>
            <w:r>
              <w:rPr>
                <w:rFonts w:hint="eastAsia"/>
                <w:b/>
                <w:color w:val="auto"/>
                <w:sz w:val="28"/>
                <w:szCs w:val="28"/>
              </w:rPr>
              <w:t>内容及说明</w:t>
            </w:r>
          </w:p>
        </w:tc>
        <w:tc>
          <w:tcPr>
            <w:tcW w:w="1706" w:type="dxa"/>
            <w:vAlign w:val="center"/>
          </w:tcPr>
          <w:p>
            <w:pPr>
              <w:pageBreakBefore w:val="0"/>
              <w:kinsoku/>
              <w:overflowPunct/>
              <w:topLinePunct w:val="0"/>
              <w:autoSpaceDE/>
              <w:autoSpaceDN/>
              <w:bidi w:val="0"/>
              <w:spacing w:line="560" w:lineRule="exact"/>
              <w:jc w:val="center"/>
              <w:textAlignment w:val="auto"/>
              <w:rPr>
                <w:b/>
                <w:color w:val="auto"/>
                <w:sz w:val="28"/>
                <w:szCs w:val="28"/>
              </w:rPr>
            </w:pPr>
            <w:r>
              <w:rPr>
                <w:rFonts w:hint="eastAsia"/>
                <w:b/>
                <w:color w:val="auto"/>
                <w:sz w:val="28"/>
                <w:szCs w:val="2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79" w:type="dxa"/>
            <w:vAlign w:val="center"/>
          </w:tcPr>
          <w:p>
            <w:pPr>
              <w:pageBreakBefore w:val="0"/>
              <w:kinsoku/>
              <w:overflowPunct/>
              <w:topLinePunct w:val="0"/>
              <w:autoSpaceDE/>
              <w:autoSpaceDN/>
              <w:bidi w:val="0"/>
              <w:spacing w:line="560" w:lineRule="exact"/>
              <w:jc w:val="center"/>
              <w:textAlignment w:val="auto"/>
              <w:rPr>
                <w:b/>
                <w:color w:val="auto"/>
                <w:sz w:val="24"/>
              </w:rPr>
            </w:pPr>
            <w:r>
              <w:rPr>
                <w:rFonts w:hint="eastAsia"/>
                <w:b/>
                <w:color w:val="auto"/>
                <w:sz w:val="24"/>
              </w:rPr>
              <w:t>一</w:t>
            </w:r>
          </w:p>
        </w:tc>
        <w:tc>
          <w:tcPr>
            <w:tcW w:w="6847" w:type="dxa"/>
            <w:gridSpan w:val="2"/>
            <w:vAlign w:val="top"/>
          </w:tcPr>
          <w:p>
            <w:pPr>
              <w:pageBreakBefore w:val="0"/>
              <w:kinsoku/>
              <w:overflowPunct/>
              <w:topLinePunct w:val="0"/>
              <w:autoSpaceDE/>
              <w:autoSpaceDN/>
              <w:bidi w:val="0"/>
              <w:spacing w:line="560" w:lineRule="exact"/>
              <w:textAlignment w:val="auto"/>
              <w:rPr>
                <w:b/>
                <w:color w:val="auto"/>
                <w:sz w:val="24"/>
              </w:rPr>
            </w:pPr>
            <w:r>
              <w:rPr>
                <w:rFonts w:hint="eastAsia"/>
                <w:b/>
                <w:color w:val="auto"/>
                <w:sz w:val="24"/>
              </w:rPr>
              <w:t>营业执照</w:t>
            </w:r>
          </w:p>
        </w:tc>
        <w:tc>
          <w:tcPr>
            <w:tcW w:w="1706" w:type="dxa"/>
            <w:vAlign w:val="center"/>
          </w:tcPr>
          <w:p>
            <w:pPr>
              <w:pageBreakBefore w:val="0"/>
              <w:kinsoku/>
              <w:overflowPunct/>
              <w:topLinePunct w:val="0"/>
              <w:autoSpaceDE/>
              <w:autoSpaceDN/>
              <w:bidi w:val="0"/>
              <w:spacing w:line="560" w:lineRule="exact"/>
              <w:jc w:val="center"/>
              <w:textAlignment w:val="auto"/>
              <w:rPr>
                <w:color w:val="auto"/>
                <w:sz w:val="24"/>
              </w:rPr>
            </w:pPr>
            <w:r>
              <w:rPr>
                <w:rFonts w:hint="eastAsia"/>
                <w:color w:val="auto"/>
                <w:sz w:val="24"/>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79" w:type="dxa"/>
            <w:vAlign w:val="center"/>
          </w:tcPr>
          <w:p>
            <w:pPr>
              <w:pageBreakBefore w:val="0"/>
              <w:kinsoku/>
              <w:overflowPunct/>
              <w:topLinePunct w:val="0"/>
              <w:autoSpaceDE/>
              <w:autoSpaceDN/>
              <w:bidi w:val="0"/>
              <w:spacing w:line="560" w:lineRule="exact"/>
              <w:jc w:val="center"/>
              <w:textAlignment w:val="auto"/>
              <w:rPr>
                <w:color w:val="auto"/>
                <w:sz w:val="24"/>
              </w:rPr>
            </w:pPr>
            <w:r>
              <w:rPr>
                <w:rFonts w:hint="eastAsia"/>
                <w:color w:val="auto"/>
                <w:sz w:val="24"/>
              </w:rPr>
              <w:t>1</w:t>
            </w:r>
          </w:p>
        </w:tc>
        <w:tc>
          <w:tcPr>
            <w:tcW w:w="2333" w:type="dxa"/>
            <w:vAlign w:val="center"/>
          </w:tcPr>
          <w:p>
            <w:pPr>
              <w:pageBreakBefore w:val="0"/>
              <w:kinsoku/>
              <w:overflowPunct/>
              <w:topLinePunct w:val="0"/>
              <w:autoSpaceDE/>
              <w:autoSpaceDN/>
              <w:bidi w:val="0"/>
              <w:spacing w:line="560" w:lineRule="exact"/>
              <w:jc w:val="center"/>
              <w:textAlignment w:val="auto"/>
              <w:rPr>
                <w:color w:val="auto"/>
                <w:sz w:val="24"/>
              </w:rPr>
            </w:pPr>
            <w:r>
              <w:rPr>
                <w:rFonts w:hint="eastAsia"/>
                <w:color w:val="auto"/>
                <w:sz w:val="24"/>
              </w:rPr>
              <w:t>成立日期及注册号</w:t>
            </w:r>
          </w:p>
        </w:tc>
        <w:tc>
          <w:tcPr>
            <w:tcW w:w="4514" w:type="dxa"/>
            <w:vAlign w:val="center"/>
          </w:tcPr>
          <w:p>
            <w:pPr>
              <w:pageBreakBefore w:val="0"/>
              <w:kinsoku/>
              <w:overflowPunct/>
              <w:topLinePunct w:val="0"/>
              <w:autoSpaceDE/>
              <w:autoSpaceDN/>
              <w:bidi w:val="0"/>
              <w:spacing w:line="560" w:lineRule="exact"/>
              <w:textAlignment w:val="auto"/>
              <w:rPr>
                <w:color w:val="auto"/>
                <w:sz w:val="24"/>
              </w:rPr>
            </w:pPr>
          </w:p>
        </w:tc>
        <w:tc>
          <w:tcPr>
            <w:tcW w:w="1706" w:type="dxa"/>
            <w:vAlign w:val="center"/>
          </w:tcPr>
          <w:p>
            <w:pPr>
              <w:pageBreakBefore w:val="0"/>
              <w:kinsoku/>
              <w:overflowPunct/>
              <w:topLinePunct w:val="0"/>
              <w:autoSpaceDE/>
              <w:autoSpaceDN/>
              <w:bidi w:val="0"/>
              <w:spacing w:line="560" w:lineRule="exact"/>
              <w:jc w:val="center"/>
              <w:textAlignment w:val="auto"/>
              <w:rPr>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79" w:type="dxa"/>
            <w:vAlign w:val="center"/>
          </w:tcPr>
          <w:p>
            <w:pPr>
              <w:pageBreakBefore w:val="0"/>
              <w:kinsoku/>
              <w:overflowPunct/>
              <w:topLinePunct w:val="0"/>
              <w:autoSpaceDE/>
              <w:autoSpaceDN/>
              <w:bidi w:val="0"/>
              <w:spacing w:line="560" w:lineRule="exact"/>
              <w:jc w:val="center"/>
              <w:textAlignment w:val="auto"/>
              <w:rPr>
                <w:color w:val="auto"/>
                <w:sz w:val="24"/>
              </w:rPr>
            </w:pPr>
            <w:r>
              <w:rPr>
                <w:rFonts w:hint="eastAsia"/>
                <w:color w:val="auto"/>
                <w:sz w:val="24"/>
              </w:rPr>
              <w:t>2</w:t>
            </w:r>
          </w:p>
        </w:tc>
        <w:tc>
          <w:tcPr>
            <w:tcW w:w="2333" w:type="dxa"/>
            <w:vAlign w:val="center"/>
          </w:tcPr>
          <w:p>
            <w:pPr>
              <w:pageBreakBefore w:val="0"/>
              <w:kinsoku/>
              <w:overflowPunct/>
              <w:topLinePunct w:val="0"/>
              <w:autoSpaceDE/>
              <w:autoSpaceDN/>
              <w:bidi w:val="0"/>
              <w:spacing w:line="560" w:lineRule="exact"/>
              <w:jc w:val="center"/>
              <w:textAlignment w:val="auto"/>
              <w:rPr>
                <w:color w:val="auto"/>
                <w:sz w:val="24"/>
              </w:rPr>
            </w:pPr>
            <w:r>
              <w:rPr>
                <w:rFonts w:hint="eastAsia"/>
                <w:color w:val="auto"/>
                <w:sz w:val="24"/>
              </w:rPr>
              <w:t>注册资本（万元）</w:t>
            </w:r>
          </w:p>
        </w:tc>
        <w:tc>
          <w:tcPr>
            <w:tcW w:w="4514" w:type="dxa"/>
            <w:vAlign w:val="center"/>
          </w:tcPr>
          <w:p>
            <w:pPr>
              <w:pageBreakBefore w:val="0"/>
              <w:kinsoku/>
              <w:overflowPunct/>
              <w:topLinePunct w:val="0"/>
              <w:autoSpaceDE/>
              <w:autoSpaceDN/>
              <w:bidi w:val="0"/>
              <w:spacing w:line="560" w:lineRule="exact"/>
              <w:textAlignment w:val="auto"/>
              <w:rPr>
                <w:color w:val="auto"/>
                <w:sz w:val="24"/>
              </w:rPr>
            </w:pPr>
          </w:p>
        </w:tc>
        <w:tc>
          <w:tcPr>
            <w:tcW w:w="1706" w:type="dxa"/>
            <w:vAlign w:val="center"/>
          </w:tcPr>
          <w:p>
            <w:pPr>
              <w:pageBreakBefore w:val="0"/>
              <w:kinsoku/>
              <w:overflowPunct/>
              <w:topLinePunct w:val="0"/>
              <w:autoSpaceDE/>
              <w:autoSpaceDN/>
              <w:bidi w:val="0"/>
              <w:spacing w:line="560" w:lineRule="exact"/>
              <w:jc w:val="center"/>
              <w:textAlignment w:val="auto"/>
              <w:rPr>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79" w:type="dxa"/>
            <w:vAlign w:val="center"/>
          </w:tcPr>
          <w:p>
            <w:pPr>
              <w:pageBreakBefore w:val="0"/>
              <w:kinsoku/>
              <w:overflowPunct/>
              <w:topLinePunct w:val="0"/>
              <w:autoSpaceDE/>
              <w:autoSpaceDN/>
              <w:bidi w:val="0"/>
              <w:spacing w:line="560" w:lineRule="exact"/>
              <w:jc w:val="center"/>
              <w:textAlignment w:val="auto"/>
              <w:rPr>
                <w:color w:val="auto"/>
                <w:sz w:val="24"/>
              </w:rPr>
            </w:pPr>
            <w:r>
              <w:rPr>
                <w:rFonts w:hint="eastAsia"/>
                <w:color w:val="auto"/>
                <w:sz w:val="24"/>
              </w:rPr>
              <w:t>3</w:t>
            </w:r>
          </w:p>
        </w:tc>
        <w:tc>
          <w:tcPr>
            <w:tcW w:w="2333" w:type="dxa"/>
            <w:vAlign w:val="center"/>
          </w:tcPr>
          <w:p>
            <w:pPr>
              <w:pageBreakBefore w:val="0"/>
              <w:kinsoku/>
              <w:overflowPunct/>
              <w:topLinePunct w:val="0"/>
              <w:autoSpaceDE/>
              <w:autoSpaceDN/>
              <w:bidi w:val="0"/>
              <w:spacing w:line="560" w:lineRule="exact"/>
              <w:jc w:val="center"/>
              <w:textAlignment w:val="auto"/>
              <w:rPr>
                <w:color w:val="auto"/>
                <w:sz w:val="24"/>
              </w:rPr>
            </w:pPr>
            <w:r>
              <w:rPr>
                <w:rFonts w:hint="eastAsia"/>
                <w:color w:val="auto"/>
                <w:sz w:val="24"/>
              </w:rPr>
              <w:t>注册地址</w:t>
            </w:r>
          </w:p>
        </w:tc>
        <w:tc>
          <w:tcPr>
            <w:tcW w:w="4514" w:type="dxa"/>
            <w:vAlign w:val="center"/>
          </w:tcPr>
          <w:p>
            <w:pPr>
              <w:pageBreakBefore w:val="0"/>
              <w:kinsoku/>
              <w:overflowPunct/>
              <w:topLinePunct w:val="0"/>
              <w:autoSpaceDE/>
              <w:autoSpaceDN/>
              <w:bidi w:val="0"/>
              <w:spacing w:line="560" w:lineRule="exact"/>
              <w:textAlignment w:val="auto"/>
              <w:rPr>
                <w:color w:val="auto"/>
                <w:sz w:val="24"/>
              </w:rPr>
            </w:pPr>
          </w:p>
        </w:tc>
        <w:tc>
          <w:tcPr>
            <w:tcW w:w="1706" w:type="dxa"/>
            <w:vAlign w:val="center"/>
          </w:tcPr>
          <w:p>
            <w:pPr>
              <w:pageBreakBefore w:val="0"/>
              <w:kinsoku/>
              <w:overflowPunct/>
              <w:topLinePunct w:val="0"/>
              <w:autoSpaceDE/>
              <w:autoSpaceDN/>
              <w:bidi w:val="0"/>
              <w:spacing w:line="560" w:lineRule="exact"/>
              <w:jc w:val="center"/>
              <w:textAlignment w:val="auto"/>
              <w:rPr>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79" w:type="dxa"/>
            <w:vAlign w:val="center"/>
          </w:tcPr>
          <w:p>
            <w:pPr>
              <w:pageBreakBefore w:val="0"/>
              <w:kinsoku/>
              <w:overflowPunct/>
              <w:topLinePunct w:val="0"/>
              <w:autoSpaceDE/>
              <w:autoSpaceDN/>
              <w:bidi w:val="0"/>
              <w:spacing w:line="560" w:lineRule="exact"/>
              <w:jc w:val="center"/>
              <w:textAlignment w:val="auto"/>
              <w:rPr>
                <w:color w:val="auto"/>
                <w:sz w:val="24"/>
              </w:rPr>
            </w:pPr>
            <w:r>
              <w:rPr>
                <w:rFonts w:hint="eastAsia"/>
                <w:color w:val="auto"/>
                <w:sz w:val="24"/>
              </w:rPr>
              <w:t>4</w:t>
            </w:r>
          </w:p>
        </w:tc>
        <w:tc>
          <w:tcPr>
            <w:tcW w:w="2333" w:type="dxa"/>
            <w:vAlign w:val="center"/>
          </w:tcPr>
          <w:p>
            <w:pPr>
              <w:pageBreakBefore w:val="0"/>
              <w:kinsoku/>
              <w:overflowPunct/>
              <w:topLinePunct w:val="0"/>
              <w:autoSpaceDE/>
              <w:autoSpaceDN/>
              <w:bidi w:val="0"/>
              <w:spacing w:line="560" w:lineRule="exact"/>
              <w:jc w:val="center"/>
              <w:textAlignment w:val="auto"/>
              <w:rPr>
                <w:color w:val="auto"/>
                <w:sz w:val="24"/>
              </w:rPr>
            </w:pPr>
            <w:r>
              <w:rPr>
                <w:rFonts w:hint="eastAsia"/>
                <w:color w:val="auto"/>
                <w:sz w:val="24"/>
              </w:rPr>
              <w:t>有效期</w:t>
            </w:r>
          </w:p>
        </w:tc>
        <w:tc>
          <w:tcPr>
            <w:tcW w:w="4514" w:type="dxa"/>
            <w:vAlign w:val="center"/>
          </w:tcPr>
          <w:p>
            <w:pPr>
              <w:pageBreakBefore w:val="0"/>
              <w:kinsoku/>
              <w:overflowPunct/>
              <w:topLinePunct w:val="0"/>
              <w:autoSpaceDE/>
              <w:autoSpaceDN/>
              <w:bidi w:val="0"/>
              <w:spacing w:line="560" w:lineRule="exact"/>
              <w:textAlignment w:val="auto"/>
              <w:rPr>
                <w:color w:val="auto"/>
                <w:sz w:val="24"/>
              </w:rPr>
            </w:pPr>
          </w:p>
        </w:tc>
        <w:tc>
          <w:tcPr>
            <w:tcW w:w="1706" w:type="dxa"/>
            <w:vAlign w:val="center"/>
          </w:tcPr>
          <w:p>
            <w:pPr>
              <w:pageBreakBefore w:val="0"/>
              <w:kinsoku/>
              <w:overflowPunct/>
              <w:topLinePunct w:val="0"/>
              <w:autoSpaceDE/>
              <w:autoSpaceDN/>
              <w:bidi w:val="0"/>
              <w:spacing w:line="560" w:lineRule="exact"/>
              <w:jc w:val="center"/>
              <w:textAlignment w:val="auto"/>
              <w:rPr>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79" w:type="dxa"/>
            <w:vAlign w:val="center"/>
          </w:tcPr>
          <w:p>
            <w:pPr>
              <w:pageBreakBefore w:val="0"/>
              <w:kinsoku/>
              <w:overflowPunct/>
              <w:topLinePunct w:val="0"/>
              <w:autoSpaceDE/>
              <w:autoSpaceDN/>
              <w:bidi w:val="0"/>
              <w:spacing w:line="560" w:lineRule="exact"/>
              <w:jc w:val="center"/>
              <w:textAlignment w:val="auto"/>
              <w:rPr>
                <w:b/>
                <w:color w:val="auto"/>
                <w:sz w:val="24"/>
              </w:rPr>
            </w:pPr>
            <w:r>
              <w:rPr>
                <w:rFonts w:hint="eastAsia"/>
                <w:b/>
                <w:color w:val="auto"/>
                <w:sz w:val="24"/>
              </w:rPr>
              <w:t>二</w:t>
            </w:r>
          </w:p>
        </w:tc>
        <w:tc>
          <w:tcPr>
            <w:tcW w:w="6847" w:type="dxa"/>
            <w:gridSpan w:val="2"/>
            <w:vAlign w:val="center"/>
          </w:tcPr>
          <w:p>
            <w:pPr>
              <w:pageBreakBefore w:val="0"/>
              <w:kinsoku/>
              <w:overflowPunct/>
              <w:topLinePunct w:val="0"/>
              <w:autoSpaceDE/>
              <w:autoSpaceDN/>
              <w:bidi w:val="0"/>
              <w:spacing w:line="560" w:lineRule="exact"/>
              <w:textAlignment w:val="auto"/>
              <w:rPr>
                <w:b/>
                <w:color w:val="auto"/>
                <w:sz w:val="24"/>
              </w:rPr>
            </w:pPr>
            <w:r>
              <w:rPr>
                <w:rFonts w:hint="eastAsia"/>
                <w:b/>
                <w:color w:val="auto"/>
                <w:sz w:val="24"/>
              </w:rPr>
              <w:t>税务登记证</w:t>
            </w:r>
          </w:p>
        </w:tc>
        <w:tc>
          <w:tcPr>
            <w:tcW w:w="1706" w:type="dxa"/>
            <w:vAlign w:val="center"/>
          </w:tcPr>
          <w:p>
            <w:pPr>
              <w:pageBreakBefore w:val="0"/>
              <w:kinsoku/>
              <w:overflowPunct/>
              <w:topLinePunct w:val="0"/>
              <w:autoSpaceDE/>
              <w:autoSpaceDN/>
              <w:bidi w:val="0"/>
              <w:spacing w:line="560" w:lineRule="exact"/>
              <w:jc w:val="center"/>
              <w:textAlignment w:val="auto"/>
              <w:rPr>
                <w:color w:val="auto"/>
                <w:sz w:val="24"/>
              </w:rPr>
            </w:pPr>
            <w:r>
              <w:rPr>
                <w:rFonts w:hint="eastAsia"/>
                <w:color w:val="auto"/>
                <w:sz w:val="24"/>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79" w:type="dxa"/>
            <w:vAlign w:val="center"/>
          </w:tcPr>
          <w:p>
            <w:pPr>
              <w:pageBreakBefore w:val="0"/>
              <w:kinsoku/>
              <w:overflowPunct/>
              <w:topLinePunct w:val="0"/>
              <w:autoSpaceDE/>
              <w:autoSpaceDN/>
              <w:bidi w:val="0"/>
              <w:spacing w:line="560" w:lineRule="exact"/>
              <w:jc w:val="center"/>
              <w:textAlignment w:val="auto"/>
              <w:rPr>
                <w:color w:val="auto"/>
                <w:sz w:val="24"/>
              </w:rPr>
            </w:pPr>
            <w:r>
              <w:rPr>
                <w:rFonts w:hint="eastAsia"/>
                <w:color w:val="auto"/>
                <w:sz w:val="24"/>
              </w:rPr>
              <w:t>1</w:t>
            </w:r>
          </w:p>
        </w:tc>
        <w:tc>
          <w:tcPr>
            <w:tcW w:w="2333" w:type="dxa"/>
            <w:vAlign w:val="center"/>
          </w:tcPr>
          <w:p>
            <w:pPr>
              <w:pageBreakBefore w:val="0"/>
              <w:kinsoku/>
              <w:overflowPunct/>
              <w:topLinePunct w:val="0"/>
              <w:autoSpaceDE/>
              <w:autoSpaceDN/>
              <w:bidi w:val="0"/>
              <w:spacing w:line="560" w:lineRule="exact"/>
              <w:jc w:val="center"/>
              <w:textAlignment w:val="auto"/>
              <w:rPr>
                <w:color w:val="auto"/>
                <w:sz w:val="24"/>
              </w:rPr>
            </w:pPr>
            <w:r>
              <w:rPr>
                <w:rFonts w:hint="eastAsia"/>
                <w:color w:val="auto"/>
                <w:sz w:val="24"/>
              </w:rPr>
              <w:t>税务登记证编号</w:t>
            </w:r>
          </w:p>
        </w:tc>
        <w:tc>
          <w:tcPr>
            <w:tcW w:w="4514" w:type="dxa"/>
            <w:vAlign w:val="center"/>
          </w:tcPr>
          <w:p>
            <w:pPr>
              <w:pageBreakBefore w:val="0"/>
              <w:kinsoku/>
              <w:overflowPunct/>
              <w:topLinePunct w:val="0"/>
              <w:autoSpaceDE/>
              <w:autoSpaceDN/>
              <w:bidi w:val="0"/>
              <w:spacing w:line="560" w:lineRule="exact"/>
              <w:textAlignment w:val="auto"/>
              <w:rPr>
                <w:color w:val="auto"/>
                <w:sz w:val="24"/>
              </w:rPr>
            </w:pPr>
          </w:p>
        </w:tc>
        <w:tc>
          <w:tcPr>
            <w:tcW w:w="1706" w:type="dxa"/>
            <w:vAlign w:val="center"/>
          </w:tcPr>
          <w:p>
            <w:pPr>
              <w:pageBreakBefore w:val="0"/>
              <w:kinsoku/>
              <w:overflowPunct/>
              <w:topLinePunct w:val="0"/>
              <w:autoSpaceDE/>
              <w:autoSpaceDN/>
              <w:bidi w:val="0"/>
              <w:spacing w:line="560" w:lineRule="exact"/>
              <w:jc w:val="center"/>
              <w:textAlignment w:val="auto"/>
              <w:rPr>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79" w:type="dxa"/>
            <w:vAlign w:val="center"/>
          </w:tcPr>
          <w:p>
            <w:pPr>
              <w:pageBreakBefore w:val="0"/>
              <w:kinsoku/>
              <w:overflowPunct/>
              <w:topLinePunct w:val="0"/>
              <w:autoSpaceDE/>
              <w:autoSpaceDN/>
              <w:bidi w:val="0"/>
              <w:spacing w:line="560" w:lineRule="exact"/>
              <w:jc w:val="center"/>
              <w:textAlignment w:val="auto"/>
              <w:rPr>
                <w:color w:val="auto"/>
                <w:sz w:val="24"/>
              </w:rPr>
            </w:pPr>
            <w:r>
              <w:rPr>
                <w:rFonts w:hint="eastAsia"/>
                <w:color w:val="auto"/>
                <w:sz w:val="24"/>
              </w:rPr>
              <w:t>三</w:t>
            </w:r>
          </w:p>
        </w:tc>
        <w:tc>
          <w:tcPr>
            <w:tcW w:w="6847" w:type="dxa"/>
            <w:gridSpan w:val="2"/>
            <w:vAlign w:val="center"/>
          </w:tcPr>
          <w:p>
            <w:pPr>
              <w:pageBreakBefore w:val="0"/>
              <w:kinsoku/>
              <w:overflowPunct/>
              <w:topLinePunct w:val="0"/>
              <w:autoSpaceDE/>
              <w:autoSpaceDN/>
              <w:bidi w:val="0"/>
              <w:spacing w:line="560" w:lineRule="exact"/>
              <w:textAlignment w:val="auto"/>
              <w:rPr>
                <w:b/>
                <w:color w:val="auto"/>
                <w:sz w:val="24"/>
              </w:rPr>
            </w:pPr>
            <w:r>
              <w:rPr>
                <w:rFonts w:hint="eastAsia"/>
                <w:b/>
                <w:color w:val="auto"/>
                <w:sz w:val="24"/>
              </w:rPr>
              <w:t>资格（质）证书（</w:t>
            </w:r>
            <w:r>
              <w:rPr>
                <w:rFonts w:hint="eastAsia"/>
                <w:color w:val="auto"/>
                <w:sz w:val="24"/>
              </w:rPr>
              <w:t>若有其他资质证书，可按表格格式扩展</w:t>
            </w:r>
            <w:r>
              <w:rPr>
                <w:rFonts w:hint="eastAsia"/>
                <w:b/>
                <w:color w:val="auto"/>
                <w:sz w:val="24"/>
              </w:rPr>
              <w:t>）</w:t>
            </w:r>
          </w:p>
        </w:tc>
        <w:tc>
          <w:tcPr>
            <w:tcW w:w="1706" w:type="dxa"/>
            <w:vAlign w:val="center"/>
          </w:tcPr>
          <w:p>
            <w:pPr>
              <w:pageBreakBefore w:val="0"/>
              <w:kinsoku/>
              <w:overflowPunct/>
              <w:topLinePunct w:val="0"/>
              <w:autoSpaceDE/>
              <w:autoSpaceDN/>
              <w:bidi w:val="0"/>
              <w:spacing w:line="560" w:lineRule="exact"/>
              <w:jc w:val="center"/>
              <w:textAlignment w:val="auto"/>
              <w:rPr>
                <w:color w:val="auto"/>
                <w:sz w:val="24"/>
              </w:rPr>
            </w:pPr>
            <w:r>
              <w:rPr>
                <w:rFonts w:hint="eastAsia"/>
                <w:color w:val="auto"/>
                <w:sz w:val="24"/>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79" w:type="dxa"/>
            <w:vAlign w:val="center"/>
          </w:tcPr>
          <w:p>
            <w:pPr>
              <w:pageBreakBefore w:val="0"/>
              <w:kinsoku/>
              <w:overflowPunct/>
              <w:topLinePunct w:val="0"/>
              <w:autoSpaceDE/>
              <w:autoSpaceDN/>
              <w:bidi w:val="0"/>
              <w:spacing w:line="560" w:lineRule="exact"/>
              <w:jc w:val="center"/>
              <w:textAlignment w:val="auto"/>
              <w:rPr>
                <w:color w:val="auto"/>
                <w:sz w:val="24"/>
              </w:rPr>
            </w:pPr>
            <w:r>
              <w:rPr>
                <w:rFonts w:hint="eastAsia"/>
                <w:color w:val="auto"/>
                <w:sz w:val="24"/>
              </w:rPr>
              <w:t>1</w:t>
            </w:r>
          </w:p>
        </w:tc>
        <w:tc>
          <w:tcPr>
            <w:tcW w:w="2333" w:type="dxa"/>
            <w:vAlign w:val="center"/>
          </w:tcPr>
          <w:p>
            <w:pPr>
              <w:pageBreakBefore w:val="0"/>
              <w:kinsoku/>
              <w:overflowPunct/>
              <w:topLinePunct w:val="0"/>
              <w:autoSpaceDE/>
              <w:autoSpaceDN/>
              <w:bidi w:val="0"/>
              <w:spacing w:line="560" w:lineRule="exact"/>
              <w:jc w:val="center"/>
              <w:textAlignment w:val="auto"/>
              <w:rPr>
                <w:color w:val="auto"/>
                <w:sz w:val="24"/>
              </w:rPr>
            </w:pPr>
            <w:r>
              <w:rPr>
                <w:rFonts w:hint="eastAsia"/>
                <w:color w:val="auto"/>
                <w:sz w:val="24"/>
              </w:rPr>
              <w:t>证书名称</w:t>
            </w:r>
          </w:p>
        </w:tc>
        <w:tc>
          <w:tcPr>
            <w:tcW w:w="4514" w:type="dxa"/>
            <w:vAlign w:val="center"/>
          </w:tcPr>
          <w:p>
            <w:pPr>
              <w:pageBreakBefore w:val="0"/>
              <w:kinsoku/>
              <w:overflowPunct/>
              <w:topLinePunct w:val="0"/>
              <w:autoSpaceDE/>
              <w:autoSpaceDN/>
              <w:bidi w:val="0"/>
              <w:spacing w:line="560" w:lineRule="exact"/>
              <w:jc w:val="center"/>
              <w:textAlignment w:val="auto"/>
              <w:rPr>
                <w:color w:val="auto"/>
                <w:sz w:val="24"/>
              </w:rPr>
            </w:pPr>
          </w:p>
        </w:tc>
        <w:tc>
          <w:tcPr>
            <w:tcW w:w="1706" w:type="dxa"/>
            <w:vAlign w:val="center"/>
          </w:tcPr>
          <w:p>
            <w:pPr>
              <w:pageBreakBefore w:val="0"/>
              <w:kinsoku/>
              <w:overflowPunct/>
              <w:topLinePunct w:val="0"/>
              <w:autoSpaceDE/>
              <w:autoSpaceDN/>
              <w:bidi w:val="0"/>
              <w:spacing w:line="560" w:lineRule="exact"/>
              <w:jc w:val="center"/>
              <w:textAlignment w:val="auto"/>
              <w:rPr>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79" w:type="dxa"/>
            <w:vAlign w:val="center"/>
          </w:tcPr>
          <w:p>
            <w:pPr>
              <w:pageBreakBefore w:val="0"/>
              <w:kinsoku/>
              <w:overflowPunct/>
              <w:topLinePunct w:val="0"/>
              <w:autoSpaceDE/>
              <w:autoSpaceDN/>
              <w:bidi w:val="0"/>
              <w:spacing w:line="560" w:lineRule="exact"/>
              <w:jc w:val="center"/>
              <w:textAlignment w:val="auto"/>
              <w:rPr>
                <w:color w:val="auto"/>
                <w:sz w:val="24"/>
              </w:rPr>
            </w:pPr>
            <w:r>
              <w:rPr>
                <w:rFonts w:hint="eastAsia"/>
                <w:color w:val="auto"/>
                <w:sz w:val="24"/>
              </w:rPr>
              <w:t>2</w:t>
            </w:r>
          </w:p>
        </w:tc>
        <w:tc>
          <w:tcPr>
            <w:tcW w:w="2333" w:type="dxa"/>
            <w:vAlign w:val="center"/>
          </w:tcPr>
          <w:p>
            <w:pPr>
              <w:pageBreakBefore w:val="0"/>
              <w:kinsoku/>
              <w:overflowPunct/>
              <w:topLinePunct w:val="0"/>
              <w:autoSpaceDE/>
              <w:autoSpaceDN/>
              <w:bidi w:val="0"/>
              <w:spacing w:line="560" w:lineRule="exact"/>
              <w:jc w:val="center"/>
              <w:textAlignment w:val="auto"/>
              <w:rPr>
                <w:color w:val="auto"/>
                <w:sz w:val="24"/>
              </w:rPr>
            </w:pPr>
            <w:r>
              <w:rPr>
                <w:rFonts w:hint="eastAsia"/>
                <w:color w:val="auto"/>
                <w:sz w:val="24"/>
              </w:rPr>
              <w:t>发证机关</w:t>
            </w:r>
          </w:p>
        </w:tc>
        <w:tc>
          <w:tcPr>
            <w:tcW w:w="4514" w:type="dxa"/>
            <w:vAlign w:val="center"/>
          </w:tcPr>
          <w:p>
            <w:pPr>
              <w:pageBreakBefore w:val="0"/>
              <w:kinsoku/>
              <w:overflowPunct/>
              <w:topLinePunct w:val="0"/>
              <w:autoSpaceDE/>
              <w:autoSpaceDN/>
              <w:bidi w:val="0"/>
              <w:spacing w:line="560" w:lineRule="exact"/>
              <w:jc w:val="center"/>
              <w:textAlignment w:val="auto"/>
              <w:rPr>
                <w:color w:val="auto"/>
                <w:sz w:val="24"/>
              </w:rPr>
            </w:pPr>
          </w:p>
        </w:tc>
        <w:tc>
          <w:tcPr>
            <w:tcW w:w="1706" w:type="dxa"/>
            <w:vAlign w:val="center"/>
          </w:tcPr>
          <w:p>
            <w:pPr>
              <w:pageBreakBefore w:val="0"/>
              <w:kinsoku/>
              <w:overflowPunct/>
              <w:topLinePunct w:val="0"/>
              <w:autoSpaceDE/>
              <w:autoSpaceDN/>
              <w:bidi w:val="0"/>
              <w:spacing w:line="560" w:lineRule="exact"/>
              <w:jc w:val="center"/>
              <w:textAlignment w:val="auto"/>
              <w:rPr>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79" w:type="dxa"/>
            <w:vAlign w:val="center"/>
          </w:tcPr>
          <w:p>
            <w:pPr>
              <w:pageBreakBefore w:val="0"/>
              <w:kinsoku/>
              <w:overflowPunct/>
              <w:topLinePunct w:val="0"/>
              <w:autoSpaceDE/>
              <w:autoSpaceDN/>
              <w:bidi w:val="0"/>
              <w:spacing w:line="560" w:lineRule="exact"/>
              <w:jc w:val="center"/>
              <w:textAlignment w:val="auto"/>
              <w:rPr>
                <w:color w:val="auto"/>
                <w:sz w:val="24"/>
              </w:rPr>
            </w:pPr>
            <w:r>
              <w:rPr>
                <w:rFonts w:hint="eastAsia"/>
                <w:color w:val="auto"/>
                <w:sz w:val="24"/>
              </w:rPr>
              <w:t>3</w:t>
            </w:r>
          </w:p>
        </w:tc>
        <w:tc>
          <w:tcPr>
            <w:tcW w:w="2333" w:type="dxa"/>
            <w:vAlign w:val="center"/>
          </w:tcPr>
          <w:p>
            <w:pPr>
              <w:pageBreakBefore w:val="0"/>
              <w:kinsoku/>
              <w:overflowPunct/>
              <w:topLinePunct w:val="0"/>
              <w:autoSpaceDE/>
              <w:autoSpaceDN/>
              <w:bidi w:val="0"/>
              <w:spacing w:line="560" w:lineRule="exact"/>
              <w:jc w:val="center"/>
              <w:textAlignment w:val="auto"/>
              <w:rPr>
                <w:color w:val="auto"/>
                <w:sz w:val="24"/>
              </w:rPr>
            </w:pPr>
            <w:r>
              <w:rPr>
                <w:rFonts w:hint="eastAsia"/>
                <w:color w:val="auto"/>
                <w:sz w:val="24"/>
              </w:rPr>
              <w:t>等级</w:t>
            </w:r>
          </w:p>
        </w:tc>
        <w:tc>
          <w:tcPr>
            <w:tcW w:w="4514" w:type="dxa"/>
            <w:vAlign w:val="center"/>
          </w:tcPr>
          <w:p>
            <w:pPr>
              <w:pageBreakBefore w:val="0"/>
              <w:kinsoku/>
              <w:overflowPunct/>
              <w:topLinePunct w:val="0"/>
              <w:autoSpaceDE/>
              <w:autoSpaceDN/>
              <w:bidi w:val="0"/>
              <w:spacing w:line="560" w:lineRule="exact"/>
              <w:jc w:val="center"/>
              <w:textAlignment w:val="auto"/>
              <w:rPr>
                <w:color w:val="auto"/>
                <w:sz w:val="24"/>
              </w:rPr>
            </w:pPr>
          </w:p>
        </w:tc>
        <w:tc>
          <w:tcPr>
            <w:tcW w:w="1706" w:type="dxa"/>
            <w:vAlign w:val="center"/>
          </w:tcPr>
          <w:p>
            <w:pPr>
              <w:pageBreakBefore w:val="0"/>
              <w:kinsoku/>
              <w:overflowPunct/>
              <w:topLinePunct w:val="0"/>
              <w:autoSpaceDE/>
              <w:autoSpaceDN/>
              <w:bidi w:val="0"/>
              <w:spacing w:line="560" w:lineRule="exact"/>
              <w:jc w:val="center"/>
              <w:textAlignment w:val="auto"/>
              <w:rPr>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79" w:type="dxa"/>
            <w:vAlign w:val="center"/>
          </w:tcPr>
          <w:p>
            <w:pPr>
              <w:pageBreakBefore w:val="0"/>
              <w:kinsoku/>
              <w:overflowPunct/>
              <w:topLinePunct w:val="0"/>
              <w:autoSpaceDE/>
              <w:autoSpaceDN/>
              <w:bidi w:val="0"/>
              <w:spacing w:line="560" w:lineRule="exact"/>
              <w:jc w:val="center"/>
              <w:textAlignment w:val="auto"/>
              <w:rPr>
                <w:color w:val="auto"/>
                <w:sz w:val="24"/>
              </w:rPr>
            </w:pPr>
            <w:r>
              <w:rPr>
                <w:rFonts w:hint="eastAsia"/>
                <w:color w:val="auto"/>
                <w:sz w:val="24"/>
              </w:rPr>
              <w:t>4</w:t>
            </w:r>
          </w:p>
        </w:tc>
        <w:tc>
          <w:tcPr>
            <w:tcW w:w="2333" w:type="dxa"/>
            <w:vAlign w:val="center"/>
          </w:tcPr>
          <w:p>
            <w:pPr>
              <w:pageBreakBefore w:val="0"/>
              <w:kinsoku/>
              <w:overflowPunct/>
              <w:topLinePunct w:val="0"/>
              <w:autoSpaceDE/>
              <w:autoSpaceDN/>
              <w:bidi w:val="0"/>
              <w:spacing w:line="560" w:lineRule="exact"/>
              <w:jc w:val="center"/>
              <w:textAlignment w:val="auto"/>
              <w:rPr>
                <w:color w:val="auto"/>
                <w:sz w:val="24"/>
              </w:rPr>
            </w:pPr>
            <w:r>
              <w:rPr>
                <w:rFonts w:hint="eastAsia"/>
                <w:color w:val="auto"/>
                <w:sz w:val="24"/>
              </w:rPr>
              <w:t>发证日期及编号</w:t>
            </w:r>
          </w:p>
        </w:tc>
        <w:tc>
          <w:tcPr>
            <w:tcW w:w="4514" w:type="dxa"/>
            <w:vAlign w:val="center"/>
          </w:tcPr>
          <w:p>
            <w:pPr>
              <w:pageBreakBefore w:val="0"/>
              <w:kinsoku/>
              <w:overflowPunct/>
              <w:topLinePunct w:val="0"/>
              <w:autoSpaceDE/>
              <w:autoSpaceDN/>
              <w:bidi w:val="0"/>
              <w:spacing w:line="560" w:lineRule="exact"/>
              <w:jc w:val="center"/>
              <w:textAlignment w:val="auto"/>
              <w:rPr>
                <w:color w:val="auto"/>
                <w:sz w:val="24"/>
              </w:rPr>
            </w:pPr>
          </w:p>
        </w:tc>
        <w:tc>
          <w:tcPr>
            <w:tcW w:w="1706" w:type="dxa"/>
            <w:vAlign w:val="center"/>
          </w:tcPr>
          <w:p>
            <w:pPr>
              <w:pageBreakBefore w:val="0"/>
              <w:kinsoku/>
              <w:overflowPunct/>
              <w:topLinePunct w:val="0"/>
              <w:autoSpaceDE/>
              <w:autoSpaceDN/>
              <w:bidi w:val="0"/>
              <w:spacing w:line="560" w:lineRule="exact"/>
              <w:jc w:val="center"/>
              <w:textAlignment w:val="auto"/>
              <w:rPr>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879" w:type="dxa"/>
            <w:vAlign w:val="center"/>
          </w:tcPr>
          <w:p>
            <w:pPr>
              <w:pageBreakBefore w:val="0"/>
              <w:kinsoku/>
              <w:overflowPunct/>
              <w:topLinePunct w:val="0"/>
              <w:autoSpaceDE/>
              <w:autoSpaceDN/>
              <w:bidi w:val="0"/>
              <w:spacing w:line="560" w:lineRule="exact"/>
              <w:jc w:val="center"/>
              <w:textAlignment w:val="auto"/>
              <w:rPr>
                <w:color w:val="auto"/>
                <w:sz w:val="24"/>
              </w:rPr>
            </w:pPr>
            <w:r>
              <w:rPr>
                <w:rFonts w:hint="eastAsia"/>
                <w:color w:val="auto"/>
                <w:sz w:val="24"/>
              </w:rPr>
              <w:t>5</w:t>
            </w:r>
          </w:p>
        </w:tc>
        <w:tc>
          <w:tcPr>
            <w:tcW w:w="2333" w:type="dxa"/>
            <w:vAlign w:val="center"/>
          </w:tcPr>
          <w:p>
            <w:pPr>
              <w:pageBreakBefore w:val="0"/>
              <w:kinsoku/>
              <w:overflowPunct/>
              <w:topLinePunct w:val="0"/>
              <w:autoSpaceDE/>
              <w:autoSpaceDN/>
              <w:bidi w:val="0"/>
              <w:spacing w:line="560" w:lineRule="exact"/>
              <w:jc w:val="center"/>
              <w:textAlignment w:val="auto"/>
              <w:rPr>
                <w:color w:val="auto"/>
                <w:sz w:val="24"/>
              </w:rPr>
            </w:pPr>
            <w:r>
              <w:rPr>
                <w:rFonts w:hint="eastAsia"/>
                <w:color w:val="auto"/>
                <w:sz w:val="24"/>
              </w:rPr>
              <w:t>有效期</w:t>
            </w:r>
          </w:p>
        </w:tc>
        <w:tc>
          <w:tcPr>
            <w:tcW w:w="4514" w:type="dxa"/>
            <w:vAlign w:val="center"/>
          </w:tcPr>
          <w:p>
            <w:pPr>
              <w:pageBreakBefore w:val="0"/>
              <w:kinsoku/>
              <w:overflowPunct/>
              <w:topLinePunct w:val="0"/>
              <w:autoSpaceDE/>
              <w:autoSpaceDN/>
              <w:bidi w:val="0"/>
              <w:spacing w:line="560" w:lineRule="exact"/>
              <w:jc w:val="center"/>
              <w:textAlignment w:val="auto"/>
              <w:rPr>
                <w:color w:val="auto"/>
                <w:sz w:val="24"/>
              </w:rPr>
            </w:pPr>
          </w:p>
        </w:tc>
        <w:tc>
          <w:tcPr>
            <w:tcW w:w="1706" w:type="dxa"/>
            <w:vAlign w:val="center"/>
          </w:tcPr>
          <w:p>
            <w:pPr>
              <w:pageBreakBefore w:val="0"/>
              <w:kinsoku/>
              <w:overflowPunct/>
              <w:topLinePunct w:val="0"/>
              <w:autoSpaceDE/>
              <w:autoSpaceDN/>
              <w:bidi w:val="0"/>
              <w:spacing w:line="560" w:lineRule="exact"/>
              <w:jc w:val="center"/>
              <w:textAlignment w:val="auto"/>
              <w:rPr>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79" w:type="dxa"/>
            <w:vAlign w:val="center"/>
          </w:tcPr>
          <w:p>
            <w:pPr>
              <w:pageBreakBefore w:val="0"/>
              <w:kinsoku/>
              <w:overflowPunct/>
              <w:topLinePunct w:val="0"/>
              <w:autoSpaceDE/>
              <w:autoSpaceDN/>
              <w:bidi w:val="0"/>
              <w:spacing w:line="560" w:lineRule="exact"/>
              <w:jc w:val="center"/>
              <w:textAlignment w:val="auto"/>
              <w:rPr>
                <w:b/>
                <w:color w:val="auto"/>
                <w:sz w:val="24"/>
              </w:rPr>
            </w:pPr>
            <w:r>
              <w:rPr>
                <w:rFonts w:hint="eastAsia"/>
                <w:b/>
                <w:color w:val="auto"/>
                <w:sz w:val="24"/>
              </w:rPr>
              <w:t>四</w:t>
            </w:r>
          </w:p>
        </w:tc>
        <w:tc>
          <w:tcPr>
            <w:tcW w:w="6847" w:type="dxa"/>
            <w:gridSpan w:val="2"/>
            <w:vAlign w:val="center"/>
          </w:tcPr>
          <w:p>
            <w:pPr>
              <w:pageBreakBefore w:val="0"/>
              <w:kinsoku/>
              <w:overflowPunct/>
              <w:topLinePunct w:val="0"/>
              <w:autoSpaceDE/>
              <w:autoSpaceDN/>
              <w:bidi w:val="0"/>
              <w:spacing w:line="560" w:lineRule="exact"/>
              <w:textAlignment w:val="auto"/>
              <w:rPr>
                <w:b/>
                <w:color w:val="auto"/>
                <w:sz w:val="24"/>
              </w:rPr>
            </w:pPr>
            <w:r>
              <w:rPr>
                <w:rFonts w:hint="eastAsia"/>
                <w:b/>
                <w:color w:val="auto"/>
                <w:sz w:val="24"/>
              </w:rPr>
              <w:t>其他</w:t>
            </w:r>
            <w:r>
              <w:rPr>
                <w:rFonts w:hint="eastAsia"/>
                <w:color w:val="auto"/>
                <w:sz w:val="24"/>
              </w:rPr>
              <w:t>（</w:t>
            </w:r>
            <w:r>
              <w:rPr>
                <w:rFonts w:hint="eastAsia"/>
                <w:color w:val="auto"/>
                <w:sz w:val="24"/>
                <w:lang w:eastAsia="zh-CN"/>
              </w:rPr>
              <w:t>供应商</w:t>
            </w:r>
            <w:r>
              <w:rPr>
                <w:rFonts w:hint="eastAsia"/>
                <w:color w:val="auto"/>
                <w:sz w:val="24"/>
              </w:rPr>
              <w:t>认为需补充的其他说明）</w:t>
            </w:r>
          </w:p>
        </w:tc>
        <w:tc>
          <w:tcPr>
            <w:tcW w:w="1706" w:type="dxa"/>
            <w:vAlign w:val="center"/>
          </w:tcPr>
          <w:p>
            <w:pPr>
              <w:pageBreakBefore w:val="0"/>
              <w:kinsoku/>
              <w:overflowPunct/>
              <w:topLinePunct w:val="0"/>
              <w:autoSpaceDE/>
              <w:autoSpaceDN/>
              <w:bidi w:val="0"/>
              <w:spacing w:line="560" w:lineRule="exact"/>
              <w:jc w:val="center"/>
              <w:textAlignment w:val="auto"/>
              <w:rPr>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79" w:type="dxa"/>
            <w:vAlign w:val="center"/>
          </w:tcPr>
          <w:p>
            <w:pPr>
              <w:pageBreakBefore w:val="0"/>
              <w:kinsoku/>
              <w:overflowPunct/>
              <w:topLinePunct w:val="0"/>
              <w:autoSpaceDE/>
              <w:autoSpaceDN/>
              <w:bidi w:val="0"/>
              <w:spacing w:line="560" w:lineRule="exact"/>
              <w:jc w:val="center"/>
              <w:textAlignment w:val="auto"/>
              <w:rPr>
                <w:color w:val="auto"/>
                <w:sz w:val="24"/>
              </w:rPr>
            </w:pPr>
            <w:r>
              <w:rPr>
                <w:rFonts w:hint="eastAsia"/>
                <w:color w:val="auto"/>
                <w:sz w:val="24"/>
              </w:rPr>
              <w:t>1</w:t>
            </w:r>
          </w:p>
        </w:tc>
        <w:tc>
          <w:tcPr>
            <w:tcW w:w="2333" w:type="dxa"/>
            <w:vAlign w:val="center"/>
          </w:tcPr>
          <w:p>
            <w:pPr>
              <w:pageBreakBefore w:val="0"/>
              <w:kinsoku/>
              <w:overflowPunct/>
              <w:topLinePunct w:val="0"/>
              <w:autoSpaceDE/>
              <w:autoSpaceDN/>
              <w:bidi w:val="0"/>
              <w:spacing w:line="560" w:lineRule="exact"/>
              <w:jc w:val="center"/>
              <w:textAlignment w:val="auto"/>
              <w:rPr>
                <w:rFonts w:hint="eastAsia" w:eastAsia="宋体"/>
                <w:color w:val="auto"/>
                <w:sz w:val="24"/>
                <w:lang w:eastAsia="zh-CN"/>
              </w:rPr>
            </w:pPr>
          </w:p>
        </w:tc>
        <w:tc>
          <w:tcPr>
            <w:tcW w:w="4514" w:type="dxa"/>
            <w:vAlign w:val="center"/>
          </w:tcPr>
          <w:p>
            <w:pPr>
              <w:pageBreakBefore w:val="0"/>
              <w:kinsoku/>
              <w:overflowPunct/>
              <w:topLinePunct w:val="0"/>
              <w:autoSpaceDE/>
              <w:autoSpaceDN/>
              <w:bidi w:val="0"/>
              <w:spacing w:line="560" w:lineRule="exact"/>
              <w:jc w:val="center"/>
              <w:textAlignment w:val="auto"/>
              <w:rPr>
                <w:color w:val="auto"/>
                <w:sz w:val="24"/>
              </w:rPr>
            </w:pPr>
          </w:p>
        </w:tc>
        <w:tc>
          <w:tcPr>
            <w:tcW w:w="1706" w:type="dxa"/>
            <w:vAlign w:val="center"/>
          </w:tcPr>
          <w:p>
            <w:pPr>
              <w:pageBreakBefore w:val="0"/>
              <w:kinsoku/>
              <w:overflowPunct/>
              <w:topLinePunct w:val="0"/>
              <w:autoSpaceDE/>
              <w:autoSpaceDN/>
              <w:bidi w:val="0"/>
              <w:spacing w:line="560" w:lineRule="exact"/>
              <w:jc w:val="center"/>
              <w:textAlignment w:val="auto"/>
              <w:rPr>
                <w:color w:val="auto"/>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rPr>
        <w:t>注：在按要求填写好此表格后，各</w:t>
      </w:r>
      <w:r>
        <w:rPr>
          <w:rFonts w:hint="eastAsia" w:ascii="仿宋_GB2312" w:hAnsi="仿宋_GB2312" w:eastAsia="仿宋_GB2312" w:cs="仿宋_GB2312"/>
          <w:bCs/>
          <w:color w:val="auto"/>
          <w:sz w:val="32"/>
          <w:szCs w:val="32"/>
          <w:lang w:eastAsia="zh-CN"/>
        </w:rPr>
        <w:t>供应商</w:t>
      </w:r>
      <w:r>
        <w:rPr>
          <w:rFonts w:hint="eastAsia" w:ascii="仿宋_GB2312" w:hAnsi="仿宋_GB2312" w:eastAsia="仿宋_GB2312" w:cs="仿宋_GB2312"/>
          <w:bCs/>
          <w:color w:val="auto"/>
          <w:sz w:val="32"/>
          <w:szCs w:val="32"/>
        </w:rPr>
        <w:t>可以用其它的方式，就公司整体情况作出详细的介绍。</w:t>
      </w:r>
    </w:p>
    <w:sectPr>
      <w:headerReference r:id="rId4" w:type="first"/>
      <w:footerReference r:id="rId6" w:type="first"/>
      <w:headerReference r:id="rId3" w:type="default"/>
      <w:footerReference r:id="rId5" w:type="default"/>
      <w:pgSz w:w="11906" w:h="16838"/>
      <w:pgMar w:top="2098" w:right="1474" w:bottom="1984" w:left="158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Style w:val="21"/>
                              <w:rFonts w:ascii="宋体" w:hAnsi="宋体"/>
                              <w:sz w:val="28"/>
                              <w:szCs w:val="28"/>
                            </w:rPr>
                          </w:pPr>
                          <w:r>
                            <w:rPr>
                              <w:rStyle w:val="21"/>
                              <w:rFonts w:ascii="宋体" w:hAnsi="宋体"/>
                              <w:sz w:val="28"/>
                              <w:szCs w:val="28"/>
                            </w:rPr>
                            <w:fldChar w:fldCharType="begin"/>
                          </w:r>
                          <w:r>
                            <w:rPr>
                              <w:rStyle w:val="21"/>
                              <w:rFonts w:ascii="宋体" w:hAnsi="宋体"/>
                              <w:sz w:val="28"/>
                              <w:szCs w:val="28"/>
                            </w:rPr>
                            <w:instrText xml:space="preserve">PAGE  </w:instrText>
                          </w:r>
                          <w:r>
                            <w:rPr>
                              <w:rStyle w:val="21"/>
                              <w:rFonts w:ascii="宋体" w:hAnsi="宋体"/>
                              <w:sz w:val="28"/>
                              <w:szCs w:val="28"/>
                            </w:rPr>
                            <w:fldChar w:fldCharType="separate"/>
                          </w:r>
                          <w:r>
                            <w:rPr>
                              <w:rStyle w:val="21"/>
                              <w:rFonts w:ascii="宋体" w:hAnsi="宋体"/>
                              <w:sz w:val="28"/>
                              <w:szCs w:val="28"/>
                            </w:rPr>
                            <w:t>2</w:t>
                          </w:r>
                          <w:r>
                            <w:rPr>
                              <w:rStyle w:val="21"/>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rPr>
                        <w:rStyle w:val="21"/>
                        <w:rFonts w:ascii="宋体" w:hAnsi="宋体"/>
                        <w:sz w:val="28"/>
                        <w:szCs w:val="28"/>
                      </w:rPr>
                    </w:pPr>
                    <w:r>
                      <w:rPr>
                        <w:rStyle w:val="21"/>
                        <w:rFonts w:ascii="宋体" w:hAnsi="宋体"/>
                        <w:sz w:val="28"/>
                        <w:szCs w:val="28"/>
                      </w:rPr>
                      <w:fldChar w:fldCharType="begin"/>
                    </w:r>
                    <w:r>
                      <w:rPr>
                        <w:rStyle w:val="21"/>
                        <w:rFonts w:ascii="宋体" w:hAnsi="宋体"/>
                        <w:sz w:val="28"/>
                        <w:szCs w:val="28"/>
                      </w:rPr>
                      <w:instrText xml:space="preserve">PAGE  </w:instrText>
                    </w:r>
                    <w:r>
                      <w:rPr>
                        <w:rStyle w:val="21"/>
                        <w:rFonts w:ascii="宋体" w:hAnsi="宋体"/>
                        <w:sz w:val="28"/>
                        <w:szCs w:val="28"/>
                      </w:rPr>
                      <w:fldChar w:fldCharType="separate"/>
                    </w:r>
                    <w:r>
                      <w:rPr>
                        <w:rStyle w:val="21"/>
                        <w:rFonts w:ascii="宋体" w:hAnsi="宋体"/>
                        <w:sz w:val="28"/>
                        <w:szCs w:val="28"/>
                      </w:rPr>
                      <w:t>2</w:t>
                    </w:r>
                    <w:r>
                      <w:rPr>
                        <w:rStyle w:val="21"/>
                        <w:rFonts w:ascii="宋体" w:hAnsi="宋体"/>
                        <w:sz w:val="28"/>
                        <w:szCs w:val="28"/>
                      </w:rPr>
                      <w:fldChar w:fldCharType="end"/>
                    </w:r>
                  </w:p>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posOffset>4813935</wp:posOffset>
              </wp:positionH>
              <wp:positionV relativeFrom="paragraph">
                <wp:posOffset>-138430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9.05pt;margin-top:-10.9pt;height:144pt;width:144pt;mso-position-horizontal-relative:margin;mso-wrap-style:none;z-index:251660288;mso-width-relative:page;mso-height-relative:page;" filled="f" stroked="f" coordsize="21600,21600" o:gfxdata="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IkIkNgAAAAMAQAADwAAAAAAAAABACAAAAAiAAAAZHJzL2Rvd25yZXYueG1s&#10;UEsBAhQAFAAAAAgAh07iQCSCRrQxAgAAYQQAAA4AAAAAAAAAAQAgAAAAJwEAAGRycy9lMm9Eb2Mu&#10;eG1sUEsFBgAAAAAGAAYAWQEAAMo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5MGZkZDlkMzhmMjJlMmE5ZTYyNzk2MjVjMGVhMDYifQ=="/>
  </w:docVars>
  <w:rsids>
    <w:rsidRoot w:val="00886347"/>
    <w:rsid w:val="00000725"/>
    <w:rsid w:val="0001211D"/>
    <w:rsid w:val="00017ECA"/>
    <w:rsid w:val="00026F61"/>
    <w:rsid w:val="0008769B"/>
    <w:rsid w:val="000937F0"/>
    <w:rsid w:val="000A3B7C"/>
    <w:rsid w:val="000A435A"/>
    <w:rsid w:val="000C1137"/>
    <w:rsid w:val="000C4093"/>
    <w:rsid w:val="000C48AA"/>
    <w:rsid w:val="000D3133"/>
    <w:rsid w:val="000E4EEE"/>
    <w:rsid w:val="000E4F89"/>
    <w:rsid w:val="000F3F6D"/>
    <w:rsid w:val="00105496"/>
    <w:rsid w:val="0011478A"/>
    <w:rsid w:val="001167D8"/>
    <w:rsid w:val="001306E3"/>
    <w:rsid w:val="00135721"/>
    <w:rsid w:val="0013726E"/>
    <w:rsid w:val="001503D9"/>
    <w:rsid w:val="0016484E"/>
    <w:rsid w:val="00170019"/>
    <w:rsid w:val="00170BE0"/>
    <w:rsid w:val="00172A8E"/>
    <w:rsid w:val="00174DC8"/>
    <w:rsid w:val="00186375"/>
    <w:rsid w:val="00190557"/>
    <w:rsid w:val="001A7A59"/>
    <w:rsid w:val="001B0AC7"/>
    <w:rsid w:val="001B5F5B"/>
    <w:rsid w:val="001B7B5D"/>
    <w:rsid w:val="001C06E3"/>
    <w:rsid w:val="001C3A99"/>
    <w:rsid w:val="001D5EF4"/>
    <w:rsid w:val="001E2A70"/>
    <w:rsid w:val="001E37C3"/>
    <w:rsid w:val="001F0BA8"/>
    <w:rsid w:val="00204097"/>
    <w:rsid w:val="00205F68"/>
    <w:rsid w:val="00215CF6"/>
    <w:rsid w:val="00216717"/>
    <w:rsid w:val="00217B19"/>
    <w:rsid w:val="0022060E"/>
    <w:rsid w:val="00221BDA"/>
    <w:rsid w:val="00225485"/>
    <w:rsid w:val="002342F7"/>
    <w:rsid w:val="00236C7C"/>
    <w:rsid w:val="00250ADC"/>
    <w:rsid w:val="00253D26"/>
    <w:rsid w:val="0028134C"/>
    <w:rsid w:val="002932D1"/>
    <w:rsid w:val="00295501"/>
    <w:rsid w:val="002A654A"/>
    <w:rsid w:val="002B412D"/>
    <w:rsid w:val="002C2DB1"/>
    <w:rsid w:val="002C3E3C"/>
    <w:rsid w:val="002C5647"/>
    <w:rsid w:val="002D55BB"/>
    <w:rsid w:val="002D5972"/>
    <w:rsid w:val="002F0CE6"/>
    <w:rsid w:val="002F4014"/>
    <w:rsid w:val="00301FC9"/>
    <w:rsid w:val="00326F61"/>
    <w:rsid w:val="00331061"/>
    <w:rsid w:val="003369CE"/>
    <w:rsid w:val="00345B5D"/>
    <w:rsid w:val="003516A5"/>
    <w:rsid w:val="00354D39"/>
    <w:rsid w:val="00360A25"/>
    <w:rsid w:val="003650EA"/>
    <w:rsid w:val="003659C7"/>
    <w:rsid w:val="00383BF8"/>
    <w:rsid w:val="003D381D"/>
    <w:rsid w:val="003E5A4B"/>
    <w:rsid w:val="003F04B1"/>
    <w:rsid w:val="003F3E1B"/>
    <w:rsid w:val="00411A09"/>
    <w:rsid w:val="00414AD3"/>
    <w:rsid w:val="00415CC6"/>
    <w:rsid w:val="004229EE"/>
    <w:rsid w:val="004400FD"/>
    <w:rsid w:val="0044255C"/>
    <w:rsid w:val="004557A3"/>
    <w:rsid w:val="00463762"/>
    <w:rsid w:val="004823FA"/>
    <w:rsid w:val="004835F6"/>
    <w:rsid w:val="00492FF2"/>
    <w:rsid w:val="00495E40"/>
    <w:rsid w:val="004A1D8A"/>
    <w:rsid w:val="004A2EBA"/>
    <w:rsid w:val="004B2867"/>
    <w:rsid w:val="004B7001"/>
    <w:rsid w:val="004D158F"/>
    <w:rsid w:val="004E28C4"/>
    <w:rsid w:val="004E45D9"/>
    <w:rsid w:val="00501A9A"/>
    <w:rsid w:val="00502128"/>
    <w:rsid w:val="00502A62"/>
    <w:rsid w:val="00506633"/>
    <w:rsid w:val="00511466"/>
    <w:rsid w:val="00517930"/>
    <w:rsid w:val="00523E52"/>
    <w:rsid w:val="0054165F"/>
    <w:rsid w:val="0056754B"/>
    <w:rsid w:val="00575506"/>
    <w:rsid w:val="00592D72"/>
    <w:rsid w:val="0059797A"/>
    <w:rsid w:val="005A3E33"/>
    <w:rsid w:val="005B45C2"/>
    <w:rsid w:val="005C1882"/>
    <w:rsid w:val="005C4438"/>
    <w:rsid w:val="005E44D4"/>
    <w:rsid w:val="005E4BAF"/>
    <w:rsid w:val="005F0A01"/>
    <w:rsid w:val="005F3703"/>
    <w:rsid w:val="00635BCB"/>
    <w:rsid w:val="0065500A"/>
    <w:rsid w:val="0065711B"/>
    <w:rsid w:val="00664DE7"/>
    <w:rsid w:val="00672125"/>
    <w:rsid w:val="006740D1"/>
    <w:rsid w:val="00676552"/>
    <w:rsid w:val="00682146"/>
    <w:rsid w:val="00683C07"/>
    <w:rsid w:val="0068594B"/>
    <w:rsid w:val="00693207"/>
    <w:rsid w:val="006A1A56"/>
    <w:rsid w:val="006A3069"/>
    <w:rsid w:val="006B6422"/>
    <w:rsid w:val="006D4EF1"/>
    <w:rsid w:val="006E5923"/>
    <w:rsid w:val="006E5A56"/>
    <w:rsid w:val="00717F95"/>
    <w:rsid w:val="00720093"/>
    <w:rsid w:val="00723482"/>
    <w:rsid w:val="00726440"/>
    <w:rsid w:val="0074456A"/>
    <w:rsid w:val="00766015"/>
    <w:rsid w:val="00770FA1"/>
    <w:rsid w:val="007857AC"/>
    <w:rsid w:val="007902F3"/>
    <w:rsid w:val="007918C1"/>
    <w:rsid w:val="0079698D"/>
    <w:rsid w:val="00797CE5"/>
    <w:rsid w:val="007A01BF"/>
    <w:rsid w:val="007B48A6"/>
    <w:rsid w:val="007B4A01"/>
    <w:rsid w:val="007D029D"/>
    <w:rsid w:val="007D6879"/>
    <w:rsid w:val="007E32B8"/>
    <w:rsid w:val="007F614B"/>
    <w:rsid w:val="008047BB"/>
    <w:rsid w:val="00831C39"/>
    <w:rsid w:val="00836960"/>
    <w:rsid w:val="00847778"/>
    <w:rsid w:val="00857D7B"/>
    <w:rsid w:val="00864091"/>
    <w:rsid w:val="00886347"/>
    <w:rsid w:val="008951DC"/>
    <w:rsid w:val="008A754E"/>
    <w:rsid w:val="008B77C8"/>
    <w:rsid w:val="008C10D7"/>
    <w:rsid w:val="008D2B32"/>
    <w:rsid w:val="008D3731"/>
    <w:rsid w:val="008E305C"/>
    <w:rsid w:val="008F2646"/>
    <w:rsid w:val="00913393"/>
    <w:rsid w:val="00932240"/>
    <w:rsid w:val="00932BA4"/>
    <w:rsid w:val="00933117"/>
    <w:rsid w:val="009448C5"/>
    <w:rsid w:val="00945331"/>
    <w:rsid w:val="00947738"/>
    <w:rsid w:val="00950305"/>
    <w:rsid w:val="00952181"/>
    <w:rsid w:val="009538DD"/>
    <w:rsid w:val="0096365D"/>
    <w:rsid w:val="00963B43"/>
    <w:rsid w:val="00987AA6"/>
    <w:rsid w:val="0099480A"/>
    <w:rsid w:val="009A2CC1"/>
    <w:rsid w:val="009A2DA0"/>
    <w:rsid w:val="009A3BDC"/>
    <w:rsid w:val="009A6207"/>
    <w:rsid w:val="009B7AFE"/>
    <w:rsid w:val="009C73C6"/>
    <w:rsid w:val="009D2C52"/>
    <w:rsid w:val="009E18BB"/>
    <w:rsid w:val="009E531A"/>
    <w:rsid w:val="009F0BE3"/>
    <w:rsid w:val="00A0035A"/>
    <w:rsid w:val="00A05757"/>
    <w:rsid w:val="00A11DC6"/>
    <w:rsid w:val="00A249EC"/>
    <w:rsid w:val="00A3442D"/>
    <w:rsid w:val="00A44EA0"/>
    <w:rsid w:val="00A451C7"/>
    <w:rsid w:val="00A45225"/>
    <w:rsid w:val="00A4638E"/>
    <w:rsid w:val="00A46793"/>
    <w:rsid w:val="00A4780B"/>
    <w:rsid w:val="00A65B3F"/>
    <w:rsid w:val="00A74673"/>
    <w:rsid w:val="00A86590"/>
    <w:rsid w:val="00AA4B96"/>
    <w:rsid w:val="00AB1168"/>
    <w:rsid w:val="00AB1D97"/>
    <w:rsid w:val="00AB5B9F"/>
    <w:rsid w:val="00AD16A1"/>
    <w:rsid w:val="00AE769F"/>
    <w:rsid w:val="00AF039E"/>
    <w:rsid w:val="00AF19C3"/>
    <w:rsid w:val="00AF6B9B"/>
    <w:rsid w:val="00B05823"/>
    <w:rsid w:val="00B25C8B"/>
    <w:rsid w:val="00B3074D"/>
    <w:rsid w:val="00B424A3"/>
    <w:rsid w:val="00B45A9E"/>
    <w:rsid w:val="00B5773A"/>
    <w:rsid w:val="00B77088"/>
    <w:rsid w:val="00B8208B"/>
    <w:rsid w:val="00B966BC"/>
    <w:rsid w:val="00B96B2F"/>
    <w:rsid w:val="00BA07AF"/>
    <w:rsid w:val="00BA7738"/>
    <w:rsid w:val="00BB2723"/>
    <w:rsid w:val="00BB3AEF"/>
    <w:rsid w:val="00BC3C39"/>
    <w:rsid w:val="00BC4600"/>
    <w:rsid w:val="00BC7AB6"/>
    <w:rsid w:val="00BD60CF"/>
    <w:rsid w:val="00BF262B"/>
    <w:rsid w:val="00C14E62"/>
    <w:rsid w:val="00C222D7"/>
    <w:rsid w:val="00C22A7D"/>
    <w:rsid w:val="00C30D67"/>
    <w:rsid w:val="00C3294E"/>
    <w:rsid w:val="00C348A6"/>
    <w:rsid w:val="00C42A69"/>
    <w:rsid w:val="00C525E3"/>
    <w:rsid w:val="00C60910"/>
    <w:rsid w:val="00C64D0F"/>
    <w:rsid w:val="00C71503"/>
    <w:rsid w:val="00C75607"/>
    <w:rsid w:val="00C76647"/>
    <w:rsid w:val="00C808A1"/>
    <w:rsid w:val="00C81153"/>
    <w:rsid w:val="00C86A81"/>
    <w:rsid w:val="00CA5D18"/>
    <w:rsid w:val="00CA6CF1"/>
    <w:rsid w:val="00CB3B7F"/>
    <w:rsid w:val="00CB59E7"/>
    <w:rsid w:val="00CC3E56"/>
    <w:rsid w:val="00CC5CF5"/>
    <w:rsid w:val="00CC7D6D"/>
    <w:rsid w:val="00CE10C8"/>
    <w:rsid w:val="00CE3D6B"/>
    <w:rsid w:val="00CE70BD"/>
    <w:rsid w:val="00D0327B"/>
    <w:rsid w:val="00D0334B"/>
    <w:rsid w:val="00D06385"/>
    <w:rsid w:val="00D41D72"/>
    <w:rsid w:val="00D53B9E"/>
    <w:rsid w:val="00D54047"/>
    <w:rsid w:val="00D77317"/>
    <w:rsid w:val="00D80CD7"/>
    <w:rsid w:val="00DA19D6"/>
    <w:rsid w:val="00DB7B77"/>
    <w:rsid w:val="00DC2489"/>
    <w:rsid w:val="00DE156C"/>
    <w:rsid w:val="00E35B2B"/>
    <w:rsid w:val="00E35B30"/>
    <w:rsid w:val="00E5450D"/>
    <w:rsid w:val="00E558A5"/>
    <w:rsid w:val="00E65059"/>
    <w:rsid w:val="00E81970"/>
    <w:rsid w:val="00E87C29"/>
    <w:rsid w:val="00E93583"/>
    <w:rsid w:val="00E9718F"/>
    <w:rsid w:val="00EA176A"/>
    <w:rsid w:val="00EA5D32"/>
    <w:rsid w:val="00EB3A80"/>
    <w:rsid w:val="00EC1A0B"/>
    <w:rsid w:val="00ED0E2C"/>
    <w:rsid w:val="00ED20D4"/>
    <w:rsid w:val="00ED5361"/>
    <w:rsid w:val="00ED6C4D"/>
    <w:rsid w:val="00EE4A06"/>
    <w:rsid w:val="00EF43D2"/>
    <w:rsid w:val="00F02801"/>
    <w:rsid w:val="00F101C3"/>
    <w:rsid w:val="00F110CF"/>
    <w:rsid w:val="00F3159E"/>
    <w:rsid w:val="00F43EC0"/>
    <w:rsid w:val="00F52837"/>
    <w:rsid w:val="00F71500"/>
    <w:rsid w:val="00F74780"/>
    <w:rsid w:val="00F74E85"/>
    <w:rsid w:val="00F80649"/>
    <w:rsid w:val="00F83523"/>
    <w:rsid w:val="00F8464D"/>
    <w:rsid w:val="00F87E8A"/>
    <w:rsid w:val="00F9289C"/>
    <w:rsid w:val="00FA4E47"/>
    <w:rsid w:val="00FB45C1"/>
    <w:rsid w:val="00FC71A7"/>
    <w:rsid w:val="00FC7213"/>
    <w:rsid w:val="00FD32D3"/>
    <w:rsid w:val="00FD3FE6"/>
    <w:rsid w:val="00FD4EE2"/>
    <w:rsid w:val="00FF113A"/>
    <w:rsid w:val="00FF2EC4"/>
    <w:rsid w:val="02C0626E"/>
    <w:rsid w:val="03377049"/>
    <w:rsid w:val="039743D1"/>
    <w:rsid w:val="03E03C85"/>
    <w:rsid w:val="05344D5E"/>
    <w:rsid w:val="055E5C09"/>
    <w:rsid w:val="06A71E54"/>
    <w:rsid w:val="07A370AA"/>
    <w:rsid w:val="07CB7EF4"/>
    <w:rsid w:val="08445365"/>
    <w:rsid w:val="08F1285C"/>
    <w:rsid w:val="091A3FBF"/>
    <w:rsid w:val="097C1635"/>
    <w:rsid w:val="09F33C22"/>
    <w:rsid w:val="0A907B1A"/>
    <w:rsid w:val="0AC01D1D"/>
    <w:rsid w:val="0B845D81"/>
    <w:rsid w:val="0D136507"/>
    <w:rsid w:val="0D21433D"/>
    <w:rsid w:val="0DA61022"/>
    <w:rsid w:val="0E6F2627"/>
    <w:rsid w:val="0EEEEACE"/>
    <w:rsid w:val="0F017A17"/>
    <w:rsid w:val="0F8F3B64"/>
    <w:rsid w:val="0F9646D8"/>
    <w:rsid w:val="10283906"/>
    <w:rsid w:val="10C975AC"/>
    <w:rsid w:val="116A106A"/>
    <w:rsid w:val="118473F9"/>
    <w:rsid w:val="11DC69E4"/>
    <w:rsid w:val="13DA0D62"/>
    <w:rsid w:val="14570FAD"/>
    <w:rsid w:val="148C20C7"/>
    <w:rsid w:val="15071E33"/>
    <w:rsid w:val="15080B11"/>
    <w:rsid w:val="153915FC"/>
    <w:rsid w:val="16EE6734"/>
    <w:rsid w:val="17176687"/>
    <w:rsid w:val="17AA7B9D"/>
    <w:rsid w:val="194B4616"/>
    <w:rsid w:val="19A73ECD"/>
    <w:rsid w:val="1A0A395D"/>
    <w:rsid w:val="1A27767A"/>
    <w:rsid w:val="1A55428C"/>
    <w:rsid w:val="1A863F24"/>
    <w:rsid w:val="1F77426F"/>
    <w:rsid w:val="1F78667F"/>
    <w:rsid w:val="1FE21258"/>
    <w:rsid w:val="208B28BE"/>
    <w:rsid w:val="212A0909"/>
    <w:rsid w:val="21D424EB"/>
    <w:rsid w:val="21EB1CFC"/>
    <w:rsid w:val="229A7965"/>
    <w:rsid w:val="22B511B5"/>
    <w:rsid w:val="23E04ECA"/>
    <w:rsid w:val="24172EC8"/>
    <w:rsid w:val="2666206C"/>
    <w:rsid w:val="2776242C"/>
    <w:rsid w:val="2813306B"/>
    <w:rsid w:val="284E28C8"/>
    <w:rsid w:val="28A82B75"/>
    <w:rsid w:val="2AB0708E"/>
    <w:rsid w:val="2BDB74B8"/>
    <w:rsid w:val="2DFF14F9"/>
    <w:rsid w:val="2E4B306E"/>
    <w:rsid w:val="2EE476C8"/>
    <w:rsid w:val="2F385478"/>
    <w:rsid w:val="2FA921DA"/>
    <w:rsid w:val="2FCF116A"/>
    <w:rsid w:val="2FF7122A"/>
    <w:rsid w:val="2FFF4415"/>
    <w:rsid w:val="300D0E6B"/>
    <w:rsid w:val="30406039"/>
    <w:rsid w:val="308E0FCC"/>
    <w:rsid w:val="30FD667A"/>
    <w:rsid w:val="31545CD3"/>
    <w:rsid w:val="336E17F4"/>
    <w:rsid w:val="337BC5F1"/>
    <w:rsid w:val="33DC6605"/>
    <w:rsid w:val="35783825"/>
    <w:rsid w:val="35A9612B"/>
    <w:rsid w:val="35C442A4"/>
    <w:rsid w:val="35CB12C3"/>
    <w:rsid w:val="35FE08D7"/>
    <w:rsid w:val="36A2168E"/>
    <w:rsid w:val="374C01C7"/>
    <w:rsid w:val="38362A3B"/>
    <w:rsid w:val="38D95F23"/>
    <w:rsid w:val="391321A6"/>
    <w:rsid w:val="39474F60"/>
    <w:rsid w:val="3A8A51D2"/>
    <w:rsid w:val="3ABF3036"/>
    <w:rsid w:val="3B0C05AB"/>
    <w:rsid w:val="3B8111AC"/>
    <w:rsid w:val="3BA66640"/>
    <w:rsid w:val="3C1B2F8B"/>
    <w:rsid w:val="3DA7F306"/>
    <w:rsid w:val="3E767151"/>
    <w:rsid w:val="3EC0687E"/>
    <w:rsid w:val="3EC408A3"/>
    <w:rsid w:val="3ECB1505"/>
    <w:rsid w:val="3F7FFA4F"/>
    <w:rsid w:val="3FA07FC0"/>
    <w:rsid w:val="3FA83B0C"/>
    <w:rsid w:val="3FE8193F"/>
    <w:rsid w:val="40092AA7"/>
    <w:rsid w:val="412164E0"/>
    <w:rsid w:val="42382595"/>
    <w:rsid w:val="436614CE"/>
    <w:rsid w:val="443F49FB"/>
    <w:rsid w:val="456D3FED"/>
    <w:rsid w:val="45AA0659"/>
    <w:rsid w:val="45FA65E0"/>
    <w:rsid w:val="46AC43B3"/>
    <w:rsid w:val="470E77CF"/>
    <w:rsid w:val="47FDD05C"/>
    <w:rsid w:val="481B6ABF"/>
    <w:rsid w:val="48D46B82"/>
    <w:rsid w:val="48E61CC8"/>
    <w:rsid w:val="49242021"/>
    <w:rsid w:val="4BAB27FE"/>
    <w:rsid w:val="4BF672C9"/>
    <w:rsid w:val="4CC83AC9"/>
    <w:rsid w:val="4D2D2451"/>
    <w:rsid w:val="4E9B57A9"/>
    <w:rsid w:val="4EB364D6"/>
    <w:rsid w:val="4F25598B"/>
    <w:rsid w:val="4FAC4126"/>
    <w:rsid w:val="4FBA2ADF"/>
    <w:rsid w:val="51D47E2B"/>
    <w:rsid w:val="529E4AE0"/>
    <w:rsid w:val="53B03A77"/>
    <w:rsid w:val="54F948BD"/>
    <w:rsid w:val="550C30D3"/>
    <w:rsid w:val="56B40337"/>
    <w:rsid w:val="57603636"/>
    <w:rsid w:val="57CB4B9B"/>
    <w:rsid w:val="57D950A6"/>
    <w:rsid w:val="57F01B04"/>
    <w:rsid w:val="57FF74A9"/>
    <w:rsid w:val="580B0B65"/>
    <w:rsid w:val="58563C11"/>
    <w:rsid w:val="58652001"/>
    <w:rsid w:val="58FB7A0F"/>
    <w:rsid w:val="590B120F"/>
    <w:rsid w:val="592C6EC4"/>
    <w:rsid w:val="5A6D5243"/>
    <w:rsid w:val="5B2C4252"/>
    <w:rsid w:val="5B7311D4"/>
    <w:rsid w:val="5BE21A27"/>
    <w:rsid w:val="5D103272"/>
    <w:rsid w:val="5E06517A"/>
    <w:rsid w:val="5E3D098F"/>
    <w:rsid w:val="5E5F1AF7"/>
    <w:rsid w:val="5EC91951"/>
    <w:rsid w:val="5F1F413B"/>
    <w:rsid w:val="601D5F85"/>
    <w:rsid w:val="60A312C0"/>
    <w:rsid w:val="610F594A"/>
    <w:rsid w:val="61A22818"/>
    <w:rsid w:val="61A82C05"/>
    <w:rsid w:val="62A95BD7"/>
    <w:rsid w:val="6391591E"/>
    <w:rsid w:val="63ED206A"/>
    <w:rsid w:val="64CF301E"/>
    <w:rsid w:val="64FA47DA"/>
    <w:rsid w:val="6588763D"/>
    <w:rsid w:val="65B36EAA"/>
    <w:rsid w:val="65FA58EF"/>
    <w:rsid w:val="661D611F"/>
    <w:rsid w:val="6673616B"/>
    <w:rsid w:val="668A0972"/>
    <w:rsid w:val="67A74176"/>
    <w:rsid w:val="67EC2207"/>
    <w:rsid w:val="690579FC"/>
    <w:rsid w:val="69D5658D"/>
    <w:rsid w:val="6B8E186C"/>
    <w:rsid w:val="6C205100"/>
    <w:rsid w:val="6E507836"/>
    <w:rsid w:val="6ECF7F99"/>
    <w:rsid w:val="6F7266DD"/>
    <w:rsid w:val="6F891F28"/>
    <w:rsid w:val="70090992"/>
    <w:rsid w:val="702D584E"/>
    <w:rsid w:val="70593889"/>
    <w:rsid w:val="708F2038"/>
    <w:rsid w:val="70D13DED"/>
    <w:rsid w:val="72640EEC"/>
    <w:rsid w:val="731C1B80"/>
    <w:rsid w:val="738978FE"/>
    <w:rsid w:val="74AC10AC"/>
    <w:rsid w:val="754540A0"/>
    <w:rsid w:val="75604C1F"/>
    <w:rsid w:val="75A0357C"/>
    <w:rsid w:val="75E61D5F"/>
    <w:rsid w:val="75EFF32A"/>
    <w:rsid w:val="775DFFAA"/>
    <w:rsid w:val="78505DC3"/>
    <w:rsid w:val="79E764D4"/>
    <w:rsid w:val="7A647F5B"/>
    <w:rsid w:val="7B486E60"/>
    <w:rsid w:val="7BCA1F7B"/>
    <w:rsid w:val="7BE00B73"/>
    <w:rsid w:val="7BE640B6"/>
    <w:rsid w:val="7C001FF0"/>
    <w:rsid w:val="7C9E01D7"/>
    <w:rsid w:val="7CCE67DD"/>
    <w:rsid w:val="7D8DABF6"/>
    <w:rsid w:val="7E957EDF"/>
    <w:rsid w:val="7F182088"/>
    <w:rsid w:val="7F643FFD"/>
    <w:rsid w:val="7F6DABDE"/>
    <w:rsid w:val="7F7F02CC"/>
    <w:rsid w:val="7FD10742"/>
    <w:rsid w:val="7FF13355"/>
    <w:rsid w:val="7FFFF72C"/>
    <w:rsid w:val="8DFFAB29"/>
    <w:rsid w:val="9E267BF9"/>
    <w:rsid w:val="9F5C88AE"/>
    <w:rsid w:val="AEFFF91E"/>
    <w:rsid w:val="AFAF3EA1"/>
    <w:rsid w:val="AFFFD76A"/>
    <w:rsid w:val="BFEF19F2"/>
    <w:rsid w:val="C35DBFCF"/>
    <w:rsid w:val="CD6FA268"/>
    <w:rsid w:val="DB0E35B8"/>
    <w:rsid w:val="DBFFE1CA"/>
    <w:rsid w:val="DD5A5A1D"/>
    <w:rsid w:val="EB6B62A9"/>
    <w:rsid w:val="F5C4D597"/>
    <w:rsid w:val="F5EED6FC"/>
    <w:rsid w:val="F6FF2E5C"/>
    <w:rsid w:val="F73EFFD0"/>
    <w:rsid w:val="F7F47C14"/>
    <w:rsid w:val="FA5F825C"/>
    <w:rsid w:val="FB7F36AF"/>
    <w:rsid w:val="FB9DD775"/>
    <w:rsid w:val="FDFF2865"/>
    <w:rsid w:val="FF3F2849"/>
    <w:rsid w:val="FF5B4A13"/>
    <w:rsid w:val="FFAFA4B2"/>
    <w:rsid w:val="FFBF6986"/>
    <w:rsid w:val="FFC63C0E"/>
    <w:rsid w:val="FFFFCC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iPriority="99" w:name="annotation text"/>
    <w:lsdException w:qFormat="1" w:uiPriority="99"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8"/>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link w:val="36"/>
    <w:qFormat/>
    <w:uiPriority w:val="0"/>
    <w:pPr>
      <w:spacing w:before="340" w:after="330" w:line="360" w:lineRule="auto"/>
      <w:jc w:val="center"/>
      <w:outlineLvl w:val="0"/>
    </w:pPr>
    <w:rPr>
      <w:rFonts w:eastAsia="黑体"/>
      <w:kern w:val="44"/>
      <w:szCs w:val="44"/>
    </w:rPr>
  </w:style>
  <w:style w:type="paragraph" w:styleId="6">
    <w:name w:val="heading 2"/>
    <w:basedOn w:val="4"/>
    <w:next w:val="5"/>
    <w:link w:val="31"/>
    <w:qFormat/>
    <w:uiPriority w:val="0"/>
    <w:pPr>
      <w:adjustRightInd w:val="0"/>
      <w:spacing w:line="240" w:lineRule="auto"/>
      <w:jc w:val="center"/>
      <w:textAlignment w:val="baseline"/>
      <w:outlineLvl w:val="1"/>
    </w:pPr>
    <w:rPr>
      <w:rFonts w:ascii="宋体" w:hAnsi="宋体"/>
      <w:bCs w:val="0"/>
      <w:kern w:val="0"/>
      <w:sz w:val="24"/>
      <w:szCs w:val="20"/>
    </w:rPr>
  </w:style>
  <w:style w:type="paragraph" w:styleId="4">
    <w:name w:val="heading 3"/>
    <w:basedOn w:val="5"/>
    <w:next w:val="1"/>
    <w:link w:val="33"/>
    <w:qFormat/>
    <w:uiPriority w:val="9"/>
    <w:pPr>
      <w:keepNext/>
      <w:keepLines/>
      <w:spacing w:before="260" w:after="260" w:line="416" w:lineRule="auto"/>
      <w:outlineLvl w:val="2"/>
    </w:pPr>
    <w:rPr>
      <w:sz w:val="32"/>
      <w:szCs w:val="32"/>
    </w:rPr>
  </w:style>
  <w:style w:type="paragraph" w:styleId="5">
    <w:name w:val="heading 4"/>
    <w:basedOn w:val="1"/>
    <w:next w:val="1"/>
    <w:link w:val="32"/>
    <w:qFormat/>
    <w:uiPriority w:val="9"/>
    <w:pPr>
      <w:keepNext/>
      <w:keepLines/>
      <w:spacing w:before="280" w:after="290" w:line="376" w:lineRule="auto"/>
      <w:outlineLvl w:val="3"/>
    </w:pPr>
    <w:rPr>
      <w:rFonts w:ascii="Cambria" w:hAnsi="Cambria"/>
      <w:b/>
      <w:bCs/>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9"/>
    <w:qFormat/>
    <w:uiPriority w:val="0"/>
    <w:rPr>
      <w:rFonts w:ascii="Times New Roman" w:hAnsi="Times New Roman"/>
      <w:sz w:val="32"/>
      <w:szCs w:val="24"/>
    </w:rPr>
  </w:style>
  <w:style w:type="paragraph" w:styleId="7">
    <w:name w:val="Normal Indent"/>
    <w:basedOn w:val="1"/>
    <w:qFormat/>
    <w:uiPriority w:val="0"/>
    <w:pPr>
      <w:spacing w:line="560" w:lineRule="exact"/>
      <w:ind w:firstLine="420" w:firstLineChars="200"/>
    </w:pPr>
  </w:style>
  <w:style w:type="paragraph" w:styleId="8">
    <w:name w:val="caption"/>
    <w:basedOn w:val="1"/>
    <w:next w:val="1"/>
    <w:qFormat/>
    <w:uiPriority w:val="0"/>
    <w:pPr>
      <w:spacing w:before="152" w:beforeLines="0" w:after="160" w:afterLines="0"/>
    </w:pPr>
    <w:rPr>
      <w:rFonts w:ascii="Arial" w:hAnsi="Arial" w:eastAsia="黑体"/>
      <w:sz w:val="20"/>
      <w:szCs w:val="20"/>
    </w:rPr>
  </w:style>
  <w:style w:type="paragraph" w:styleId="9">
    <w:name w:val="Document Map"/>
    <w:basedOn w:val="1"/>
    <w:semiHidden/>
    <w:qFormat/>
    <w:uiPriority w:val="0"/>
    <w:pPr>
      <w:shd w:val="clear" w:color="auto" w:fill="000080"/>
    </w:pPr>
  </w:style>
  <w:style w:type="paragraph" w:styleId="10">
    <w:name w:val="annotation text"/>
    <w:basedOn w:val="1"/>
    <w:semiHidden/>
    <w:unhideWhenUsed/>
    <w:qFormat/>
    <w:uiPriority w:val="99"/>
    <w:pPr>
      <w:jc w:val="left"/>
    </w:pPr>
  </w:style>
  <w:style w:type="paragraph" w:styleId="11">
    <w:name w:val="Date"/>
    <w:basedOn w:val="1"/>
    <w:next w:val="1"/>
    <w:link w:val="30"/>
    <w:semiHidden/>
    <w:unhideWhenUsed/>
    <w:qFormat/>
    <w:uiPriority w:val="99"/>
    <w:pPr>
      <w:ind w:left="100" w:leftChars="2500"/>
    </w:pPr>
  </w:style>
  <w:style w:type="paragraph" w:styleId="12">
    <w:name w:val="Balloon Text"/>
    <w:basedOn w:val="1"/>
    <w:link w:val="34"/>
    <w:semiHidden/>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before="120" w:after="120"/>
      <w:jc w:val="left"/>
    </w:pPr>
    <w:rPr>
      <w:b/>
      <w:bCs/>
      <w:caps/>
    </w:rPr>
  </w:style>
  <w:style w:type="paragraph" w:styleId="16">
    <w:name w:val="footnote text"/>
    <w:basedOn w:val="1"/>
    <w:unhideWhenUsed/>
    <w:qFormat/>
    <w:uiPriority w:val="99"/>
    <w:pPr>
      <w:snapToGrid w:val="0"/>
      <w:jc w:val="left"/>
    </w:pPr>
    <w:rPr>
      <w:sz w:val="18"/>
    </w:rPr>
  </w:style>
  <w:style w:type="paragraph" w:styleId="17">
    <w:name w:val="Normal (Web)"/>
    <w:basedOn w:val="1"/>
    <w:unhideWhenUsed/>
    <w:qFormat/>
    <w:uiPriority w:val="99"/>
    <w:rPr>
      <w:sz w:val="24"/>
    </w:rPr>
  </w:style>
  <w:style w:type="paragraph" w:styleId="18">
    <w:name w:val="Body Text First Indent"/>
    <w:basedOn w:val="2"/>
    <w:qFormat/>
    <w:uiPriority w:val="0"/>
    <w:pPr>
      <w:ind w:firstLine="420" w:firstLineChars="100"/>
    </w:pPr>
    <w:rPr>
      <w:sz w:val="20"/>
      <w:szCs w:val="20"/>
    </w:rPr>
  </w:style>
  <w:style w:type="character" w:styleId="21">
    <w:name w:val="page number"/>
    <w:basedOn w:val="20"/>
    <w:qFormat/>
    <w:uiPriority w:val="0"/>
  </w:style>
  <w:style w:type="character" w:styleId="22">
    <w:name w:val="footnote reference"/>
    <w:basedOn w:val="20"/>
    <w:semiHidden/>
    <w:unhideWhenUsed/>
    <w:qFormat/>
    <w:uiPriority w:val="99"/>
    <w:rPr>
      <w:vertAlign w:val="superscript"/>
    </w:rPr>
  </w:style>
  <w:style w:type="paragraph" w:customStyle="1" w:styleId="23">
    <w:name w:val="列出段落2"/>
    <w:basedOn w:val="1"/>
    <w:next w:val="24"/>
    <w:qFormat/>
    <w:uiPriority w:val="34"/>
    <w:pPr>
      <w:ind w:firstLine="420" w:firstLineChars="200"/>
    </w:pPr>
    <w:rPr>
      <w:rFonts w:ascii="Calibri" w:hAnsi="Calibri"/>
      <w:kern w:val="0"/>
      <w:sz w:val="20"/>
      <w:szCs w:val="20"/>
    </w:rPr>
  </w:style>
  <w:style w:type="paragraph" w:customStyle="1" w:styleId="24">
    <w:name w:val="xl591"/>
    <w:basedOn w:val="1"/>
    <w:next w:val="8"/>
    <w:qFormat/>
    <w:uiPriority w:val="99"/>
    <w:pPr>
      <w:widowControl/>
      <w:spacing w:before="100" w:beforeAutospacing="1" w:after="100" w:afterAutospacing="1"/>
      <w:jc w:val="left"/>
    </w:pPr>
    <w:rPr>
      <w:rFonts w:ascii="宋体" w:hAnsi="宋体" w:cs="宋体"/>
      <w:kern w:val="0"/>
      <w:sz w:val="24"/>
    </w:rPr>
  </w:style>
  <w:style w:type="paragraph" w:styleId="25">
    <w:name w:val="List Paragraph"/>
    <w:basedOn w:val="1"/>
    <w:qFormat/>
    <w:uiPriority w:val="34"/>
    <w:pPr>
      <w:ind w:firstLine="420" w:firstLineChars="200"/>
    </w:pPr>
  </w:style>
  <w:style w:type="paragraph" w:customStyle="1" w:styleId="26">
    <w:name w:val="Char Char Char Char Char Char1 Char"/>
    <w:basedOn w:val="9"/>
    <w:qFormat/>
    <w:uiPriority w:val="0"/>
    <w:pPr>
      <w:adjustRightInd w:val="0"/>
      <w:spacing w:line="436" w:lineRule="exact"/>
      <w:ind w:left="357"/>
      <w:jc w:val="left"/>
      <w:outlineLvl w:val="3"/>
    </w:pPr>
    <w:rPr>
      <w:rFonts w:ascii="Times New Roman" w:hAnsi="Times New Roman"/>
      <w:szCs w:val="24"/>
    </w:rPr>
  </w:style>
  <w:style w:type="character" w:customStyle="1" w:styleId="27">
    <w:name w:val="页眉 Char"/>
    <w:link w:val="14"/>
    <w:semiHidden/>
    <w:qFormat/>
    <w:uiPriority w:val="99"/>
    <w:rPr>
      <w:sz w:val="18"/>
      <w:szCs w:val="18"/>
    </w:rPr>
  </w:style>
  <w:style w:type="character" w:customStyle="1" w:styleId="28">
    <w:name w:val="页脚 Char"/>
    <w:link w:val="13"/>
    <w:qFormat/>
    <w:uiPriority w:val="99"/>
    <w:rPr>
      <w:sz w:val="18"/>
      <w:szCs w:val="18"/>
    </w:rPr>
  </w:style>
  <w:style w:type="character" w:customStyle="1" w:styleId="29">
    <w:name w:val="正文文本 Char"/>
    <w:link w:val="2"/>
    <w:qFormat/>
    <w:uiPriority w:val="0"/>
    <w:rPr>
      <w:rFonts w:ascii="Times New Roman" w:hAnsi="Times New Roman" w:eastAsia="宋体" w:cs="Times New Roman"/>
      <w:sz w:val="32"/>
      <w:szCs w:val="24"/>
    </w:rPr>
  </w:style>
  <w:style w:type="character" w:customStyle="1" w:styleId="30">
    <w:name w:val="日期 Char"/>
    <w:basedOn w:val="20"/>
    <w:link w:val="11"/>
    <w:semiHidden/>
    <w:qFormat/>
    <w:uiPriority w:val="99"/>
  </w:style>
  <w:style w:type="character" w:customStyle="1" w:styleId="31">
    <w:name w:val="标题 2 Char"/>
    <w:link w:val="6"/>
    <w:qFormat/>
    <w:uiPriority w:val="0"/>
    <w:rPr>
      <w:rFonts w:ascii="宋体" w:hAnsi="宋体" w:eastAsia="宋体" w:cs="Times New Roman"/>
      <w:b/>
      <w:kern w:val="0"/>
      <w:sz w:val="24"/>
      <w:szCs w:val="20"/>
    </w:rPr>
  </w:style>
  <w:style w:type="character" w:customStyle="1" w:styleId="32">
    <w:name w:val="标题 4 Char"/>
    <w:link w:val="5"/>
    <w:qFormat/>
    <w:uiPriority w:val="9"/>
    <w:rPr>
      <w:rFonts w:ascii="Cambria" w:hAnsi="Cambria" w:eastAsia="宋体" w:cs="Times New Roman"/>
      <w:b/>
      <w:bCs/>
      <w:sz w:val="28"/>
      <w:szCs w:val="28"/>
    </w:rPr>
  </w:style>
  <w:style w:type="character" w:customStyle="1" w:styleId="33">
    <w:name w:val="标题 3 Char"/>
    <w:link w:val="4"/>
    <w:semiHidden/>
    <w:qFormat/>
    <w:uiPriority w:val="9"/>
    <w:rPr>
      <w:b/>
      <w:bCs/>
      <w:sz w:val="32"/>
      <w:szCs w:val="32"/>
    </w:rPr>
  </w:style>
  <w:style w:type="character" w:customStyle="1" w:styleId="34">
    <w:name w:val="批注框文本 Char"/>
    <w:link w:val="12"/>
    <w:semiHidden/>
    <w:qFormat/>
    <w:uiPriority w:val="99"/>
    <w:rPr>
      <w:kern w:val="2"/>
      <w:sz w:val="18"/>
      <w:szCs w:val="18"/>
    </w:rPr>
  </w:style>
  <w:style w:type="paragraph" w:customStyle="1" w:styleId="35">
    <w:name w:val="样式1"/>
    <w:basedOn w:val="16"/>
    <w:qFormat/>
    <w:uiPriority w:val="0"/>
    <w:rPr>
      <w:sz w:val="21"/>
    </w:rPr>
  </w:style>
  <w:style w:type="character" w:customStyle="1" w:styleId="36">
    <w:name w:val="标题 1 Char"/>
    <w:basedOn w:val="20"/>
    <w:link w:val="3"/>
    <w:qFormat/>
    <w:uiPriority w:val="0"/>
    <w:rPr>
      <w:rFonts w:eastAsia="黑体"/>
      <w:kern w:val="44"/>
      <w:szCs w:val="44"/>
    </w:rPr>
  </w:style>
  <w:style w:type="paragraph" w:customStyle="1" w:styleId="37">
    <w:name w:val="列出段落3"/>
    <w:basedOn w:val="1"/>
    <w:unhideWhenUsed/>
    <w:qFormat/>
    <w:uiPriority w:val="99"/>
    <w:pPr>
      <w:ind w:firstLine="420" w:firstLineChars="200"/>
    </w:pPr>
  </w:style>
  <w:style w:type="character" w:customStyle="1" w:styleId="38">
    <w:name w:val="NormalCharacter"/>
    <w:link w:val="1"/>
    <w:semiHidden/>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5029</Words>
  <Characters>5220</Characters>
  <Lines>68</Lines>
  <Paragraphs>19</Paragraphs>
  <TotalTime>0</TotalTime>
  <ScaleCrop>false</ScaleCrop>
  <LinksUpToDate>false</LinksUpToDate>
  <CharactersWithSpaces>5273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2019-04-12T15:51:00Z</dcterms:created>
  <dc:creator>袁峰</dc:creator>
  <cp:lastModifiedBy>Administrator</cp:lastModifiedBy>
  <cp:lastPrinted>2024-04-23T18:32:00Z</cp:lastPrinted>
  <dcterms:modified xsi:type="dcterms:W3CDTF">2024-04-23T11:54:17Z</dcterms:modified>
  <dc:title>深财购〔2019〕27号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8D0EE020995D739D7AD11C66A74A5558</vt:lpwstr>
  </property>
</Properties>
</file>