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2068"/>
        </w:tabs>
        <w:kinsoku/>
        <w:wordWrap/>
        <w:overflowPunct/>
        <w:topLinePunct w:val="0"/>
        <w:bidi w:val="0"/>
        <w:spacing w:line="240" w:lineRule="auto"/>
        <w:ind w:left="0" w:right="0"/>
        <w:jc w:val="center"/>
        <w:textAlignment w:val="auto"/>
        <w:rPr>
          <w:rFonts w:hint="eastAsia" w:ascii="方正小标宋_GBK" w:hAnsi="方正小标宋_GBK" w:eastAsia="方正小标宋_GBK" w:cs="方正小标宋_GBK"/>
          <w:color w:val="auto"/>
          <w:sz w:val="30"/>
          <w:szCs w:val="30"/>
          <w:highlight w:val="none"/>
        </w:rPr>
      </w:pPr>
      <w:r>
        <w:rPr>
          <w:rFonts w:hint="eastAsia" w:ascii="方正小标宋_GBK" w:hAnsi="方正小标宋_GBK" w:eastAsia="方正小标宋_GBK" w:cs="方正小标宋_GBK"/>
          <w:color w:val="auto"/>
          <w:sz w:val="30"/>
          <w:szCs w:val="30"/>
          <w:highlight w:val="none"/>
          <w:lang w:val="en-US" w:eastAsia="zh-CN"/>
        </w:rPr>
        <w:t>云动公园、云波公园等口袋公园</w:t>
      </w:r>
      <w:r>
        <w:rPr>
          <w:rFonts w:hint="eastAsia" w:ascii="方正小标宋_GBK" w:hAnsi="方正小标宋_GBK" w:eastAsia="方正小标宋_GBK" w:cs="方正小标宋_GBK"/>
          <w:color w:val="auto"/>
          <w:sz w:val="30"/>
          <w:szCs w:val="30"/>
          <w:highlight w:val="none"/>
          <w:lang w:eastAsia="zh-CN"/>
        </w:rPr>
        <w:t>物业</w:t>
      </w:r>
      <w:r>
        <w:rPr>
          <w:rFonts w:hint="eastAsia" w:ascii="方正小标宋_GBK" w:hAnsi="方正小标宋_GBK" w:eastAsia="方正小标宋_GBK" w:cs="方正小标宋_GBK"/>
          <w:color w:val="auto"/>
          <w:sz w:val="30"/>
          <w:szCs w:val="30"/>
          <w:highlight w:val="none"/>
        </w:rPr>
        <w:t>管理项目需求</w:t>
      </w:r>
    </w:p>
    <w:p>
      <w:pPr>
        <w:pStyle w:val="4"/>
        <w:rPr>
          <w:rFonts w:hint="eastAsia"/>
        </w:rPr>
      </w:pP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一、采购项目概况</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（一）项目整体情况</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云动公园、云波公园等口袋公园</w:t>
      </w:r>
      <w:r>
        <w:rPr>
          <w:rFonts w:hint="default" w:ascii="宋体" w:hAnsi="宋体" w:cs="宋体"/>
          <w:color w:val="auto"/>
          <w:sz w:val="21"/>
          <w:szCs w:val="21"/>
          <w:highlight w:val="none"/>
          <w:lang w:val="en" w:eastAsia="zh-CN"/>
        </w:rPr>
        <w:t>物业管理项目</w:t>
      </w:r>
      <w:r>
        <w:rPr>
          <w:rFonts w:hint="eastAsia" w:ascii="宋体" w:hAnsi="宋体" w:eastAsia="宋体" w:cs="宋体"/>
          <w:color w:val="auto"/>
          <w:sz w:val="21"/>
          <w:szCs w:val="21"/>
          <w:highlight w:val="none"/>
          <w:lang w:val="en-US" w:eastAsia="zh-CN"/>
        </w:rPr>
        <w:t>包含绿化管养一级景观绿化</w:t>
      </w:r>
      <w:r>
        <w:rPr>
          <w:rFonts w:hint="eastAsia" w:ascii="宋体" w:hAnsi="宋体" w:cs="宋体"/>
          <w:color w:val="auto"/>
          <w:sz w:val="21"/>
          <w:szCs w:val="21"/>
          <w:highlight w:val="none"/>
          <w:lang w:val="en-US" w:eastAsia="zh-CN"/>
        </w:rPr>
        <w:t>及硬地</w:t>
      </w:r>
      <w:r>
        <w:rPr>
          <w:rFonts w:hint="eastAsia" w:ascii="宋体" w:hAnsi="宋体" w:eastAsia="宋体" w:cs="宋体"/>
          <w:color w:val="auto"/>
          <w:sz w:val="21"/>
          <w:szCs w:val="21"/>
          <w:highlight w:val="none"/>
          <w:lang w:val="en-US" w:eastAsia="zh-CN"/>
        </w:rPr>
        <w:t>清扫保洁36171.44㎡，设施维护（路灯</w:t>
      </w:r>
      <w:r>
        <w:rPr>
          <w:rFonts w:hint="eastAsia" w:ascii="宋体" w:hAnsi="宋体" w:cs="宋体"/>
          <w:color w:val="auto"/>
          <w:sz w:val="21"/>
          <w:szCs w:val="21"/>
          <w:highlight w:val="none"/>
          <w:lang w:val="en-US" w:eastAsia="zh-CN"/>
        </w:rPr>
        <w:t>121</w:t>
      </w:r>
      <w:r>
        <w:rPr>
          <w:rFonts w:hint="eastAsia" w:ascii="宋体" w:hAnsi="宋体" w:eastAsia="宋体" w:cs="宋体"/>
          <w:color w:val="auto"/>
          <w:sz w:val="21"/>
          <w:szCs w:val="21"/>
          <w:highlight w:val="none"/>
          <w:lang w:val="en-US" w:eastAsia="zh-CN"/>
        </w:rPr>
        <w:t>盏）；</w:t>
      </w:r>
      <w:r>
        <w:rPr>
          <w:rFonts w:hint="eastAsia" w:ascii="宋体" w:hAnsi="宋体" w:cs="宋体"/>
          <w:color w:val="auto"/>
          <w:sz w:val="21"/>
          <w:szCs w:val="21"/>
          <w:highlight w:val="none"/>
          <w:lang w:val="en-US" w:eastAsia="zh-CN"/>
        </w:rPr>
        <w:t>临时厕所3座；</w:t>
      </w:r>
      <w:r>
        <w:rPr>
          <w:rFonts w:hint="eastAsia" w:ascii="宋体" w:hAnsi="宋体" w:eastAsia="宋体" w:cs="宋体"/>
          <w:color w:val="auto"/>
          <w:sz w:val="21"/>
          <w:szCs w:val="21"/>
          <w:highlight w:val="none"/>
          <w:lang w:val="en-US" w:eastAsia="zh-CN"/>
        </w:rPr>
        <w:t>虫害消杀（面积为36171.44㎡）等。</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（二）项目目的及建设目标</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为提高云动公园、云波公园等</w:t>
      </w:r>
      <w:r>
        <w:rPr>
          <w:rFonts w:hint="eastAsia" w:ascii="宋体" w:hAnsi="宋体" w:cs="宋体"/>
          <w:color w:val="auto"/>
          <w:sz w:val="21"/>
          <w:szCs w:val="21"/>
          <w:highlight w:val="none"/>
          <w:lang w:val="en-US" w:eastAsia="zh-CN"/>
        </w:rPr>
        <w:t>口袋公园物业管理项目</w:t>
      </w:r>
      <w:r>
        <w:rPr>
          <w:rFonts w:hint="eastAsia" w:ascii="宋体" w:hAnsi="宋体" w:eastAsia="宋体" w:cs="宋体"/>
          <w:color w:val="auto"/>
          <w:sz w:val="21"/>
          <w:szCs w:val="21"/>
          <w:highlight w:val="none"/>
          <w:lang w:val="en-US" w:eastAsia="zh-CN"/>
        </w:rPr>
        <w:t>综合绿化档次，使绿地整洁美观，花草树木茂盛，充分发挥其绿化、净化、美化市容环境的效果，为市民提供一个景观优美、休闲游乐、体育锻炼的公共场所，现向社会公开采购，择优选出1家优秀的企业承担云动公园、云波公园等</w:t>
      </w:r>
      <w:r>
        <w:rPr>
          <w:rFonts w:hint="eastAsia" w:ascii="宋体" w:hAnsi="宋体" w:cs="宋体"/>
          <w:color w:val="auto"/>
          <w:sz w:val="21"/>
          <w:szCs w:val="21"/>
          <w:highlight w:val="none"/>
          <w:lang w:val="en-US" w:eastAsia="zh-CN"/>
        </w:rPr>
        <w:t>口袋公园物业管理项目</w:t>
      </w:r>
      <w:r>
        <w:rPr>
          <w:rFonts w:hint="eastAsia" w:ascii="宋体" w:hAnsi="宋体" w:eastAsia="宋体" w:cs="宋体"/>
          <w:color w:val="auto"/>
          <w:sz w:val="21"/>
          <w:szCs w:val="21"/>
          <w:highlight w:val="none"/>
          <w:lang w:val="en-US" w:eastAsia="zh-CN"/>
        </w:rPr>
        <w:t>养护任务。</w:t>
      </w:r>
    </w:p>
    <w:p>
      <w:pPr>
        <w:keepNext w:val="0"/>
        <w:keepLines w:val="0"/>
        <w:pageBreakBefore w:val="0"/>
        <w:widowControl w:val="0"/>
        <w:kinsoku/>
        <w:wordWrap/>
        <w:overflowPunct/>
        <w:topLinePunct w:val="0"/>
        <w:autoSpaceDE/>
        <w:autoSpaceDN/>
        <w:bidi w:val="0"/>
        <w:adjustRightInd/>
        <w:snapToGrid/>
        <w:spacing w:line="360" w:lineRule="exact"/>
        <w:ind w:left="0" w:right="0" w:firstLine="422" w:firstLineChars="200"/>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w:t>
      </w:r>
      <w:r>
        <w:rPr>
          <w:rFonts w:hint="eastAsia" w:ascii="宋体" w:hAnsi="宋体" w:eastAsia="宋体" w:cs="宋体"/>
          <w:b/>
          <w:bCs/>
          <w:color w:val="auto"/>
          <w:sz w:val="21"/>
          <w:szCs w:val="21"/>
          <w:highlight w:val="none"/>
          <w:lang w:val="en-US" w:eastAsia="zh-CN"/>
        </w:rPr>
        <w:t>三</w:t>
      </w:r>
      <w:r>
        <w:rPr>
          <w:rFonts w:hint="eastAsia" w:ascii="宋体" w:hAnsi="宋体" w:eastAsia="宋体" w:cs="宋体"/>
          <w:b/>
          <w:bCs/>
          <w:color w:val="auto"/>
          <w:sz w:val="21"/>
          <w:szCs w:val="21"/>
          <w:highlight w:val="none"/>
        </w:rPr>
        <w:t>）项目所依据及参考的标准</w:t>
      </w:r>
    </w:p>
    <w:tbl>
      <w:tblPr>
        <w:tblStyle w:val="7"/>
        <w:tblW w:w="6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 w:hRule="atLeast"/>
          <w:jc w:val="center"/>
        </w:trPr>
        <w:tc>
          <w:tcPr>
            <w:tcW w:w="6759" w:type="dxa"/>
            <w:vAlign w:val="top"/>
          </w:tcPr>
          <w:p>
            <w:pPr>
              <w:keepNext w:val="0"/>
              <w:keepLines w:val="0"/>
              <w:pageBreakBefore w:val="0"/>
              <w:widowControl w:val="0"/>
              <w:kinsoku/>
              <w:wordWrap/>
              <w:overflowPunct/>
              <w:topLinePunct w:val="0"/>
              <w:bidi w:val="0"/>
              <w:spacing w:line="240" w:lineRule="auto"/>
              <w:ind w:right="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1.《坪山区城市管理和综合执法局区管绿道物业管理考评办法》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6759" w:type="dxa"/>
            <w:vAlign w:val="top"/>
          </w:tcPr>
          <w:p>
            <w:pPr>
              <w:keepNext w:val="0"/>
              <w:keepLines w:val="0"/>
              <w:pageBreakBefore w:val="0"/>
              <w:widowControl w:val="0"/>
              <w:kinsoku/>
              <w:wordWrap/>
              <w:overflowPunct/>
              <w:topLinePunct w:val="0"/>
              <w:bidi w:val="0"/>
              <w:spacing w:line="240" w:lineRule="auto"/>
              <w:ind w:right="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2.《坪山区城市管理和综合执法局公园物业管理考评办法》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6759" w:type="dxa"/>
            <w:vAlign w:val="top"/>
          </w:tcPr>
          <w:p>
            <w:pPr>
              <w:keepNext w:val="0"/>
              <w:keepLines w:val="0"/>
              <w:pageBreakBefore w:val="0"/>
              <w:widowControl w:val="0"/>
              <w:kinsoku/>
              <w:wordWrap/>
              <w:overflowPunct/>
              <w:topLinePunct w:val="0"/>
              <w:bidi w:val="0"/>
              <w:spacing w:line="240" w:lineRule="auto"/>
              <w:ind w:right="0" w:righ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 xml:space="preserve">深圳市绿地养护工作指引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6" w:hRule="atLeast"/>
          <w:jc w:val="center"/>
        </w:trPr>
        <w:tc>
          <w:tcPr>
            <w:tcW w:w="6759" w:type="dxa"/>
            <w:vAlign w:val="top"/>
          </w:tcPr>
          <w:p>
            <w:pPr>
              <w:keepNext w:val="0"/>
              <w:keepLines w:val="0"/>
              <w:pageBreakBefore w:val="0"/>
              <w:widowControl w:val="0"/>
              <w:kinsoku/>
              <w:wordWrap/>
              <w:overflowPunct/>
              <w:topLinePunct w:val="0"/>
              <w:bidi w:val="0"/>
              <w:spacing w:line="240" w:lineRule="auto"/>
              <w:ind w:right="0" w:righ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 xml:space="preserve">.深圳市农业地方标准：园林绿化管养规范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 w:hRule="atLeast"/>
          <w:jc w:val="center"/>
        </w:trPr>
        <w:tc>
          <w:tcPr>
            <w:tcW w:w="6759" w:type="dxa"/>
            <w:vAlign w:val="top"/>
          </w:tcPr>
          <w:p>
            <w:pPr>
              <w:keepNext w:val="0"/>
              <w:keepLines w:val="0"/>
              <w:pageBreakBefore w:val="0"/>
              <w:widowControl w:val="0"/>
              <w:kinsoku/>
              <w:wordWrap/>
              <w:overflowPunct/>
              <w:topLinePunct w:val="0"/>
              <w:bidi w:val="0"/>
              <w:spacing w:line="240" w:lineRule="auto"/>
              <w:ind w:right="0" w:righ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 xml:space="preserve">.深圳市公共厕所清洁作业指引（ 试行）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 w:hRule="atLeast"/>
          <w:jc w:val="center"/>
        </w:trPr>
        <w:tc>
          <w:tcPr>
            <w:tcW w:w="6759" w:type="dxa"/>
            <w:vAlign w:val="top"/>
          </w:tcPr>
          <w:p>
            <w:pPr>
              <w:keepNext w:val="0"/>
              <w:keepLines w:val="0"/>
              <w:pageBreakBefore w:val="0"/>
              <w:widowControl w:val="0"/>
              <w:kinsoku/>
              <w:wordWrap/>
              <w:overflowPunct/>
              <w:topLinePunct w:val="0"/>
              <w:bidi w:val="0"/>
              <w:spacing w:line="240" w:lineRule="auto"/>
              <w:ind w:right="0" w:righ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 xml:space="preserve">.SZDB Z 81-2013 综合公园管养维护要求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 w:hRule="atLeast"/>
          <w:jc w:val="center"/>
        </w:trPr>
        <w:tc>
          <w:tcPr>
            <w:tcW w:w="6759" w:type="dxa"/>
            <w:vAlign w:val="top"/>
          </w:tcPr>
          <w:p>
            <w:pPr>
              <w:keepNext w:val="0"/>
              <w:keepLines w:val="0"/>
              <w:pageBreakBefore w:val="0"/>
              <w:widowControl w:val="0"/>
              <w:kinsoku/>
              <w:wordWrap/>
              <w:overflowPunct/>
              <w:topLinePunct w:val="0"/>
              <w:bidi w:val="0"/>
              <w:spacing w:line="240" w:lineRule="auto"/>
              <w:ind w:right="0" w:righ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 xml:space="preserve">.SZDB Z 88-2013 公园服务规范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 w:hRule="atLeast"/>
          <w:jc w:val="center"/>
        </w:trPr>
        <w:tc>
          <w:tcPr>
            <w:tcW w:w="6759" w:type="dxa"/>
            <w:vAlign w:val="top"/>
          </w:tcPr>
          <w:p>
            <w:pPr>
              <w:keepNext w:val="0"/>
              <w:keepLines w:val="0"/>
              <w:pageBreakBefore w:val="0"/>
              <w:widowControl w:val="0"/>
              <w:kinsoku/>
              <w:wordWrap/>
              <w:overflowPunct/>
              <w:topLinePunct w:val="0"/>
              <w:bidi w:val="0"/>
              <w:spacing w:line="240" w:lineRule="auto"/>
              <w:ind w:right="0" w:righ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 xml:space="preserve">.SZDB Z 194-2016 公园设施维护技术规范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2" w:hRule="atLeast"/>
          <w:jc w:val="center"/>
        </w:trPr>
        <w:tc>
          <w:tcPr>
            <w:tcW w:w="6759" w:type="dxa"/>
            <w:vAlign w:val="top"/>
          </w:tcPr>
          <w:p>
            <w:pPr>
              <w:keepNext w:val="0"/>
              <w:keepLines w:val="0"/>
              <w:pageBreakBefore w:val="0"/>
              <w:widowControl w:val="0"/>
              <w:kinsoku/>
              <w:wordWrap/>
              <w:overflowPunct/>
              <w:topLinePunct w:val="0"/>
              <w:bidi w:val="0"/>
              <w:spacing w:line="240" w:lineRule="auto"/>
              <w:ind w:right="0" w:righ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 xml:space="preserve">.SZDB Z 205-2016 公园园容绿化管理规范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6759" w:type="dxa"/>
            <w:vAlign w:val="top"/>
          </w:tcPr>
          <w:p>
            <w:pPr>
              <w:keepNext w:val="0"/>
              <w:keepLines w:val="0"/>
              <w:pageBreakBefore w:val="0"/>
              <w:widowControl w:val="0"/>
              <w:kinsoku/>
              <w:wordWrap/>
              <w:overflowPunct/>
              <w:topLinePunct w:val="0"/>
              <w:bidi w:val="0"/>
              <w:spacing w:line="240" w:lineRule="auto"/>
              <w:ind w:right="0" w:righ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 xml:space="preserve">.SZDB Z 299-2018 公园安全管理规范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6759" w:type="dxa"/>
            <w:vAlign w:val="top"/>
          </w:tcPr>
          <w:p>
            <w:pPr>
              <w:keepNext w:val="0"/>
              <w:keepLines w:val="0"/>
              <w:pageBreakBefore w:val="0"/>
              <w:widowControl w:val="0"/>
              <w:kinsoku/>
              <w:wordWrap/>
              <w:overflowPunct/>
              <w:topLinePunct w:val="0"/>
              <w:bidi w:val="0"/>
              <w:spacing w:line="240" w:lineRule="auto"/>
              <w:ind w:right="0" w:righ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11</w:t>
            </w:r>
            <w:r>
              <w:rPr>
                <w:rFonts w:hint="eastAsia" w:ascii="宋体" w:hAnsi="宋体" w:eastAsia="宋体" w:cs="宋体"/>
                <w:color w:val="auto"/>
                <w:sz w:val="21"/>
                <w:szCs w:val="21"/>
                <w:highlight w:val="none"/>
              </w:rPr>
              <w:t>.SZDBZ 192-2016 森林公园绿化管养技术规程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 w:hRule="atLeast"/>
          <w:jc w:val="center"/>
        </w:trPr>
        <w:tc>
          <w:tcPr>
            <w:tcW w:w="6759" w:type="dxa"/>
            <w:vAlign w:val="top"/>
          </w:tcPr>
          <w:p>
            <w:pPr>
              <w:keepNext w:val="0"/>
              <w:keepLines w:val="0"/>
              <w:pageBreakBefore w:val="0"/>
              <w:widowControl w:val="0"/>
              <w:kinsoku/>
              <w:wordWrap/>
              <w:overflowPunct/>
              <w:topLinePunct w:val="0"/>
              <w:bidi w:val="0"/>
              <w:spacing w:line="240" w:lineRule="auto"/>
              <w:ind w:right="0" w:righ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12</w:t>
            </w:r>
            <w:r>
              <w:rPr>
                <w:rFonts w:hint="eastAsia" w:ascii="宋体" w:hAnsi="宋体" w:eastAsia="宋体" w:cs="宋体"/>
                <w:color w:val="auto"/>
                <w:sz w:val="21"/>
                <w:szCs w:val="21"/>
                <w:highlight w:val="none"/>
              </w:rPr>
              <w:t>.SZDBZ 192-2016 森林公园绿化管养技术规程</w:t>
            </w:r>
          </w:p>
        </w:tc>
      </w:tr>
    </w:tbl>
    <w:p>
      <w:pPr>
        <w:keepNext w:val="0"/>
        <w:keepLines w:val="0"/>
        <w:pageBreakBefore w:val="0"/>
        <w:widowControl w:val="0"/>
        <w:kinsoku/>
        <w:wordWrap/>
        <w:overflowPunct/>
        <w:topLinePunct w:val="0"/>
        <w:bidi w:val="0"/>
        <w:spacing w:line="240" w:lineRule="auto"/>
        <w:ind w:right="0"/>
        <w:jc w:val="both"/>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exact"/>
        <w:ind w:left="0" w:right="0" w:firstLine="422" w:firstLineChars="200"/>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（四）项目采购范围</w:t>
      </w:r>
    </w:p>
    <w:p>
      <w:pPr>
        <w:keepNext w:val="0"/>
        <w:keepLines w:val="0"/>
        <w:pageBreakBefore w:val="0"/>
        <w:widowControl w:val="0"/>
        <w:kinsoku/>
        <w:wordWrap/>
        <w:overflowPunct/>
        <w:topLinePunct w:val="0"/>
        <w:autoSpaceDE/>
        <w:autoSpaceDN/>
        <w:bidi w:val="0"/>
        <w:adjustRightInd/>
        <w:snapToGrid/>
        <w:spacing w:line="360" w:lineRule="exact"/>
        <w:ind w:left="0" w:right="0" w:firstLine="420" w:firstLineChars="200"/>
        <w:jc w:val="both"/>
        <w:textAlignment w:val="auto"/>
        <w:rPr>
          <w:rFonts w:hint="eastAsia" w:ascii="Times New Roman" w:hAnsi="Times New Roman" w:eastAsia="宋体" w:cs="Times New Roman"/>
          <w:highlight w:val="none"/>
        </w:rPr>
      </w:pPr>
      <w:r>
        <w:rPr>
          <w:rFonts w:hint="eastAsia" w:ascii="宋体" w:hAnsi="宋体" w:eastAsia="宋体" w:cs="宋体"/>
          <w:color w:val="auto"/>
          <w:sz w:val="21"/>
          <w:szCs w:val="21"/>
          <w:highlight w:val="none"/>
          <w:lang w:val="en-US" w:eastAsia="zh-CN"/>
        </w:rPr>
        <w:t>此次</w:t>
      </w:r>
      <w:r>
        <w:rPr>
          <w:rFonts w:hint="eastAsia" w:ascii="宋体" w:hAnsi="宋体" w:cs="宋体"/>
          <w:color w:val="auto"/>
          <w:sz w:val="21"/>
          <w:szCs w:val="21"/>
          <w:highlight w:val="none"/>
          <w:lang w:val="en-US" w:eastAsia="zh-CN"/>
        </w:rPr>
        <w:t>采购</w:t>
      </w:r>
      <w:r>
        <w:rPr>
          <w:rFonts w:hint="eastAsia" w:ascii="宋体" w:hAnsi="宋体" w:eastAsia="宋体" w:cs="宋体"/>
          <w:color w:val="auto"/>
          <w:sz w:val="21"/>
          <w:szCs w:val="21"/>
          <w:highlight w:val="none"/>
          <w:lang w:val="en-US" w:eastAsia="zh-CN"/>
        </w:rPr>
        <w:t>项目内容包括绿地养护、硬地保洁、四害消杀防治等</w:t>
      </w:r>
      <w:r>
        <w:rPr>
          <w:rFonts w:hint="eastAsia" w:ascii="宋体" w:hAnsi="宋体" w:eastAsia="宋体" w:cs="宋体"/>
          <w:color w:val="auto"/>
          <w:sz w:val="21"/>
          <w:szCs w:val="21"/>
          <w:highlight w:val="none"/>
        </w:rPr>
        <w:t>综合管理服务项目，同时包含园区内所有常态化的管理工作，包括办公物业的管理，场地清理和植物养护，接待保障等其他公园服务保障内容。</w:t>
      </w:r>
      <w:r>
        <w:rPr>
          <w:rFonts w:hint="eastAsia" w:ascii="宋体" w:hAnsi="宋体" w:cs="宋体"/>
          <w:color w:val="auto"/>
          <w:sz w:val="21"/>
          <w:szCs w:val="21"/>
          <w:highlight w:val="none"/>
          <w:lang w:eastAsia="zh-CN"/>
        </w:rPr>
        <w:t>采购</w:t>
      </w:r>
      <w:r>
        <w:rPr>
          <w:rFonts w:hint="eastAsia" w:ascii="宋体" w:hAnsi="宋体" w:eastAsia="宋体" w:cs="宋体"/>
          <w:color w:val="auto"/>
          <w:sz w:val="21"/>
          <w:szCs w:val="21"/>
          <w:highlight w:val="none"/>
        </w:rPr>
        <w:t>区域与非</w:t>
      </w:r>
      <w:r>
        <w:rPr>
          <w:rFonts w:hint="eastAsia" w:ascii="宋体" w:hAnsi="宋体" w:cs="宋体"/>
          <w:color w:val="auto"/>
          <w:sz w:val="21"/>
          <w:szCs w:val="21"/>
          <w:highlight w:val="none"/>
          <w:lang w:eastAsia="zh-CN"/>
        </w:rPr>
        <w:t>采购</w:t>
      </w:r>
      <w:r>
        <w:rPr>
          <w:rFonts w:hint="eastAsia" w:ascii="宋体" w:hAnsi="宋体" w:eastAsia="宋体" w:cs="宋体"/>
          <w:color w:val="auto"/>
          <w:sz w:val="21"/>
          <w:szCs w:val="21"/>
          <w:highlight w:val="none"/>
        </w:rPr>
        <w:t>区域衔接地带的清扫保洁、绿化养护范围向外延伸2米。</w:t>
      </w:r>
    </w:p>
    <w:p>
      <w:pPr>
        <w:keepNext w:val="0"/>
        <w:keepLines w:val="0"/>
        <w:pageBreakBefore w:val="0"/>
        <w:widowControl w:val="0"/>
        <w:kinsoku/>
        <w:wordWrap/>
        <w:overflowPunct/>
        <w:topLinePunct w:val="0"/>
        <w:autoSpaceDE/>
        <w:autoSpaceDN/>
        <w:bidi w:val="0"/>
        <w:adjustRightInd/>
        <w:snapToGrid/>
        <w:spacing w:line="360" w:lineRule="exact"/>
        <w:ind w:left="0" w:right="0" w:firstLine="422" w:firstLineChars="200"/>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（五）报价要求</w:t>
      </w:r>
    </w:p>
    <w:tbl>
      <w:tblPr>
        <w:tblStyle w:val="7"/>
        <w:tblpPr w:leftFromText="180" w:rightFromText="180" w:vertAnchor="text" w:horzAnchor="page" w:tblpX="1860" w:tblpY="313"/>
        <w:tblOverlap w:val="never"/>
        <w:tblW w:w="84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35"/>
        <w:gridCol w:w="898"/>
        <w:gridCol w:w="1232"/>
        <w:gridCol w:w="1110"/>
        <w:gridCol w:w="1095"/>
        <w:gridCol w:w="870"/>
        <w:gridCol w:w="1200"/>
        <w:gridCol w:w="780"/>
        <w:gridCol w:w="6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9"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序号</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服务项目</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分项名称</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工程量（m2/盏/座/人）</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年预算单价（元/m2/盏/人）</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管养年限 （年）</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预算费用（元/年）</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报价</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5"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8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绿化管养</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云波景观绿化（一级）</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14906.43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12.2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181858.45 </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5"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w:t>
            </w: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云动景观绿化（一级）</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12129.62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12.2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147981.36 </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5"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w:t>
            </w: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云端景观绿化（一级）</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4859.43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12.2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59285.05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5"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w:t>
            </w: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云麓景观绿化（一级）</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4275.96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12.2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52166.71 </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5"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8</w:t>
            </w: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路灯</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121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122.93</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14874.53 </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5"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临时公厕管理</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厕所消耗用品费用（含纸巾）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19200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57600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5"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虫害消杀</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四害及红火蚁、白蚁防治费用</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36171.44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43405.73 </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4" w:hRule="atLeast"/>
        </w:trPr>
        <w:tc>
          <w:tcPr>
            <w:tcW w:w="26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总预算费用</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557171.83 </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1"/>
                <w:szCs w:val="21"/>
                <w:u w:val="none"/>
              </w:rPr>
            </w:pPr>
          </w:p>
        </w:tc>
      </w:tr>
    </w:tbl>
    <w:p>
      <w:pPr>
        <w:keepNext w:val="0"/>
        <w:keepLines w:val="0"/>
        <w:pageBreakBefore w:val="0"/>
        <w:widowControl w:val="0"/>
        <w:kinsoku/>
        <w:wordWrap/>
        <w:overflowPunct/>
        <w:topLinePunct w:val="0"/>
        <w:bidi w:val="0"/>
        <w:spacing w:line="240" w:lineRule="auto"/>
        <w:ind w:right="0"/>
        <w:jc w:val="both"/>
        <w:textAlignment w:val="auto"/>
        <w:rPr>
          <w:rFonts w:hint="eastAsia" w:ascii="宋体" w:hAnsi="宋体" w:eastAsia="宋体" w:cs="宋体"/>
          <w:color w:val="auto"/>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left="0" w:right="0" w:firstLine="420" w:firstLineChars="200"/>
        <w:jc w:val="both"/>
        <w:textAlignment w:val="auto"/>
        <w:rPr>
          <w:rFonts w:hint="eastAsia" w:ascii="宋体" w:hAnsi="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因项目管理模式发生重大调整或基于政府决策、公共利益需要或维护法定权益需要可单方变更、终止或解除合同。此种情形下合同被终止或解除的，采购人并不承担任何违约责任，成交供应商应及时配合办理交接事宜。在合同期内，采购人为方便管理需要调整该标段管理养护的范围和管理养护的内容，若所变更内容符合《中华人民共和国政府采购法》《中华人民共和国政府采购法实施条例》，服务经费测算以实际管养面积及内容为准</w:t>
      </w:r>
      <w:r>
        <w:rPr>
          <w:rFonts w:hint="eastAsia" w:ascii="宋体" w:hAnsi="宋体" w:cs="宋体"/>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left="0" w:right="0" w:firstLine="422" w:firstLineChars="200"/>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rPr>
        <w:t>（六）合同服务期</w:t>
      </w:r>
    </w:p>
    <w:p>
      <w:pPr>
        <w:keepNext w:val="0"/>
        <w:keepLines w:val="0"/>
        <w:pageBreakBefore w:val="0"/>
        <w:widowControl w:val="0"/>
        <w:kinsoku/>
        <w:wordWrap/>
        <w:overflowPunct/>
        <w:topLinePunct w:val="0"/>
        <w:autoSpaceDE/>
        <w:autoSpaceDN/>
        <w:bidi w:val="0"/>
        <w:adjustRightInd/>
        <w:snapToGrid/>
        <w:spacing w:line="360" w:lineRule="exact"/>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Times New Roman" w:hAnsi="Times New Roman" w:cs="Times New Roman"/>
          <w:highlight w:val="none"/>
        </w:rPr>
        <w:t>★</w:t>
      </w:r>
      <w:r>
        <w:rPr>
          <w:rFonts w:hint="eastAsia" w:ascii="宋体" w:hAnsi="宋体" w:eastAsia="宋体" w:cs="宋体"/>
          <w:color w:val="auto"/>
          <w:sz w:val="21"/>
          <w:szCs w:val="21"/>
          <w:highlight w:val="none"/>
        </w:rPr>
        <w:t>项目合同期</w:t>
      </w:r>
      <w:r>
        <w:rPr>
          <w:rFonts w:hint="eastAsia" w:ascii="宋体" w:hAnsi="宋体" w:cs="宋体"/>
          <w:color w:val="auto"/>
          <w:sz w:val="21"/>
          <w:szCs w:val="21"/>
          <w:highlight w:val="none"/>
          <w:lang w:val="en-US" w:eastAsia="zh-CN"/>
        </w:rPr>
        <w:t>1年</w:t>
      </w:r>
      <w:r>
        <w:rPr>
          <w:rFonts w:hint="eastAsia" w:ascii="宋体" w:hAnsi="宋体" w:eastAsia="宋体" w:cs="宋体"/>
          <w:color w:val="auto"/>
          <w:sz w:val="21"/>
          <w:szCs w:val="21"/>
          <w:highlight w:val="none"/>
        </w:rPr>
        <w:t>，本次项目合同期满后</w:t>
      </w:r>
      <w:r>
        <w:rPr>
          <w:rFonts w:hint="eastAsia" w:ascii="宋体" w:hAnsi="宋体" w:eastAsia="宋体" w:cs="宋体"/>
          <w:color w:val="auto"/>
          <w:sz w:val="21"/>
          <w:szCs w:val="21"/>
          <w:highlight w:val="none"/>
          <w:lang w:val="en-US" w:eastAsia="zh-CN"/>
        </w:rPr>
        <w:t>自行终止。</w:t>
      </w:r>
    </w:p>
    <w:p>
      <w:pPr>
        <w:keepNext w:val="0"/>
        <w:keepLines w:val="0"/>
        <w:pageBreakBefore w:val="0"/>
        <w:widowControl w:val="0"/>
        <w:kinsoku/>
        <w:wordWrap/>
        <w:overflowPunct/>
        <w:topLinePunct w:val="0"/>
        <w:autoSpaceDE/>
        <w:autoSpaceDN/>
        <w:bidi w:val="0"/>
        <w:adjustRightInd/>
        <w:snapToGrid/>
        <w:spacing w:line="360" w:lineRule="exact"/>
        <w:ind w:right="0" w:firstLine="422" w:firstLineChars="200"/>
        <w:jc w:val="both"/>
        <w:textAlignment w:val="auto"/>
        <w:outlineLvl w:val="1"/>
        <w:rPr>
          <w:rFonts w:hint="eastAsia" w:ascii="宋体" w:hAnsi="宋体" w:eastAsia="宋体" w:cs="Times New Roman"/>
          <w:b/>
          <w:bCs/>
          <w:kern w:val="0"/>
          <w:sz w:val="21"/>
          <w:szCs w:val="21"/>
          <w:highlight w:val="none"/>
          <w:lang w:val="en-US" w:eastAsia="zh-CN" w:bidi="ar-SA"/>
        </w:rPr>
      </w:pPr>
      <w:r>
        <w:rPr>
          <w:rFonts w:hint="eastAsia" w:ascii="宋体" w:hAnsi="宋体" w:cs="Times New Roman"/>
          <w:b/>
          <w:bCs/>
          <w:kern w:val="0"/>
          <w:sz w:val="21"/>
          <w:szCs w:val="21"/>
          <w:highlight w:val="none"/>
          <w:lang w:val="en-US" w:eastAsia="zh-CN" w:bidi="ar-SA"/>
        </w:rPr>
        <w:t>二</w:t>
      </w:r>
      <w:r>
        <w:rPr>
          <w:rFonts w:hint="eastAsia" w:ascii="宋体" w:hAnsi="宋体" w:eastAsia="宋体" w:cs="Times New Roman"/>
          <w:b/>
          <w:bCs/>
          <w:kern w:val="0"/>
          <w:sz w:val="21"/>
          <w:szCs w:val="21"/>
          <w:highlight w:val="none"/>
          <w:lang w:val="en-US" w:eastAsia="zh-CN" w:bidi="ar-SA"/>
        </w:rPr>
        <w:t>、委托管理事项</w:t>
      </w:r>
    </w:p>
    <w:p>
      <w:pPr>
        <w:keepNext w:val="0"/>
        <w:keepLines w:val="0"/>
        <w:pageBreakBefore w:val="0"/>
        <w:widowControl w:val="0"/>
        <w:kinsoku/>
        <w:wordWrap/>
        <w:overflowPunct/>
        <w:topLinePunct w:val="0"/>
        <w:autoSpaceDE/>
        <w:autoSpaceDN/>
        <w:bidi w:val="0"/>
        <w:adjustRightInd/>
        <w:snapToGrid/>
        <w:spacing w:line="360" w:lineRule="exact"/>
        <w:ind w:left="0" w:right="0"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本项目服务范围包括园内的绿地养护、园区保洁、</w:t>
      </w:r>
      <w:r>
        <w:rPr>
          <w:rFonts w:hint="eastAsia" w:ascii="宋体" w:hAnsi="宋体" w:eastAsia="宋体" w:cs="宋体"/>
          <w:color w:val="auto"/>
          <w:sz w:val="21"/>
          <w:szCs w:val="21"/>
          <w:highlight w:val="none"/>
          <w:lang w:eastAsia="zh-CN"/>
        </w:rPr>
        <w:t>虫</w:t>
      </w:r>
      <w:r>
        <w:rPr>
          <w:rFonts w:hint="eastAsia" w:ascii="宋体" w:hAnsi="宋体" w:eastAsia="宋体" w:cs="宋体"/>
          <w:color w:val="auto"/>
          <w:sz w:val="21"/>
          <w:szCs w:val="21"/>
          <w:highlight w:val="none"/>
        </w:rPr>
        <w:t>害（</w:t>
      </w:r>
      <w:r>
        <w:rPr>
          <w:rFonts w:hint="eastAsia" w:ascii="宋体" w:hAnsi="宋体" w:eastAsia="宋体" w:cs="宋体"/>
          <w:color w:val="auto"/>
          <w:sz w:val="21"/>
          <w:szCs w:val="21"/>
          <w:highlight w:val="none"/>
          <w:lang w:val="en-US" w:eastAsia="zh-CN"/>
        </w:rPr>
        <w:t>四害及红火蚁、白蚁</w:t>
      </w:r>
      <w:r>
        <w:rPr>
          <w:rFonts w:hint="eastAsia" w:ascii="宋体" w:hAnsi="宋体" w:eastAsia="宋体" w:cs="宋体"/>
          <w:color w:val="auto"/>
          <w:sz w:val="21"/>
          <w:szCs w:val="21"/>
          <w:highlight w:val="none"/>
        </w:rPr>
        <w:t>）防治消杀等多项主要综合管理服务内容，同时包含园区内其它相关常态化的综合管理服务工作。</w:t>
      </w:r>
    </w:p>
    <w:p>
      <w:pPr>
        <w:keepNext w:val="0"/>
        <w:keepLines w:val="0"/>
        <w:pageBreakBefore w:val="0"/>
        <w:widowControl w:val="0"/>
        <w:kinsoku/>
        <w:wordWrap/>
        <w:overflowPunct/>
        <w:topLinePunct w:val="0"/>
        <w:autoSpaceDE/>
        <w:autoSpaceDN/>
        <w:bidi w:val="0"/>
        <w:adjustRightInd/>
        <w:snapToGrid/>
        <w:spacing w:line="360" w:lineRule="exact"/>
        <w:ind w:right="0" w:firstLine="422" w:firstLineChars="200"/>
        <w:jc w:val="both"/>
        <w:textAlignment w:val="auto"/>
        <w:outlineLvl w:val="1"/>
        <w:rPr>
          <w:rFonts w:hint="eastAsia" w:ascii="宋体" w:hAnsi="宋体" w:eastAsia="宋体" w:cs="Times New Roman"/>
          <w:b/>
          <w:bCs/>
          <w:kern w:val="0"/>
          <w:sz w:val="21"/>
          <w:szCs w:val="21"/>
          <w:highlight w:val="none"/>
          <w:lang w:val="en-US" w:eastAsia="zh-CN" w:bidi="ar-SA"/>
        </w:rPr>
      </w:pPr>
      <w:r>
        <w:rPr>
          <w:rFonts w:hint="eastAsia" w:ascii="宋体" w:hAnsi="宋体" w:cs="Times New Roman"/>
          <w:b/>
          <w:bCs/>
          <w:kern w:val="0"/>
          <w:sz w:val="21"/>
          <w:szCs w:val="21"/>
          <w:highlight w:val="none"/>
          <w:lang w:val="en-US" w:eastAsia="zh-CN" w:bidi="ar-SA"/>
        </w:rPr>
        <w:t>三</w:t>
      </w:r>
      <w:r>
        <w:rPr>
          <w:rFonts w:hint="eastAsia" w:ascii="宋体" w:hAnsi="宋体" w:eastAsia="宋体" w:cs="Times New Roman"/>
          <w:b/>
          <w:bCs/>
          <w:kern w:val="0"/>
          <w:sz w:val="21"/>
          <w:szCs w:val="21"/>
          <w:highlight w:val="none"/>
          <w:lang w:val="en-US" w:eastAsia="zh-CN" w:bidi="ar-SA"/>
        </w:rPr>
        <w:t>、项目管理要求</w:t>
      </w:r>
    </w:p>
    <w:p>
      <w:pPr>
        <w:keepNext w:val="0"/>
        <w:keepLines w:val="0"/>
        <w:pageBreakBefore w:val="0"/>
        <w:widowControl w:val="0"/>
        <w:kinsoku/>
        <w:wordWrap/>
        <w:overflowPunct/>
        <w:topLinePunct w:val="0"/>
        <w:autoSpaceDE/>
        <w:autoSpaceDN/>
        <w:bidi w:val="0"/>
        <w:adjustRightInd/>
        <w:snapToGrid/>
        <w:spacing w:line="360" w:lineRule="exact"/>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成交供应商</w:t>
      </w:r>
      <w:r>
        <w:rPr>
          <w:rFonts w:hint="eastAsia" w:ascii="宋体" w:hAnsi="宋体" w:eastAsia="宋体" w:cs="宋体"/>
          <w:color w:val="auto"/>
          <w:sz w:val="21"/>
          <w:szCs w:val="21"/>
          <w:highlight w:val="none"/>
          <w:lang w:val="en-US" w:eastAsia="zh-CN"/>
        </w:rPr>
        <w:t>应在</w:t>
      </w:r>
      <w:r>
        <w:rPr>
          <w:rFonts w:hint="eastAsia" w:ascii="宋体" w:hAnsi="宋体" w:cs="宋体"/>
          <w:color w:val="auto"/>
          <w:sz w:val="21"/>
          <w:szCs w:val="21"/>
          <w:highlight w:val="none"/>
          <w:lang w:val="en-US" w:eastAsia="zh-CN"/>
        </w:rPr>
        <w:t>成交公告</w:t>
      </w:r>
      <w:r>
        <w:rPr>
          <w:rFonts w:hint="eastAsia" w:ascii="宋体" w:hAnsi="宋体" w:eastAsia="宋体" w:cs="宋体"/>
          <w:color w:val="auto"/>
          <w:sz w:val="21"/>
          <w:szCs w:val="21"/>
          <w:highlight w:val="none"/>
          <w:lang w:val="en-US" w:eastAsia="zh-CN"/>
        </w:rPr>
        <w:t>发出之日起15个工作日内将项目部班子成员名单，人员岗位资格证书和职称证书等资料的复印件并加盖公章提交给</w:t>
      </w:r>
      <w:r>
        <w:rPr>
          <w:rFonts w:hint="eastAsia" w:ascii="宋体" w:hAnsi="宋体" w:cs="宋体"/>
          <w:color w:val="auto"/>
          <w:sz w:val="21"/>
          <w:szCs w:val="21"/>
          <w:highlight w:val="none"/>
          <w:lang w:val="en-US" w:eastAsia="zh-CN"/>
        </w:rPr>
        <w:t>采购人</w:t>
      </w:r>
      <w:r>
        <w:rPr>
          <w:rFonts w:hint="eastAsia" w:ascii="宋体" w:hAnsi="宋体" w:eastAsia="宋体" w:cs="宋体"/>
          <w:color w:val="auto"/>
          <w:sz w:val="21"/>
          <w:szCs w:val="21"/>
          <w:highlight w:val="none"/>
          <w:lang w:val="en-US" w:eastAsia="zh-CN"/>
        </w:rPr>
        <w:t>，原件备查。</w:t>
      </w:r>
    </w:p>
    <w:p>
      <w:pPr>
        <w:keepNext w:val="0"/>
        <w:keepLines w:val="0"/>
        <w:pageBreakBefore w:val="0"/>
        <w:widowControl w:val="0"/>
        <w:kinsoku/>
        <w:wordWrap/>
        <w:overflowPunct/>
        <w:topLinePunct w:val="0"/>
        <w:autoSpaceDE/>
        <w:autoSpaceDN/>
        <w:bidi w:val="0"/>
        <w:adjustRightInd/>
        <w:snapToGrid/>
        <w:spacing w:line="360" w:lineRule="exact"/>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r>
        <w:rPr>
          <w:rFonts w:hint="eastAsia" w:ascii="宋体" w:hAnsi="宋体" w:cs="宋体"/>
          <w:color w:val="auto"/>
          <w:sz w:val="21"/>
          <w:szCs w:val="21"/>
          <w:highlight w:val="none"/>
          <w:lang w:val="en-US" w:eastAsia="zh-CN"/>
        </w:rPr>
        <w:t>成交供应商</w:t>
      </w:r>
      <w:r>
        <w:rPr>
          <w:rFonts w:hint="eastAsia" w:ascii="宋体" w:hAnsi="宋体" w:eastAsia="宋体" w:cs="宋体"/>
          <w:color w:val="auto"/>
          <w:sz w:val="21"/>
          <w:szCs w:val="21"/>
          <w:highlight w:val="none"/>
          <w:lang w:val="en-US" w:eastAsia="zh-CN"/>
        </w:rPr>
        <w:t>进场之日开始启动全面的调研工作，具体要求如下：</w:t>
      </w:r>
    </w:p>
    <w:p>
      <w:pPr>
        <w:keepNext w:val="0"/>
        <w:keepLines w:val="0"/>
        <w:pageBreakBefore w:val="0"/>
        <w:widowControl w:val="0"/>
        <w:kinsoku/>
        <w:wordWrap/>
        <w:overflowPunct/>
        <w:topLinePunct w:val="0"/>
        <w:autoSpaceDE/>
        <w:autoSpaceDN/>
        <w:bidi w:val="0"/>
        <w:adjustRightInd/>
        <w:snapToGrid/>
        <w:spacing w:line="360" w:lineRule="exact"/>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通过调研，</w:t>
      </w:r>
      <w:r>
        <w:rPr>
          <w:rFonts w:hint="eastAsia" w:ascii="宋体" w:hAnsi="宋体" w:cs="宋体"/>
          <w:color w:val="auto"/>
          <w:sz w:val="21"/>
          <w:szCs w:val="21"/>
          <w:highlight w:val="none"/>
          <w:lang w:val="en-US" w:eastAsia="zh-CN"/>
        </w:rPr>
        <w:t>成交供应商</w:t>
      </w:r>
      <w:r>
        <w:rPr>
          <w:rFonts w:hint="eastAsia" w:ascii="宋体" w:hAnsi="宋体" w:eastAsia="宋体" w:cs="宋体"/>
          <w:color w:val="auto"/>
          <w:sz w:val="21"/>
          <w:szCs w:val="21"/>
          <w:highlight w:val="none"/>
          <w:lang w:val="en-US" w:eastAsia="zh-CN"/>
        </w:rPr>
        <w:t>应根据分项内容制定关于绿地管养、四害及红火蚁、白蚁防治、配套设施简易维护的项目要求，制定完整、可行、详细的组织实施方案，明确组织机构、人员配备、设备配置、作业方式、作业频次、作业程序、垃圾收集方式、质量标准、检查考核办法、安全措施、奖惩措施、应急预案、迎检预案、文化活动策划等提出实施方案并报</w:t>
      </w:r>
      <w:r>
        <w:rPr>
          <w:rFonts w:hint="eastAsia" w:ascii="宋体" w:hAnsi="宋体" w:cs="宋体"/>
          <w:color w:val="auto"/>
          <w:sz w:val="21"/>
          <w:szCs w:val="21"/>
          <w:highlight w:val="none"/>
          <w:lang w:val="en-US" w:eastAsia="zh-CN"/>
        </w:rPr>
        <w:t>采购人</w:t>
      </w:r>
      <w:r>
        <w:rPr>
          <w:rFonts w:hint="eastAsia" w:ascii="宋体" w:hAnsi="宋体" w:eastAsia="宋体" w:cs="宋体"/>
          <w:color w:val="auto"/>
          <w:sz w:val="21"/>
          <w:szCs w:val="21"/>
          <w:highlight w:val="none"/>
          <w:lang w:val="en-US" w:eastAsia="zh-CN"/>
        </w:rPr>
        <w:t>备案，实施方案要科学、详尽、合理、操作性强，满足项目需要。</w:t>
      </w:r>
    </w:p>
    <w:p>
      <w:pPr>
        <w:keepNext w:val="0"/>
        <w:keepLines w:val="0"/>
        <w:pageBreakBefore w:val="0"/>
        <w:widowControl w:val="0"/>
        <w:kinsoku/>
        <w:wordWrap/>
        <w:overflowPunct/>
        <w:topLinePunct w:val="0"/>
        <w:autoSpaceDE/>
        <w:autoSpaceDN/>
        <w:bidi w:val="0"/>
        <w:adjustRightInd/>
        <w:snapToGrid/>
        <w:spacing w:line="360" w:lineRule="exact"/>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3、园区服务时间：园区绿地管养和厕所保洁服务时间随季节变动而定，基本要求：</w:t>
      </w:r>
    </w:p>
    <w:tbl>
      <w:tblPr>
        <w:tblStyle w:val="7"/>
        <w:tblW w:w="71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4"/>
        <w:gridCol w:w="3265"/>
        <w:gridCol w:w="26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 w:hRule="atLeast"/>
          <w:jc w:val="center"/>
        </w:trPr>
        <w:tc>
          <w:tcPr>
            <w:tcW w:w="1244" w:type="dxa"/>
            <w:vAlign w:val="top"/>
          </w:tcPr>
          <w:p>
            <w:pPr>
              <w:keepNext w:val="0"/>
              <w:keepLines w:val="0"/>
              <w:pageBreakBefore w:val="0"/>
              <w:widowControl w:val="0"/>
              <w:kinsoku/>
              <w:wordWrap/>
              <w:overflowPunct/>
              <w:topLinePunct w:val="0"/>
              <w:bidi w:val="0"/>
              <w:spacing w:line="240" w:lineRule="auto"/>
              <w:ind w:left="0" w:right="0" w:firstLine="420" w:firstLineChars="200"/>
              <w:jc w:val="both"/>
              <w:textAlignment w:val="auto"/>
              <w:rPr>
                <w:rFonts w:hint="eastAsia" w:ascii="宋体" w:hAnsi="宋体" w:eastAsia="宋体" w:cs="宋体"/>
                <w:color w:val="auto"/>
                <w:sz w:val="21"/>
                <w:szCs w:val="21"/>
                <w:highlight w:val="none"/>
                <w:lang w:val="en-US" w:eastAsia="en-US"/>
              </w:rPr>
            </w:pPr>
            <w:r>
              <w:rPr>
                <w:rFonts w:hint="eastAsia" w:ascii="宋体" w:hAnsi="宋体" w:eastAsia="宋体" w:cs="宋体"/>
                <w:color w:val="auto"/>
                <w:sz w:val="21"/>
                <w:szCs w:val="21"/>
                <w:highlight w:val="none"/>
                <w:lang w:val="en-US" w:eastAsia="en-US"/>
              </w:rPr>
              <w:t>序号</w:t>
            </w:r>
          </w:p>
        </w:tc>
        <w:tc>
          <w:tcPr>
            <w:tcW w:w="3265" w:type="dxa"/>
            <w:vAlign w:val="top"/>
          </w:tcPr>
          <w:p>
            <w:pPr>
              <w:keepNext w:val="0"/>
              <w:keepLines w:val="0"/>
              <w:pageBreakBefore w:val="0"/>
              <w:widowControl w:val="0"/>
              <w:kinsoku/>
              <w:wordWrap/>
              <w:overflowPunct/>
              <w:topLinePunct w:val="0"/>
              <w:bidi w:val="0"/>
              <w:spacing w:line="240" w:lineRule="auto"/>
              <w:ind w:left="0" w:right="0" w:firstLine="420" w:firstLineChars="200"/>
              <w:jc w:val="both"/>
              <w:textAlignment w:val="auto"/>
              <w:rPr>
                <w:rFonts w:hint="eastAsia" w:ascii="宋体" w:hAnsi="宋体" w:eastAsia="宋体" w:cs="宋体"/>
                <w:color w:val="auto"/>
                <w:sz w:val="21"/>
                <w:szCs w:val="21"/>
                <w:highlight w:val="none"/>
                <w:lang w:val="en-US" w:eastAsia="en-US"/>
              </w:rPr>
            </w:pPr>
            <w:r>
              <w:rPr>
                <w:rFonts w:hint="eastAsia" w:ascii="宋体" w:hAnsi="宋体" w:eastAsia="宋体" w:cs="宋体"/>
                <w:color w:val="auto"/>
                <w:sz w:val="21"/>
                <w:szCs w:val="21"/>
                <w:highlight w:val="none"/>
                <w:lang w:val="en-US" w:eastAsia="en-US"/>
              </w:rPr>
              <w:t>服务项目</w:t>
            </w:r>
          </w:p>
        </w:tc>
        <w:tc>
          <w:tcPr>
            <w:tcW w:w="2649" w:type="dxa"/>
            <w:vAlign w:val="top"/>
          </w:tcPr>
          <w:p>
            <w:pPr>
              <w:keepNext w:val="0"/>
              <w:keepLines w:val="0"/>
              <w:pageBreakBefore w:val="0"/>
              <w:widowControl w:val="0"/>
              <w:kinsoku/>
              <w:wordWrap/>
              <w:overflowPunct/>
              <w:topLinePunct w:val="0"/>
              <w:bidi w:val="0"/>
              <w:spacing w:line="240" w:lineRule="auto"/>
              <w:ind w:left="0" w:right="0" w:firstLine="420" w:firstLineChars="200"/>
              <w:jc w:val="both"/>
              <w:textAlignment w:val="auto"/>
              <w:rPr>
                <w:rFonts w:hint="eastAsia" w:ascii="宋体" w:hAnsi="宋体" w:eastAsia="宋体" w:cs="宋体"/>
                <w:color w:val="auto"/>
                <w:sz w:val="21"/>
                <w:szCs w:val="21"/>
                <w:highlight w:val="none"/>
                <w:lang w:val="en-US" w:eastAsia="en-US"/>
              </w:rPr>
            </w:pPr>
            <w:r>
              <w:rPr>
                <w:rFonts w:hint="eastAsia" w:ascii="宋体" w:hAnsi="宋体" w:eastAsia="宋体" w:cs="宋体"/>
                <w:color w:val="auto"/>
                <w:sz w:val="21"/>
                <w:szCs w:val="21"/>
                <w:highlight w:val="none"/>
                <w:lang w:val="en-US" w:eastAsia="en-US"/>
              </w:rPr>
              <w:t>服务时间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244" w:type="dxa"/>
            <w:vAlign w:val="top"/>
          </w:tcPr>
          <w:p>
            <w:pPr>
              <w:keepNext w:val="0"/>
              <w:keepLines w:val="0"/>
              <w:pageBreakBefore w:val="0"/>
              <w:widowControl w:val="0"/>
              <w:kinsoku/>
              <w:wordWrap/>
              <w:overflowPunct/>
              <w:topLinePunct w:val="0"/>
              <w:bidi w:val="0"/>
              <w:spacing w:line="240" w:lineRule="auto"/>
              <w:ind w:left="0" w:right="0" w:firstLine="420" w:firstLineChars="200"/>
              <w:jc w:val="both"/>
              <w:textAlignment w:val="auto"/>
              <w:rPr>
                <w:rFonts w:hint="eastAsia" w:ascii="宋体" w:hAnsi="宋体" w:eastAsia="宋体" w:cs="宋体"/>
                <w:color w:val="auto"/>
                <w:sz w:val="21"/>
                <w:szCs w:val="21"/>
                <w:highlight w:val="none"/>
                <w:lang w:val="en-US" w:eastAsia="en-US"/>
              </w:rPr>
            </w:pPr>
            <w:r>
              <w:rPr>
                <w:rFonts w:hint="eastAsia" w:ascii="宋体" w:hAnsi="宋体" w:eastAsia="宋体" w:cs="宋体"/>
                <w:color w:val="auto"/>
                <w:sz w:val="21"/>
                <w:szCs w:val="21"/>
                <w:highlight w:val="none"/>
                <w:lang w:val="en-US" w:eastAsia="en-US"/>
              </w:rPr>
              <w:t>1</w:t>
            </w:r>
          </w:p>
        </w:tc>
        <w:tc>
          <w:tcPr>
            <w:tcW w:w="3265" w:type="dxa"/>
            <w:vAlign w:val="top"/>
          </w:tcPr>
          <w:p>
            <w:pPr>
              <w:keepNext w:val="0"/>
              <w:keepLines w:val="0"/>
              <w:pageBreakBefore w:val="0"/>
              <w:widowControl w:val="0"/>
              <w:kinsoku/>
              <w:wordWrap/>
              <w:overflowPunct/>
              <w:topLinePunct w:val="0"/>
              <w:bidi w:val="0"/>
              <w:spacing w:line="240" w:lineRule="auto"/>
              <w:ind w:left="0" w:right="0" w:firstLine="420" w:firstLineChars="200"/>
              <w:jc w:val="both"/>
              <w:textAlignment w:val="auto"/>
              <w:rPr>
                <w:rFonts w:hint="eastAsia" w:ascii="宋体" w:hAnsi="宋体" w:eastAsia="宋体" w:cs="宋体"/>
                <w:color w:val="auto"/>
                <w:sz w:val="21"/>
                <w:szCs w:val="21"/>
                <w:highlight w:val="none"/>
                <w:lang w:val="en-US" w:eastAsia="en-US"/>
              </w:rPr>
            </w:pPr>
            <w:r>
              <w:rPr>
                <w:rFonts w:hint="eastAsia" w:ascii="宋体" w:hAnsi="宋体" w:eastAsia="宋体" w:cs="宋体"/>
                <w:color w:val="auto"/>
                <w:sz w:val="21"/>
                <w:szCs w:val="21"/>
                <w:highlight w:val="none"/>
                <w:lang w:val="en-US" w:eastAsia="en-US"/>
              </w:rPr>
              <w:t>绿地养护</w:t>
            </w:r>
          </w:p>
        </w:tc>
        <w:tc>
          <w:tcPr>
            <w:tcW w:w="2649" w:type="dxa"/>
            <w:vAlign w:val="top"/>
          </w:tcPr>
          <w:p>
            <w:pPr>
              <w:keepNext w:val="0"/>
              <w:keepLines w:val="0"/>
              <w:pageBreakBefore w:val="0"/>
              <w:widowControl w:val="0"/>
              <w:kinsoku/>
              <w:wordWrap/>
              <w:overflowPunct/>
              <w:topLinePunct w:val="0"/>
              <w:bidi w:val="0"/>
              <w:spacing w:line="240" w:lineRule="auto"/>
              <w:ind w:left="0" w:right="0" w:firstLine="420" w:firstLineChars="200"/>
              <w:jc w:val="both"/>
              <w:textAlignment w:val="auto"/>
              <w:rPr>
                <w:rFonts w:hint="eastAsia" w:ascii="宋体" w:hAnsi="宋体" w:eastAsia="宋体" w:cs="宋体"/>
                <w:color w:val="auto"/>
                <w:sz w:val="21"/>
                <w:szCs w:val="21"/>
                <w:highlight w:val="none"/>
                <w:lang w:val="en-US" w:eastAsia="en-US"/>
              </w:rPr>
            </w:pPr>
            <w:r>
              <w:rPr>
                <w:rFonts w:hint="eastAsia" w:ascii="宋体" w:hAnsi="宋体" w:eastAsia="宋体" w:cs="宋体"/>
                <w:color w:val="auto"/>
                <w:sz w:val="21"/>
                <w:szCs w:val="21"/>
                <w:highlight w:val="none"/>
                <w:lang w:val="en-US" w:eastAsia="en-US"/>
              </w:rPr>
              <w:t>07:00-18:00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244" w:type="dxa"/>
            <w:vAlign w:val="top"/>
          </w:tcPr>
          <w:p>
            <w:pPr>
              <w:keepNext w:val="0"/>
              <w:keepLines w:val="0"/>
              <w:pageBreakBefore w:val="0"/>
              <w:widowControl w:val="0"/>
              <w:kinsoku/>
              <w:wordWrap/>
              <w:overflowPunct/>
              <w:topLinePunct w:val="0"/>
              <w:bidi w:val="0"/>
              <w:spacing w:line="240" w:lineRule="auto"/>
              <w:ind w:left="0" w:right="0" w:firstLine="420" w:firstLineChars="200"/>
              <w:jc w:val="both"/>
              <w:textAlignment w:val="auto"/>
              <w:rPr>
                <w:rFonts w:hint="eastAsia" w:ascii="宋体" w:hAnsi="宋体" w:eastAsia="宋体" w:cs="宋体"/>
                <w:color w:val="auto"/>
                <w:sz w:val="21"/>
                <w:szCs w:val="21"/>
                <w:highlight w:val="none"/>
                <w:lang w:val="en-US" w:eastAsia="en-US"/>
              </w:rPr>
            </w:pPr>
            <w:r>
              <w:rPr>
                <w:rFonts w:hint="eastAsia" w:ascii="宋体" w:hAnsi="宋体" w:eastAsia="宋体" w:cs="宋体"/>
                <w:color w:val="auto"/>
                <w:sz w:val="21"/>
                <w:szCs w:val="21"/>
                <w:highlight w:val="none"/>
                <w:lang w:val="en-US" w:eastAsia="en-US"/>
              </w:rPr>
              <w:t>2</w:t>
            </w:r>
          </w:p>
        </w:tc>
        <w:tc>
          <w:tcPr>
            <w:tcW w:w="3265" w:type="dxa"/>
            <w:vAlign w:val="top"/>
          </w:tcPr>
          <w:p>
            <w:pPr>
              <w:keepNext w:val="0"/>
              <w:keepLines w:val="0"/>
              <w:pageBreakBefore w:val="0"/>
              <w:widowControl w:val="0"/>
              <w:kinsoku/>
              <w:wordWrap/>
              <w:overflowPunct/>
              <w:topLinePunct w:val="0"/>
              <w:bidi w:val="0"/>
              <w:spacing w:line="240" w:lineRule="auto"/>
              <w:ind w:left="0" w:right="0" w:firstLine="420" w:firstLineChars="200"/>
              <w:jc w:val="both"/>
              <w:textAlignment w:val="auto"/>
              <w:rPr>
                <w:rFonts w:hint="eastAsia" w:ascii="宋体" w:hAnsi="宋体" w:eastAsia="宋体" w:cs="宋体"/>
                <w:color w:val="auto"/>
                <w:sz w:val="21"/>
                <w:szCs w:val="21"/>
                <w:highlight w:val="none"/>
                <w:lang w:val="en-US" w:eastAsia="en-US"/>
              </w:rPr>
            </w:pPr>
            <w:r>
              <w:rPr>
                <w:rFonts w:hint="eastAsia" w:ascii="宋体" w:hAnsi="宋体" w:eastAsia="宋体" w:cs="宋体"/>
                <w:color w:val="auto"/>
                <w:sz w:val="21"/>
                <w:szCs w:val="21"/>
                <w:highlight w:val="none"/>
                <w:lang w:val="en-US" w:eastAsia="en-US"/>
              </w:rPr>
              <w:t>厕所保洁</w:t>
            </w:r>
          </w:p>
        </w:tc>
        <w:tc>
          <w:tcPr>
            <w:tcW w:w="2649" w:type="dxa"/>
            <w:vAlign w:val="top"/>
          </w:tcPr>
          <w:p>
            <w:pPr>
              <w:keepNext w:val="0"/>
              <w:keepLines w:val="0"/>
              <w:pageBreakBefore w:val="0"/>
              <w:widowControl w:val="0"/>
              <w:kinsoku/>
              <w:wordWrap/>
              <w:overflowPunct/>
              <w:topLinePunct w:val="0"/>
              <w:bidi w:val="0"/>
              <w:spacing w:line="240" w:lineRule="auto"/>
              <w:ind w:left="0" w:right="0" w:firstLine="420" w:firstLineChars="200"/>
              <w:jc w:val="both"/>
              <w:textAlignment w:val="auto"/>
              <w:rPr>
                <w:rFonts w:hint="eastAsia" w:ascii="宋体" w:hAnsi="宋体" w:eastAsia="宋体" w:cs="宋体"/>
                <w:color w:val="auto"/>
                <w:sz w:val="21"/>
                <w:szCs w:val="21"/>
                <w:highlight w:val="none"/>
                <w:lang w:val="en-US" w:eastAsia="en-US"/>
              </w:rPr>
            </w:pPr>
            <w:r>
              <w:rPr>
                <w:rFonts w:hint="eastAsia" w:ascii="宋体" w:hAnsi="宋体" w:eastAsia="宋体" w:cs="宋体"/>
                <w:color w:val="auto"/>
                <w:sz w:val="21"/>
                <w:szCs w:val="21"/>
                <w:highlight w:val="none"/>
                <w:lang w:val="en-US" w:eastAsia="en-US"/>
              </w:rPr>
              <w:t>07:00-</w:t>
            </w:r>
            <w:r>
              <w:rPr>
                <w:rFonts w:hint="eastAsia" w:ascii="宋体" w:hAnsi="宋体" w:eastAsia="宋体" w:cs="宋体"/>
                <w:color w:val="auto"/>
                <w:sz w:val="21"/>
                <w:szCs w:val="21"/>
                <w:highlight w:val="none"/>
                <w:lang w:val="en-US" w:eastAsia="zh-CN"/>
              </w:rPr>
              <w:t>22</w:t>
            </w:r>
            <w:r>
              <w:rPr>
                <w:rFonts w:hint="eastAsia" w:ascii="宋体" w:hAnsi="宋体" w:eastAsia="宋体" w:cs="宋体"/>
                <w:color w:val="auto"/>
                <w:sz w:val="21"/>
                <w:szCs w:val="21"/>
                <w:highlight w:val="none"/>
                <w:lang w:val="en-US" w:eastAsia="en-US"/>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244" w:type="dxa"/>
            <w:vAlign w:val="top"/>
          </w:tcPr>
          <w:p>
            <w:pPr>
              <w:keepNext w:val="0"/>
              <w:keepLines w:val="0"/>
              <w:pageBreakBefore w:val="0"/>
              <w:widowControl w:val="0"/>
              <w:kinsoku/>
              <w:wordWrap/>
              <w:overflowPunct/>
              <w:topLinePunct w:val="0"/>
              <w:bidi w:val="0"/>
              <w:spacing w:line="240" w:lineRule="auto"/>
              <w:ind w:left="0" w:right="0" w:firstLine="420" w:firstLineChars="200"/>
              <w:jc w:val="both"/>
              <w:textAlignment w:val="auto"/>
              <w:rPr>
                <w:rFonts w:hint="eastAsia" w:ascii="宋体" w:hAnsi="宋体" w:eastAsia="宋体" w:cs="宋体"/>
                <w:color w:val="auto"/>
                <w:sz w:val="21"/>
                <w:szCs w:val="21"/>
                <w:highlight w:val="none"/>
                <w:lang w:val="en-US" w:eastAsia="en-US"/>
              </w:rPr>
            </w:pPr>
            <w:r>
              <w:rPr>
                <w:rFonts w:hint="eastAsia" w:ascii="宋体" w:hAnsi="宋体" w:eastAsia="宋体" w:cs="宋体"/>
                <w:color w:val="auto"/>
                <w:sz w:val="21"/>
                <w:szCs w:val="21"/>
                <w:highlight w:val="none"/>
                <w:lang w:val="en-US" w:eastAsia="en-US"/>
              </w:rPr>
              <w:t>3</w:t>
            </w:r>
          </w:p>
        </w:tc>
        <w:tc>
          <w:tcPr>
            <w:tcW w:w="3265" w:type="dxa"/>
            <w:vAlign w:val="top"/>
          </w:tcPr>
          <w:p>
            <w:pPr>
              <w:keepNext w:val="0"/>
              <w:keepLines w:val="0"/>
              <w:pageBreakBefore w:val="0"/>
              <w:widowControl w:val="0"/>
              <w:kinsoku/>
              <w:wordWrap/>
              <w:overflowPunct/>
              <w:topLinePunct w:val="0"/>
              <w:bidi w:val="0"/>
              <w:spacing w:line="240" w:lineRule="auto"/>
              <w:ind w:left="0" w:leftChars="0" w:right="0" w:rightChars="0" w:firstLine="420" w:firstLineChars="200"/>
              <w:jc w:val="both"/>
              <w:textAlignment w:val="auto"/>
              <w:rPr>
                <w:rFonts w:hint="eastAsia" w:ascii="宋体" w:hAnsi="宋体" w:eastAsia="宋体" w:cs="宋体"/>
                <w:color w:val="auto"/>
                <w:kern w:val="2"/>
                <w:sz w:val="21"/>
                <w:szCs w:val="21"/>
                <w:highlight w:val="none"/>
                <w:lang w:val="en-US" w:eastAsia="en-US" w:bidi="ar-SA"/>
              </w:rPr>
            </w:pPr>
            <w:r>
              <w:rPr>
                <w:rFonts w:hint="eastAsia" w:ascii="宋体" w:hAnsi="宋体" w:eastAsia="宋体" w:cs="宋体"/>
                <w:color w:val="auto"/>
                <w:sz w:val="21"/>
                <w:szCs w:val="21"/>
                <w:highlight w:val="none"/>
                <w:lang w:val="en-US" w:eastAsia="en-US"/>
              </w:rPr>
              <w:t>设施修复</w:t>
            </w:r>
          </w:p>
        </w:tc>
        <w:tc>
          <w:tcPr>
            <w:tcW w:w="2649" w:type="dxa"/>
            <w:vAlign w:val="top"/>
          </w:tcPr>
          <w:p>
            <w:pPr>
              <w:keepNext w:val="0"/>
              <w:keepLines w:val="0"/>
              <w:pageBreakBefore w:val="0"/>
              <w:widowControl w:val="0"/>
              <w:kinsoku/>
              <w:wordWrap/>
              <w:overflowPunct/>
              <w:topLinePunct w:val="0"/>
              <w:bidi w:val="0"/>
              <w:spacing w:line="240" w:lineRule="auto"/>
              <w:ind w:left="0" w:leftChars="0" w:right="0" w:rightChars="0" w:firstLine="420" w:firstLineChars="200"/>
              <w:jc w:val="both"/>
              <w:textAlignment w:val="auto"/>
              <w:rPr>
                <w:rFonts w:hint="eastAsia" w:ascii="宋体" w:hAnsi="宋体" w:eastAsia="宋体" w:cs="宋体"/>
                <w:color w:val="auto"/>
                <w:kern w:val="2"/>
                <w:sz w:val="21"/>
                <w:szCs w:val="21"/>
                <w:highlight w:val="none"/>
                <w:lang w:val="en-US" w:eastAsia="en-US" w:bidi="ar-SA"/>
              </w:rPr>
            </w:pPr>
            <w:r>
              <w:rPr>
                <w:rFonts w:hint="eastAsia" w:ascii="宋体" w:hAnsi="宋体" w:eastAsia="宋体" w:cs="宋体"/>
                <w:color w:val="auto"/>
                <w:sz w:val="21"/>
                <w:szCs w:val="21"/>
                <w:highlight w:val="none"/>
                <w:lang w:val="en-US" w:eastAsia="en-US"/>
              </w:rPr>
              <w:t>24小时响应</w:t>
            </w:r>
          </w:p>
        </w:tc>
      </w:tr>
    </w:tbl>
    <w:p>
      <w:pPr>
        <w:keepNext w:val="0"/>
        <w:keepLines w:val="0"/>
        <w:pageBreakBefore w:val="0"/>
        <w:widowControl w:val="0"/>
        <w:kinsoku/>
        <w:wordWrap/>
        <w:overflowPunct/>
        <w:topLinePunct w:val="0"/>
        <w:autoSpaceDE/>
        <w:autoSpaceDN/>
        <w:bidi w:val="0"/>
        <w:adjustRightInd/>
        <w:snapToGrid/>
        <w:spacing w:line="360" w:lineRule="exact"/>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r>
        <w:rPr>
          <w:rFonts w:hint="eastAsia" w:ascii="宋体" w:hAnsi="宋体" w:cs="宋体"/>
          <w:color w:val="auto"/>
          <w:sz w:val="21"/>
          <w:szCs w:val="21"/>
          <w:highlight w:val="none"/>
          <w:lang w:val="en-US" w:eastAsia="zh-CN"/>
        </w:rPr>
        <w:t>成交供应商</w:t>
      </w:r>
      <w:r>
        <w:rPr>
          <w:rFonts w:hint="eastAsia" w:ascii="宋体" w:hAnsi="宋体" w:eastAsia="宋体" w:cs="宋体"/>
          <w:color w:val="auto"/>
          <w:sz w:val="21"/>
          <w:szCs w:val="21"/>
          <w:highlight w:val="none"/>
          <w:lang w:val="en-US" w:eastAsia="zh-CN"/>
        </w:rPr>
        <w:t>须在</w:t>
      </w:r>
      <w:r>
        <w:rPr>
          <w:rFonts w:hint="eastAsia" w:ascii="宋体" w:hAnsi="宋体" w:cs="宋体"/>
          <w:color w:val="auto"/>
          <w:sz w:val="21"/>
          <w:szCs w:val="21"/>
          <w:highlight w:val="none"/>
          <w:lang w:val="en-US" w:eastAsia="zh-CN"/>
        </w:rPr>
        <w:t>成交公告</w:t>
      </w:r>
      <w:r>
        <w:rPr>
          <w:rFonts w:hint="eastAsia" w:ascii="宋体" w:hAnsi="宋体" w:eastAsia="宋体" w:cs="宋体"/>
          <w:color w:val="auto"/>
          <w:sz w:val="21"/>
          <w:szCs w:val="21"/>
          <w:highlight w:val="none"/>
          <w:lang w:val="en-US" w:eastAsia="zh-CN"/>
        </w:rPr>
        <w:t>发出之日起10个工作日内在坪山地区设置完善的售后服务机构。</w:t>
      </w:r>
    </w:p>
    <w:p>
      <w:pPr>
        <w:keepNext w:val="0"/>
        <w:keepLines w:val="0"/>
        <w:pageBreakBefore w:val="0"/>
        <w:widowControl w:val="0"/>
        <w:kinsoku/>
        <w:wordWrap/>
        <w:overflowPunct/>
        <w:topLinePunct w:val="0"/>
        <w:autoSpaceDE/>
        <w:autoSpaceDN/>
        <w:bidi w:val="0"/>
        <w:adjustRightInd/>
        <w:snapToGrid/>
        <w:spacing w:line="360" w:lineRule="exact"/>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r>
        <w:rPr>
          <w:rFonts w:hint="eastAsia" w:ascii="宋体" w:hAnsi="宋体" w:cs="宋体"/>
          <w:color w:val="auto"/>
          <w:sz w:val="21"/>
          <w:szCs w:val="21"/>
          <w:highlight w:val="none"/>
          <w:lang w:val="en-US" w:eastAsia="zh-CN"/>
        </w:rPr>
        <w:t>成交供应商</w:t>
      </w:r>
      <w:r>
        <w:rPr>
          <w:rFonts w:hint="eastAsia" w:ascii="宋体" w:hAnsi="宋体" w:eastAsia="宋体" w:cs="宋体"/>
          <w:color w:val="auto"/>
          <w:sz w:val="21"/>
          <w:szCs w:val="21"/>
          <w:highlight w:val="none"/>
          <w:lang w:val="en-US" w:eastAsia="zh-CN"/>
        </w:rPr>
        <w:t>需根据实际需要自行购置确保项目正常运行的办公、管理、维修、养护所需工具、设备、车辆等资产，并承担所需办公、管理、维修、养护的日常费用、人员工资及法定税费等。</w:t>
      </w:r>
    </w:p>
    <w:p>
      <w:pPr>
        <w:keepNext w:val="0"/>
        <w:keepLines w:val="0"/>
        <w:pageBreakBefore w:val="0"/>
        <w:widowControl w:val="0"/>
        <w:kinsoku/>
        <w:wordWrap/>
        <w:overflowPunct/>
        <w:topLinePunct w:val="0"/>
        <w:autoSpaceDE/>
        <w:autoSpaceDN/>
        <w:bidi w:val="0"/>
        <w:adjustRightInd/>
        <w:snapToGrid/>
        <w:spacing w:line="360" w:lineRule="exact"/>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6、保险要求方面：成交供应商必须遵守《</w:t>
      </w:r>
      <w:r>
        <w:rPr>
          <w:rFonts w:hint="eastAsia" w:ascii="宋体" w:hAnsi="宋体" w:cs="宋体"/>
          <w:color w:val="auto"/>
          <w:sz w:val="21"/>
          <w:szCs w:val="21"/>
          <w:highlight w:val="none"/>
          <w:lang w:val="en-US" w:eastAsia="zh-CN"/>
        </w:rPr>
        <w:t>中华人民共和国劳动法</w:t>
      </w:r>
      <w:r>
        <w:rPr>
          <w:rFonts w:hint="eastAsia" w:ascii="宋体" w:hAnsi="宋体" w:eastAsia="宋体" w:cs="宋体"/>
          <w:color w:val="auto"/>
          <w:sz w:val="21"/>
          <w:szCs w:val="21"/>
          <w:highlight w:val="none"/>
          <w:lang w:val="en-US" w:eastAsia="zh-CN"/>
        </w:rPr>
        <w:t>》相关规定为员工购买意外保险，购买园区相关公共责任险。必须在合同签订后一个月内将购买的保险单副本送公园管理中心备案。</w:t>
      </w:r>
    </w:p>
    <w:p>
      <w:pPr>
        <w:keepNext w:val="0"/>
        <w:keepLines w:val="0"/>
        <w:pageBreakBefore w:val="0"/>
        <w:widowControl w:val="0"/>
        <w:kinsoku/>
        <w:wordWrap/>
        <w:overflowPunct/>
        <w:topLinePunct w:val="0"/>
        <w:autoSpaceDE/>
        <w:autoSpaceDN/>
        <w:bidi w:val="0"/>
        <w:adjustRightInd/>
        <w:snapToGrid/>
        <w:spacing w:line="360" w:lineRule="exact"/>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7、应急要求：</w:t>
      </w:r>
      <w:r>
        <w:rPr>
          <w:rFonts w:hint="eastAsia" w:ascii="宋体" w:hAnsi="宋体" w:cs="宋体"/>
          <w:color w:val="auto"/>
          <w:sz w:val="21"/>
          <w:szCs w:val="21"/>
          <w:highlight w:val="none"/>
          <w:lang w:val="en-US" w:eastAsia="zh-CN"/>
        </w:rPr>
        <w:t>成交供应商</w:t>
      </w:r>
      <w:r>
        <w:rPr>
          <w:rFonts w:hint="eastAsia" w:ascii="宋体" w:hAnsi="宋体" w:eastAsia="宋体" w:cs="宋体"/>
          <w:color w:val="auto"/>
          <w:sz w:val="21"/>
          <w:szCs w:val="21"/>
          <w:highlight w:val="none"/>
          <w:lang w:val="en-US" w:eastAsia="zh-CN"/>
        </w:rPr>
        <w:t>应当按法律、法规、规章和其他规范性文件的规定开展各项工作。因重大活动、应急事件、突发事件、自然灾害抢险等需要，</w:t>
      </w:r>
      <w:r>
        <w:rPr>
          <w:rFonts w:hint="eastAsia" w:ascii="宋体" w:hAnsi="宋体" w:cs="宋体"/>
          <w:color w:val="auto"/>
          <w:sz w:val="21"/>
          <w:szCs w:val="21"/>
          <w:highlight w:val="none"/>
          <w:lang w:val="en-US" w:eastAsia="zh-CN"/>
        </w:rPr>
        <w:t>成交供应商</w:t>
      </w:r>
      <w:r>
        <w:rPr>
          <w:rFonts w:hint="eastAsia" w:ascii="宋体" w:hAnsi="宋体" w:eastAsia="宋体" w:cs="宋体"/>
          <w:color w:val="auto"/>
          <w:sz w:val="21"/>
          <w:szCs w:val="21"/>
          <w:highlight w:val="none"/>
          <w:lang w:val="en-US" w:eastAsia="zh-CN"/>
        </w:rPr>
        <w:t>必须无条件地完成</w:t>
      </w:r>
      <w:r>
        <w:rPr>
          <w:rFonts w:hint="eastAsia" w:ascii="宋体" w:hAnsi="宋体" w:cs="宋体"/>
          <w:color w:val="auto"/>
          <w:sz w:val="21"/>
          <w:szCs w:val="21"/>
          <w:highlight w:val="none"/>
          <w:lang w:val="en-US" w:eastAsia="zh-CN"/>
        </w:rPr>
        <w:t>采购人</w:t>
      </w:r>
      <w:r>
        <w:rPr>
          <w:rFonts w:hint="eastAsia" w:ascii="宋体" w:hAnsi="宋体" w:eastAsia="宋体" w:cs="宋体"/>
          <w:color w:val="auto"/>
          <w:sz w:val="21"/>
          <w:szCs w:val="21"/>
          <w:highlight w:val="none"/>
          <w:lang w:val="en-US" w:eastAsia="zh-CN"/>
        </w:rPr>
        <w:t>交办的突击工作。</w:t>
      </w:r>
    </w:p>
    <w:p>
      <w:pPr>
        <w:keepNext w:val="0"/>
        <w:keepLines w:val="0"/>
        <w:pageBreakBefore w:val="0"/>
        <w:widowControl w:val="0"/>
        <w:kinsoku/>
        <w:wordWrap/>
        <w:overflowPunct/>
        <w:topLinePunct w:val="0"/>
        <w:autoSpaceDE/>
        <w:autoSpaceDN/>
        <w:bidi w:val="0"/>
        <w:adjustRightInd/>
        <w:snapToGrid/>
        <w:spacing w:line="360" w:lineRule="exact"/>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8、安全保障措施</w:t>
      </w:r>
    </w:p>
    <w:p>
      <w:pPr>
        <w:keepNext w:val="0"/>
        <w:keepLines w:val="0"/>
        <w:pageBreakBefore w:val="0"/>
        <w:widowControl w:val="0"/>
        <w:kinsoku/>
        <w:wordWrap/>
        <w:overflowPunct/>
        <w:topLinePunct w:val="0"/>
        <w:autoSpaceDE/>
        <w:autoSpaceDN/>
        <w:bidi w:val="0"/>
        <w:adjustRightInd/>
        <w:snapToGrid/>
        <w:spacing w:line="360" w:lineRule="exact"/>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成交供应商</w:t>
      </w:r>
      <w:r>
        <w:rPr>
          <w:rFonts w:hint="eastAsia" w:ascii="宋体" w:hAnsi="宋体" w:eastAsia="宋体" w:cs="宋体"/>
          <w:color w:val="auto"/>
          <w:sz w:val="21"/>
          <w:szCs w:val="21"/>
          <w:highlight w:val="none"/>
          <w:lang w:val="en-US" w:eastAsia="zh-CN"/>
        </w:rPr>
        <w:t>应安排骨干参加业务技术培训学习，负责落实安全防火、防风、防灾和游客落水救援等其他安全生产措施，如发生安全事故,</w:t>
      </w:r>
      <w:r>
        <w:rPr>
          <w:rFonts w:hint="eastAsia" w:ascii="宋体" w:hAnsi="宋体" w:cs="宋体"/>
          <w:color w:val="auto"/>
          <w:sz w:val="21"/>
          <w:szCs w:val="21"/>
          <w:highlight w:val="none"/>
          <w:lang w:val="en-US" w:eastAsia="zh-CN"/>
        </w:rPr>
        <w:t>成交供应商</w:t>
      </w:r>
      <w:r>
        <w:rPr>
          <w:rFonts w:hint="eastAsia" w:ascii="宋体" w:hAnsi="宋体" w:eastAsia="宋体" w:cs="宋体"/>
          <w:color w:val="auto"/>
          <w:sz w:val="21"/>
          <w:szCs w:val="21"/>
          <w:highlight w:val="none"/>
          <w:lang w:val="en-US" w:eastAsia="zh-CN"/>
        </w:rPr>
        <w:t>负责事故处理的一切费用。</w:t>
      </w:r>
    </w:p>
    <w:p>
      <w:pPr>
        <w:keepNext w:val="0"/>
        <w:keepLines w:val="0"/>
        <w:pageBreakBefore w:val="0"/>
        <w:widowControl w:val="0"/>
        <w:kinsoku/>
        <w:wordWrap/>
        <w:overflowPunct/>
        <w:topLinePunct w:val="0"/>
        <w:autoSpaceDE/>
        <w:autoSpaceDN/>
        <w:bidi w:val="0"/>
        <w:adjustRightInd/>
        <w:snapToGrid/>
        <w:spacing w:line="360" w:lineRule="exact"/>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注：</w:t>
      </w:r>
      <w:r>
        <w:rPr>
          <w:rFonts w:hint="eastAsia" w:ascii="宋体" w:hAnsi="宋体" w:cs="宋体"/>
          <w:color w:val="auto"/>
          <w:sz w:val="21"/>
          <w:szCs w:val="21"/>
          <w:highlight w:val="none"/>
          <w:lang w:val="en-US" w:eastAsia="zh-CN"/>
        </w:rPr>
        <w:t>成交供应商</w:t>
      </w:r>
      <w:r>
        <w:rPr>
          <w:rFonts w:hint="eastAsia" w:ascii="宋体" w:hAnsi="宋体" w:eastAsia="宋体" w:cs="宋体"/>
          <w:color w:val="auto"/>
          <w:sz w:val="21"/>
          <w:szCs w:val="21"/>
          <w:highlight w:val="none"/>
          <w:lang w:val="en-US" w:eastAsia="zh-CN"/>
        </w:rPr>
        <w:t>进场前，应组织相关管理人员以及新进人员学习本项目</w:t>
      </w:r>
      <w:r>
        <w:rPr>
          <w:rFonts w:hint="eastAsia" w:ascii="宋体" w:hAnsi="宋体" w:cs="宋体"/>
          <w:color w:val="auto"/>
          <w:sz w:val="21"/>
          <w:szCs w:val="21"/>
          <w:highlight w:val="none"/>
          <w:lang w:val="en-US" w:eastAsia="zh-CN"/>
        </w:rPr>
        <w:t>采购</w:t>
      </w:r>
      <w:r>
        <w:rPr>
          <w:rFonts w:hint="eastAsia" w:ascii="宋体" w:hAnsi="宋体" w:eastAsia="宋体" w:cs="宋体"/>
          <w:color w:val="auto"/>
          <w:sz w:val="21"/>
          <w:szCs w:val="21"/>
          <w:highlight w:val="none"/>
          <w:lang w:val="en-US" w:eastAsia="zh-CN"/>
        </w:rPr>
        <w:t>文件及其附件、投标文件等其他管理需求应注意的相关内容。</w:t>
      </w:r>
    </w:p>
    <w:p>
      <w:pPr>
        <w:keepNext w:val="0"/>
        <w:keepLines w:val="0"/>
        <w:pageBreakBefore w:val="0"/>
        <w:widowControl/>
        <w:suppressLineNumbers w:val="0"/>
        <w:kinsoku/>
        <w:wordWrap/>
        <w:overflowPunct/>
        <w:topLinePunct w:val="0"/>
        <w:autoSpaceDE/>
        <w:autoSpaceDN/>
        <w:bidi w:val="0"/>
        <w:adjustRightInd/>
        <w:snapToGrid/>
        <w:spacing w:before="40" w:beforeAutospacing="0" w:after="0" w:afterAutospacing="0" w:line="360" w:lineRule="exact"/>
        <w:ind w:right="0" w:firstLine="420" w:firstLineChars="200"/>
        <w:jc w:val="left"/>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en-US" w:eastAsia="zh-CN"/>
        </w:rPr>
        <w:t>9、</w:t>
      </w:r>
      <w:r>
        <w:rPr>
          <w:rFonts w:hint="eastAsia" w:ascii="宋体" w:hAnsi="宋体" w:cs="宋体"/>
          <w:color w:val="auto"/>
          <w:sz w:val="21"/>
          <w:szCs w:val="21"/>
          <w:highlight w:val="none"/>
          <w:lang w:val="en-US" w:eastAsia="zh-CN"/>
        </w:rPr>
        <w:t>成交供应商</w:t>
      </w:r>
      <w:r>
        <w:rPr>
          <w:rFonts w:hint="eastAsia" w:ascii="宋体" w:hAnsi="宋体" w:eastAsia="宋体" w:cs="宋体"/>
          <w:color w:val="auto"/>
          <w:sz w:val="21"/>
          <w:szCs w:val="21"/>
          <w:highlight w:val="none"/>
          <w:lang w:val="en-US" w:eastAsia="zh-CN"/>
        </w:rPr>
        <w:t>应根据公园管理水平和科技不断发展的情况，自行引进先进的、有效的管理理念和采用更先进、更有效管理方式和设备。</w:t>
      </w:r>
      <w:r>
        <w:rPr>
          <w:rFonts w:hint="eastAsia" w:ascii="宋体" w:hAnsi="宋体" w:cs="宋体"/>
          <w:color w:val="auto"/>
          <w:sz w:val="21"/>
          <w:szCs w:val="21"/>
          <w:highlight w:val="none"/>
          <w:lang w:val="en-US" w:eastAsia="zh-CN"/>
        </w:rPr>
        <w:t>成交供应商应</w:t>
      </w:r>
      <w:r>
        <w:rPr>
          <w:rFonts w:hint="eastAsia" w:ascii="宋体" w:hAnsi="宋体" w:eastAsia="宋体" w:cs="宋体"/>
          <w:color w:val="auto"/>
          <w:sz w:val="21"/>
          <w:szCs w:val="21"/>
          <w:highlight w:val="none"/>
          <w:lang w:val="en-US" w:eastAsia="zh-CN"/>
        </w:rPr>
        <w:t>具有固定的停车场或维修场地或办公场地,使用期限从投标之日起计不低于1年</w:t>
      </w:r>
      <w:r>
        <w:rPr>
          <w:rFonts w:hint="eastAsia" w:ascii="宋体" w:hAnsi="宋体" w:cs="宋体"/>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w:t>
      </w:r>
      <w:r>
        <w:rPr>
          <w:rFonts w:hint="eastAsia" w:ascii="宋体" w:hAnsi="宋体" w:cs="宋体"/>
          <w:color w:val="auto"/>
          <w:sz w:val="21"/>
          <w:szCs w:val="21"/>
          <w:highlight w:val="none"/>
          <w:lang w:val="en-US" w:eastAsia="zh-CN"/>
        </w:rPr>
        <w:t>成交供应商</w:t>
      </w:r>
      <w:r>
        <w:rPr>
          <w:rFonts w:hint="eastAsia" w:ascii="宋体" w:hAnsi="宋体" w:eastAsia="宋体" w:cs="宋体"/>
          <w:color w:val="auto"/>
          <w:sz w:val="21"/>
          <w:szCs w:val="21"/>
          <w:highlight w:val="none"/>
          <w:lang w:val="en-US" w:eastAsia="zh-CN"/>
        </w:rPr>
        <w:t>须对标段所有人员进行考勤。</w:t>
      </w:r>
    </w:p>
    <w:p>
      <w:pPr>
        <w:keepNext w:val="0"/>
        <w:keepLines w:val="0"/>
        <w:pageBreakBefore w:val="0"/>
        <w:widowControl w:val="0"/>
        <w:kinsoku/>
        <w:wordWrap/>
        <w:overflowPunct/>
        <w:topLinePunct w:val="0"/>
        <w:autoSpaceDE/>
        <w:autoSpaceDN/>
        <w:bidi w:val="0"/>
        <w:adjustRightInd/>
        <w:snapToGrid/>
        <w:spacing w:line="360" w:lineRule="exact"/>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11、</w:t>
      </w:r>
      <w:r>
        <w:rPr>
          <w:rFonts w:hint="eastAsia" w:ascii="宋体" w:hAnsi="宋体" w:cs="宋体"/>
          <w:color w:val="auto"/>
          <w:sz w:val="21"/>
          <w:szCs w:val="21"/>
          <w:highlight w:val="none"/>
          <w:lang w:val="en-US" w:eastAsia="zh-CN"/>
        </w:rPr>
        <w:t>采购人</w:t>
      </w:r>
      <w:r>
        <w:rPr>
          <w:rFonts w:hint="eastAsia" w:ascii="宋体" w:hAnsi="宋体" w:eastAsia="宋体" w:cs="宋体"/>
          <w:color w:val="auto"/>
          <w:sz w:val="21"/>
          <w:szCs w:val="21"/>
          <w:highlight w:val="none"/>
          <w:lang w:val="en-US" w:eastAsia="zh-CN"/>
        </w:rPr>
        <w:t>每月随时抽查人员在岗情况，未按岗位按编制配置时，按照《坪山区城市管理和综合执法局公园物业管理考评办法》进行核减扣罚，若相关考核办法和扣罚标准有所调整变化，按最新出台的办法或标准执行。工人缺岗减除费用及检查扣款费用直接回归财政。每月减除缺岗及检查扣款费用后与其他费用一并按月支付。</w:t>
      </w:r>
    </w:p>
    <w:p>
      <w:pPr>
        <w:keepNext w:val="0"/>
        <w:keepLines w:val="0"/>
        <w:pageBreakBefore w:val="0"/>
        <w:widowControl w:val="0"/>
        <w:kinsoku/>
        <w:wordWrap/>
        <w:overflowPunct/>
        <w:topLinePunct w:val="0"/>
        <w:autoSpaceDE/>
        <w:autoSpaceDN/>
        <w:bidi w:val="0"/>
        <w:adjustRightInd/>
        <w:snapToGrid/>
        <w:spacing w:line="360" w:lineRule="exact"/>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12、</w:t>
      </w:r>
      <w:r>
        <w:rPr>
          <w:rFonts w:hint="eastAsia" w:ascii="宋体" w:hAnsi="宋体" w:cs="宋体"/>
          <w:color w:val="auto"/>
          <w:sz w:val="21"/>
          <w:szCs w:val="21"/>
          <w:highlight w:val="none"/>
          <w:lang w:val="en-US" w:eastAsia="zh-CN"/>
        </w:rPr>
        <w:t>成交供应商</w:t>
      </w:r>
      <w:r>
        <w:rPr>
          <w:rFonts w:hint="eastAsia" w:ascii="宋体" w:hAnsi="宋体" w:eastAsia="宋体" w:cs="宋体"/>
          <w:color w:val="auto"/>
          <w:sz w:val="21"/>
          <w:szCs w:val="21"/>
          <w:highlight w:val="none"/>
          <w:lang w:val="en-US" w:eastAsia="zh-CN"/>
        </w:rPr>
        <w:t>需负责公园办公区的环境卫生，以及走廊等区域的场地和设施等的卫生保洁工作。</w:t>
      </w:r>
    </w:p>
    <w:p>
      <w:pPr>
        <w:keepNext w:val="0"/>
        <w:keepLines w:val="0"/>
        <w:pageBreakBefore w:val="0"/>
        <w:widowControl w:val="0"/>
        <w:kinsoku/>
        <w:wordWrap/>
        <w:overflowPunct/>
        <w:topLinePunct w:val="0"/>
        <w:autoSpaceDE/>
        <w:autoSpaceDN/>
        <w:bidi w:val="0"/>
        <w:adjustRightInd/>
        <w:snapToGrid/>
        <w:spacing w:line="360" w:lineRule="exact"/>
        <w:ind w:left="0" w:right="0"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13、在实施公园管理工作过程中，</w:t>
      </w:r>
      <w:r>
        <w:rPr>
          <w:rFonts w:hint="eastAsia" w:ascii="宋体" w:hAnsi="宋体" w:cs="宋体"/>
          <w:color w:val="auto"/>
          <w:sz w:val="21"/>
          <w:szCs w:val="21"/>
          <w:highlight w:val="none"/>
          <w:lang w:val="en-US" w:eastAsia="zh-CN"/>
        </w:rPr>
        <w:t>成交供应商</w:t>
      </w:r>
      <w:r>
        <w:rPr>
          <w:rFonts w:hint="eastAsia" w:ascii="宋体" w:hAnsi="宋体" w:eastAsia="宋体" w:cs="宋体"/>
          <w:color w:val="auto"/>
          <w:sz w:val="21"/>
          <w:szCs w:val="21"/>
          <w:highlight w:val="none"/>
          <w:lang w:val="en-US" w:eastAsia="zh-CN"/>
        </w:rPr>
        <w:t>须服从</w:t>
      </w:r>
      <w:r>
        <w:rPr>
          <w:rFonts w:hint="eastAsia" w:ascii="宋体" w:hAnsi="宋体" w:cs="宋体"/>
          <w:color w:val="auto"/>
          <w:sz w:val="21"/>
          <w:szCs w:val="21"/>
          <w:highlight w:val="none"/>
          <w:lang w:val="en-US" w:eastAsia="zh-CN"/>
        </w:rPr>
        <w:t>采购人</w:t>
      </w:r>
      <w:r>
        <w:rPr>
          <w:rFonts w:hint="eastAsia" w:ascii="宋体" w:hAnsi="宋体" w:eastAsia="宋体" w:cs="宋体"/>
          <w:color w:val="auto"/>
          <w:sz w:val="21"/>
          <w:szCs w:val="21"/>
          <w:highlight w:val="none"/>
          <w:lang w:val="en-US" w:eastAsia="zh-CN"/>
        </w:rPr>
        <w:t>的指挥和合理调整。相关人员不称职、不符合公园管理的要求，</w:t>
      </w:r>
      <w:r>
        <w:rPr>
          <w:rFonts w:hint="eastAsia" w:ascii="宋体" w:hAnsi="宋体" w:cs="宋体"/>
          <w:color w:val="auto"/>
          <w:sz w:val="21"/>
          <w:szCs w:val="21"/>
          <w:highlight w:val="none"/>
          <w:lang w:val="en-US" w:eastAsia="zh-CN"/>
        </w:rPr>
        <w:t>采购人</w:t>
      </w:r>
      <w:r>
        <w:rPr>
          <w:rFonts w:hint="eastAsia" w:ascii="宋体" w:hAnsi="宋体" w:eastAsia="宋体" w:cs="宋体"/>
          <w:color w:val="auto"/>
          <w:sz w:val="21"/>
          <w:szCs w:val="21"/>
          <w:highlight w:val="none"/>
          <w:lang w:val="en-US" w:eastAsia="zh-CN"/>
        </w:rPr>
        <w:t>有权要求更换。</w:t>
      </w:r>
      <w:r>
        <w:rPr>
          <w:rFonts w:hint="eastAsia" w:ascii="宋体" w:hAnsi="宋体" w:cs="宋体"/>
          <w:color w:val="auto"/>
          <w:sz w:val="21"/>
          <w:szCs w:val="21"/>
          <w:highlight w:val="none"/>
          <w:lang w:val="en-US" w:eastAsia="zh-CN"/>
        </w:rPr>
        <w:t>成交供应商</w:t>
      </w:r>
      <w:r>
        <w:rPr>
          <w:rFonts w:hint="eastAsia" w:ascii="宋体" w:hAnsi="宋体" w:eastAsia="宋体" w:cs="宋体"/>
          <w:color w:val="auto"/>
          <w:sz w:val="21"/>
          <w:szCs w:val="21"/>
          <w:highlight w:val="none"/>
          <w:lang w:val="en-US" w:eastAsia="zh-CN"/>
        </w:rPr>
        <w:t>人员配备须与投标文件一致，履约期内发生人员变动应保证更换与投标文件同等条件或以上人员且经公园管理中心备案，否则应承担违约责任。任何情况下，</w:t>
      </w:r>
      <w:r>
        <w:rPr>
          <w:rFonts w:hint="eastAsia" w:ascii="宋体" w:hAnsi="宋体" w:cs="宋体"/>
          <w:color w:val="auto"/>
          <w:sz w:val="21"/>
          <w:szCs w:val="21"/>
          <w:highlight w:val="none"/>
          <w:lang w:val="en-US" w:eastAsia="zh-CN"/>
        </w:rPr>
        <w:t>成交供应商</w:t>
      </w:r>
      <w:r>
        <w:rPr>
          <w:rFonts w:hint="eastAsia" w:ascii="宋体" w:hAnsi="宋体" w:eastAsia="宋体" w:cs="宋体"/>
          <w:color w:val="auto"/>
          <w:sz w:val="21"/>
          <w:szCs w:val="21"/>
          <w:highlight w:val="none"/>
          <w:lang w:val="en-US" w:eastAsia="zh-CN"/>
        </w:rPr>
        <w:t>更换项目经理，每次扣除管养经费5万元，</w:t>
      </w:r>
      <w:r>
        <w:rPr>
          <w:rFonts w:hint="eastAsia" w:ascii="宋体" w:hAnsi="宋体" w:eastAsia="宋体" w:cs="宋体"/>
          <w:color w:val="auto"/>
          <w:sz w:val="21"/>
          <w:szCs w:val="21"/>
          <w:highlight w:val="none"/>
        </w:rPr>
        <w:t>由于身体原因无法胜任等不可抗力除外</w:t>
      </w:r>
      <w:r>
        <w:rPr>
          <w:rFonts w:hint="eastAsia" w:ascii="宋体" w:hAnsi="宋体" w:eastAsia="宋体" w:cs="宋体"/>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14、</w:t>
      </w:r>
      <w:r>
        <w:rPr>
          <w:rFonts w:hint="eastAsia" w:ascii="宋体" w:hAnsi="宋体" w:cs="宋体"/>
          <w:color w:val="auto"/>
          <w:sz w:val="21"/>
          <w:szCs w:val="21"/>
          <w:highlight w:val="none"/>
          <w:lang w:val="en-US" w:eastAsia="zh-CN"/>
        </w:rPr>
        <w:t>成交供应商</w:t>
      </w:r>
      <w:r>
        <w:rPr>
          <w:rFonts w:hint="eastAsia" w:ascii="宋体" w:hAnsi="宋体" w:eastAsia="宋体" w:cs="宋体"/>
          <w:color w:val="auto"/>
          <w:sz w:val="21"/>
          <w:szCs w:val="21"/>
          <w:highlight w:val="none"/>
          <w:lang w:val="en-US" w:eastAsia="zh-CN"/>
        </w:rPr>
        <w:t>须服从</w:t>
      </w:r>
      <w:r>
        <w:rPr>
          <w:rFonts w:hint="eastAsia" w:ascii="宋体" w:hAnsi="宋体" w:cs="宋体"/>
          <w:color w:val="auto"/>
          <w:sz w:val="21"/>
          <w:szCs w:val="21"/>
          <w:highlight w:val="none"/>
          <w:lang w:val="en-US" w:eastAsia="zh-CN"/>
        </w:rPr>
        <w:t>采购人</w:t>
      </w:r>
      <w:r>
        <w:rPr>
          <w:rFonts w:hint="eastAsia" w:ascii="宋体" w:hAnsi="宋体" w:eastAsia="宋体" w:cs="宋体"/>
          <w:color w:val="auto"/>
          <w:sz w:val="21"/>
          <w:szCs w:val="21"/>
          <w:highlight w:val="none"/>
          <w:lang w:val="en-US" w:eastAsia="zh-CN"/>
        </w:rPr>
        <w:t>直接指挥。除完成正常绿地养护工作外，如遇上以下包含不限于本标段内零星苗木及设施迁移、苗木培育、公园设施设备搬运及台风、暴雨等应急情况，</w:t>
      </w:r>
      <w:r>
        <w:rPr>
          <w:rFonts w:hint="eastAsia" w:ascii="宋体" w:hAnsi="宋体" w:cs="宋体"/>
          <w:color w:val="auto"/>
          <w:sz w:val="21"/>
          <w:szCs w:val="21"/>
          <w:highlight w:val="none"/>
          <w:lang w:val="en-US" w:eastAsia="zh-CN"/>
        </w:rPr>
        <w:t>成交供应商</w:t>
      </w:r>
      <w:r>
        <w:rPr>
          <w:rFonts w:hint="eastAsia" w:ascii="宋体" w:hAnsi="宋体" w:eastAsia="宋体" w:cs="宋体"/>
          <w:color w:val="auto"/>
          <w:sz w:val="21"/>
          <w:szCs w:val="21"/>
          <w:highlight w:val="none"/>
          <w:lang w:val="en-US" w:eastAsia="zh-CN"/>
        </w:rPr>
        <w:t>需无条件提供劳务。</w:t>
      </w:r>
    </w:p>
    <w:p>
      <w:pPr>
        <w:keepNext w:val="0"/>
        <w:keepLines w:val="0"/>
        <w:pageBreakBefore w:val="0"/>
        <w:widowControl w:val="0"/>
        <w:kinsoku/>
        <w:wordWrap/>
        <w:overflowPunct/>
        <w:topLinePunct w:val="0"/>
        <w:autoSpaceDE/>
        <w:autoSpaceDN/>
        <w:bidi w:val="0"/>
        <w:adjustRightInd/>
        <w:snapToGrid/>
        <w:spacing w:line="360" w:lineRule="exact"/>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15、项目主管请假须经公园园长批准，并提前一天提交请假条经园长签批后备案留档。</w:t>
      </w:r>
    </w:p>
    <w:p>
      <w:pPr>
        <w:keepNext w:val="0"/>
        <w:keepLines w:val="0"/>
        <w:pageBreakBefore w:val="0"/>
        <w:widowControl w:val="0"/>
        <w:kinsoku/>
        <w:wordWrap/>
        <w:overflowPunct/>
        <w:topLinePunct w:val="0"/>
        <w:autoSpaceDE/>
        <w:autoSpaceDN/>
        <w:bidi w:val="0"/>
        <w:adjustRightInd/>
        <w:snapToGrid/>
        <w:spacing w:line="360" w:lineRule="exact"/>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16、绿化作业人员、车辆和机械设备需在自合同签订之日起30天内配齐，并将资料交给</w:t>
      </w:r>
      <w:r>
        <w:rPr>
          <w:rFonts w:hint="eastAsia" w:ascii="宋体" w:hAnsi="宋体" w:cs="宋体"/>
          <w:color w:val="auto"/>
          <w:sz w:val="21"/>
          <w:szCs w:val="21"/>
          <w:highlight w:val="none"/>
          <w:lang w:val="en-US" w:eastAsia="zh-CN"/>
        </w:rPr>
        <w:t>采购人</w:t>
      </w:r>
      <w:r>
        <w:rPr>
          <w:rFonts w:hint="eastAsia" w:ascii="宋体" w:hAnsi="宋体" w:eastAsia="宋体" w:cs="宋体"/>
          <w:color w:val="auto"/>
          <w:sz w:val="21"/>
          <w:szCs w:val="21"/>
          <w:highlight w:val="none"/>
          <w:lang w:val="en-US" w:eastAsia="zh-CN"/>
        </w:rPr>
        <w:t>备案。所有人员、车辆和机械设备只在本标段使用，车辆和机械设备保养记录和存放地点须向</w:t>
      </w:r>
      <w:r>
        <w:rPr>
          <w:rFonts w:hint="eastAsia" w:ascii="宋体" w:hAnsi="宋体" w:cs="宋体"/>
          <w:color w:val="auto"/>
          <w:sz w:val="21"/>
          <w:szCs w:val="21"/>
          <w:highlight w:val="none"/>
          <w:lang w:val="en-US" w:eastAsia="zh-CN"/>
        </w:rPr>
        <w:t>采购人</w:t>
      </w:r>
      <w:r>
        <w:rPr>
          <w:rFonts w:hint="eastAsia" w:ascii="宋体" w:hAnsi="宋体" w:eastAsia="宋体" w:cs="宋体"/>
          <w:color w:val="auto"/>
          <w:sz w:val="21"/>
          <w:szCs w:val="21"/>
          <w:highlight w:val="none"/>
          <w:lang w:val="en-US" w:eastAsia="zh-CN"/>
        </w:rPr>
        <w:t>备案，随时预备检查，调整变更必须提前征得</w:t>
      </w:r>
      <w:r>
        <w:rPr>
          <w:rFonts w:hint="eastAsia" w:ascii="宋体" w:hAnsi="宋体" w:cs="宋体"/>
          <w:color w:val="auto"/>
          <w:sz w:val="21"/>
          <w:szCs w:val="21"/>
          <w:highlight w:val="none"/>
          <w:lang w:val="en-US" w:eastAsia="zh-CN"/>
        </w:rPr>
        <w:t>采购人</w:t>
      </w:r>
      <w:r>
        <w:rPr>
          <w:rFonts w:hint="eastAsia" w:ascii="宋体" w:hAnsi="宋体" w:eastAsia="宋体" w:cs="宋体"/>
          <w:color w:val="auto"/>
          <w:sz w:val="21"/>
          <w:szCs w:val="21"/>
          <w:highlight w:val="none"/>
          <w:lang w:val="en-US" w:eastAsia="zh-CN"/>
        </w:rPr>
        <w:t>同意，日常非节假日同时间段内请假人数不得超过同类人员数量的10%。</w:t>
      </w:r>
    </w:p>
    <w:p>
      <w:pPr>
        <w:keepNext w:val="0"/>
        <w:keepLines w:val="0"/>
        <w:pageBreakBefore w:val="0"/>
        <w:widowControl w:val="0"/>
        <w:kinsoku/>
        <w:wordWrap/>
        <w:overflowPunct/>
        <w:topLinePunct w:val="0"/>
        <w:autoSpaceDE/>
        <w:autoSpaceDN/>
        <w:bidi w:val="0"/>
        <w:adjustRightInd/>
        <w:snapToGrid/>
        <w:spacing w:line="360" w:lineRule="exact"/>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17、</w:t>
      </w:r>
      <w:r>
        <w:rPr>
          <w:rFonts w:hint="eastAsia" w:ascii="宋体" w:hAnsi="宋体" w:cs="宋体"/>
          <w:color w:val="auto"/>
          <w:sz w:val="21"/>
          <w:szCs w:val="21"/>
          <w:highlight w:val="none"/>
          <w:lang w:val="en-US" w:eastAsia="zh-CN"/>
        </w:rPr>
        <w:t>成交供应商</w:t>
      </w:r>
      <w:r>
        <w:rPr>
          <w:rFonts w:hint="eastAsia" w:ascii="宋体" w:hAnsi="宋体" w:eastAsia="宋体" w:cs="宋体"/>
          <w:color w:val="auto"/>
          <w:sz w:val="21"/>
          <w:szCs w:val="21"/>
          <w:highlight w:val="none"/>
          <w:lang w:val="en-US" w:eastAsia="zh-CN"/>
        </w:rPr>
        <w:t>须建立各设备系统的运行、维修和保养的管理档案，公园值班、巡逻的管理资料，以及其它各专项服务工作的实施等方面的档案，同时以上档案必须妥善保管，并按</w:t>
      </w:r>
      <w:r>
        <w:rPr>
          <w:rFonts w:hint="eastAsia" w:ascii="宋体" w:hAnsi="宋体" w:cs="宋体"/>
          <w:color w:val="auto"/>
          <w:sz w:val="21"/>
          <w:szCs w:val="21"/>
          <w:highlight w:val="none"/>
          <w:lang w:val="en-US" w:eastAsia="zh-CN"/>
        </w:rPr>
        <w:t>采购人</w:t>
      </w:r>
      <w:r>
        <w:rPr>
          <w:rFonts w:hint="eastAsia" w:ascii="宋体" w:hAnsi="宋体" w:eastAsia="宋体" w:cs="宋体"/>
          <w:color w:val="auto"/>
          <w:sz w:val="21"/>
          <w:szCs w:val="21"/>
          <w:highlight w:val="none"/>
          <w:lang w:val="en-US" w:eastAsia="zh-CN"/>
        </w:rPr>
        <w:t>要求进行移交。</w:t>
      </w:r>
    </w:p>
    <w:p>
      <w:pPr>
        <w:keepNext w:val="0"/>
        <w:keepLines w:val="0"/>
        <w:pageBreakBefore w:val="0"/>
        <w:widowControl w:val="0"/>
        <w:kinsoku/>
        <w:wordWrap/>
        <w:overflowPunct/>
        <w:topLinePunct w:val="0"/>
        <w:autoSpaceDE/>
        <w:autoSpaceDN/>
        <w:bidi w:val="0"/>
        <w:adjustRightInd/>
        <w:snapToGrid/>
        <w:spacing w:line="360" w:lineRule="exact"/>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18、规范化作业要求</w:t>
      </w:r>
    </w:p>
    <w:p>
      <w:pPr>
        <w:keepNext w:val="0"/>
        <w:keepLines w:val="0"/>
        <w:pageBreakBefore w:val="0"/>
        <w:widowControl w:val="0"/>
        <w:kinsoku/>
        <w:wordWrap/>
        <w:overflowPunct/>
        <w:topLinePunct w:val="0"/>
        <w:autoSpaceDE/>
        <w:autoSpaceDN/>
        <w:bidi w:val="0"/>
        <w:adjustRightInd/>
        <w:snapToGrid/>
        <w:spacing w:line="360" w:lineRule="exact"/>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（1）着装形象要求：全部上岗人员，需着统一服装上岗，服装费用由</w:t>
      </w:r>
      <w:r>
        <w:rPr>
          <w:rFonts w:hint="eastAsia" w:ascii="宋体" w:hAnsi="宋体" w:cs="宋体"/>
          <w:color w:val="auto"/>
          <w:sz w:val="21"/>
          <w:szCs w:val="21"/>
          <w:highlight w:val="none"/>
          <w:lang w:val="en-US" w:eastAsia="zh-CN"/>
        </w:rPr>
        <w:t>成交供应商</w:t>
      </w:r>
      <w:r>
        <w:rPr>
          <w:rFonts w:hint="eastAsia" w:ascii="宋体" w:hAnsi="宋体" w:eastAsia="宋体" w:cs="宋体"/>
          <w:color w:val="auto"/>
          <w:sz w:val="21"/>
          <w:szCs w:val="21"/>
          <w:highlight w:val="none"/>
          <w:lang w:val="en-US" w:eastAsia="zh-CN"/>
        </w:rPr>
        <w:t>支付，其它具体要求如下：</w:t>
      </w:r>
    </w:p>
    <w:p>
      <w:pPr>
        <w:keepNext w:val="0"/>
        <w:keepLines w:val="0"/>
        <w:pageBreakBefore w:val="0"/>
        <w:widowControl w:val="0"/>
        <w:kinsoku/>
        <w:wordWrap/>
        <w:overflowPunct/>
        <w:topLinePunct w:val="0"/>
        <w:autoSpaceDE/>
        <w:autoSpaceDN/>
        <w:bidi w:val="0"/>
        <w:adjustRightInd/>
        <w:snapToGrid/>
        <w:spacing w:line="360" w:lineRule="exact"/>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1）着装统一，包含工作鞋、工作帽、全套服装、反光衣等。</w:t>
      </w:r>
    </w:p>
    <w:p>
      <w:pPr>
        <w:keepNext w:val="0"/>
        <w:keepLines w:val="0"/>
        <w:pageBreakBefore w:val="0"/>
        <w:widowControl w:val="0"/>
        <w:kinsoku/>
        <w:wordWrap/>
        <w:overflowPunct/>
        <w:topLinePunct w:val="0"/>
        <w:autoSpaceDE/>
        <w:autoSpaceDN/>
        <w:bidi w:val="0"/>
        <w:adjustRightInd/>
        <w:snapToGrid/>
        <w:spacing w:line="360" w:lineRule="exact"/>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2）衣服套数至少4套，其中夏秋2套，冬春2套，如实际需要则按要求补充和发放。</w:t>
      </w:r>
    </w:p>
    <w:p>
      <w:pPr>
        <w:keepNext w:val="0"/>
        <w:keepLines w:val="0"/>
        <w:pageBreakBefore w:val="0"/>
        <w:widowControl w:val="0"/>
        <w:kinsoku/>
        <w:wordWrap/>
        <w:overflowPunct/>
        <w:topLinePunct w:val="0"/>
        <w:autoSpaceDE/>
        <w:autoSpaceDN/>
        <w:bidi w:val="0"/>
        <w:adjustRightInd/>
        <w:snapToGrid/>
        <w:spacing w:line="360" w:lineRule="exact"/>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3）所有着装要求整洁、美观，及时更换。</w:t>
      </w:r>
    </w:p>
    <w:p>
      <w:pPr>
        <w:keepNext w:val="0"/>
        <w:keepLines w:val="0"/>
        <w:pageBreakBefore w:val="0"/>
        <w:widowControl w:val="0"/>
        <w:kinsoku/>
        <w:wordWrap/>
        <w:overflowPunct/>
        <w:topLinePunct w:val="0"/>
        <w:autoSpaceDE/>
        <w:autoSpaceDN/>
        <w:bidi w:val="0"/>
        <w:adjustRightInd/>
        <w:snapToGrid/>
        <w:spacing w:line="360" w:lineRule="exact"/>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（2）工具规范化形象要求：全部作业工具，需统一外观，规格和标准，所需费用由</w:t>
      </w:r>
      <w:r>
        <w:rPr>
          <w:rFonts w:hint="eastAsia" w:ascii="宋体" w:hAnsi="宋体" w:cs="宋体"/>
          <w:color w:val="auto"/>
          <w:sz w:val="21"/>
          <w:szCs w:val="21"/>
          <w:highlight w:val="none"/>
          <w:lang w:val="en-US" w:eastAsia="zh-CN"/>
        </w:rPr>
        <w:t>成交供应商</w:t>
      </w:r>
      <w:r>
        <w:rPr>
          <w:rFonts w:hint="eastAsia" w:ascii="宋体" w:hAnsi="宋体" w:eastAsia="宋体" w:cs="宋体"/>
          <w:color w:val="auto"/>
          <w:sz w:val="21"/>
          <w:szCs w:val="21"/>
          <w:highlight w:val="none"/>
          <w:lang w:val="en-US" w:eastAsia="zh-CN"/>
        </w:rPr>
        <w:t>支付，具体要求如下：</w:t>
      </w:r>
    </w:p>
    <w:p>
      <w:pPr>
        <w:keepNext w:val="0"/>
        <w:keepLines w:val="0"/>
        <w:pageBreakBefore w:val="0"/>
        <w:widowControl w:val="0"/>
        <w:kinsoku/>
        <w:wordWrap/>
        <w:overflowPunct/>
        <w:topLinePunct w:val="0"/>
        <w:autoSpaceDE/>
        <w:autoSpaceDN/>
        <w:bidi w:val="0"/>
        <w:adjustRightInd/>
        <w:snapToGrid/>
        <w:spacing w:line="360" w:lineRule="exact"/>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1）外观统一</w:t>
      </w:r>
    </w:p>
    <w:p>
      <w:pPr>
        <w:keepNext w:val="0"/>
        <w:keepLines w:val="0"/>
        <w:pageBreakBefore w:val="0"/>
        <w:widowControl w:val="0"/>
        <w:kinsoku/>
        <w:wordWrap/>
        <w:overflowPunct/>
        <w:topLinePunct w:val="0"/>
        <w:autoSpaceDE/>
        <w:autoSpaceDN/>
        <w:bidi w:val="0"/>
        <w:adjustRightInd/>
        <w:snapToGrid/>
        <w:spacing w:line="360" w:lineRule="exact"/>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2）保持安全、洁净、美观。</w:t>
      </w:r>
    </w:p>
    <w:p>
      <w:pPr>
        <w:keepNext w:val="0"/>
        <w:keepLines w:val="0"/>
        <w:pageBreakBefore w:val="0"/>
        <w:widowControl w:val="0"/>
        <w:kinsoku/>
        <w:wordWrap/>
        <w:overflowPunct/>
        <w:topLinePunct w:val="0"/>
        <w:autoSpaceDE/>
        <w:autoSpaceDN/>
        <w:bidi w:val="0"/>
        <w:adjustRightInd/>
        <w:snapToGrid/>
        <w:spacing w:line="360" w:lineRule="exact"/>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3）及时更换设备。</w:t>
      </w:r>
    </w:p>
    <w:p>
      <w:pPr>
        <w:keepNext w:val="0"/>
        <w:keepLines w:val="0"/>
        <w:pageBreakBefore w:val="0"/>
        <w:widowControl w:val="0"/>
        <w:kinsoku/>
        <w:wordWrap/>
        <w:overflowPunct/>
        <w:topLinePunct w:val="0"/>
        <w:autoSpaceDE/>
        <w:autoSpaceDN/>
        <w:bidi w:val="0"/>
        <w:adjustRightInd/>
        <w:snapToGrid/>
        <w:spacing w:line="360" w:lineRule="exact"/>
        <w:ind w:right="0" w:firstLine="422" w:firstLineChars="200"/>
        <w:jc w:val="both"/>
        <w:textAlignment w:val="auto"/>
        <w:outlineLvl w:val="1"/>
        <w:rPr>
          <w:rFonts w:hint="eastAsia"/>
        </w:rPr>
      </w:pPr>
      <w:r>
        <w:rPr>
          <w:rFonts w:hint="eastAsia" w:ascii="宋体" w:hAnsi="宋体" w:cs="宋体"/>
          <w:b/>
          <w:bCs w:val="0"/>
          <w:color w:val="auto"/>
          <w:kern w:val="0"/>
          <w:sz w:val="21"/>
          <w:szCs w:val="21"/>
          <w:highlight w:val="none"/>
          <w:lang w:val="en-US" w:eastAsia="zh-CN"/>
        </w:rPr>
        <w:t>四</w:t>
      </w:r>
      <w:r>
        <w:rPr>
          <w:rFonts w:hint="eastAsia" w:ascii="宋体" w:hAnsi="宋体" w:eastAsia="宋体" w:cs="宋体"/>
          <w:b/>
          <w:bCs w:val="0"/>
          <w:color w:val="auto"/>
          <w:kern w:val="0"/>
          <w:sz w:val="21"/>
          <w:szCs w:val="21"/>
          <w:highlight w:val="none"/>
          <w:lang w:val="en-US" w:eastAsia="zh-CN"/>
        </w:rPr>
        <w:t>、</w:t>
      </w:r>
      <w:r>
        <w:rPr>
          <w:rFonts w:hint="eastAsia" w:ascii="宋体" w:hAnsi="宋体" w:eastAsia="宋体" w:cs="宋体"/>
          <w:b/>
          <w:bCs w:val="0"/>
          <w:color w:val="auto"/>
          <w:kern w:val="0"/>
          <w:sz w:val="21"/>
          <w:szCs w:val="21"/>
          <w:highlight w:val="none"/>
        </w:rPr>
        <w:t>服务和质量要求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val="0"/>
          <w:color w:val="auto"/>
          <w:kern w:val="0"/>
          <w:sz w:val="21"/>
          <w:szCs w:val="21"/>
          <w:highlight w:val="none"/>
          <w:lang w:val="en-US" w:eastAsia="zh-CN"/>
        </w:rPr>
      </w:pPr>
      <w:r>
        <w:rPr>
          <w:rFonts w:hint="eastAsia" w:ascii="宋体" w:hAnsi="宋体" w:eastAsia="宋体" w:cs="宋体"/>
          <w:b/>
          <w:bCs w:val="0"/>
          <w:color w:val="auto"/>
          <w:kern w:val="0"/>
          <w:sz w:val="21"/>
          <w:szCs w:val="21"/>
          <w:highlight w:val="none"/>
          <w:lang w:val="en-US" w:eastAsia="zh-CN"/>
        </w:rPr>
        <w:t>（一）</w:t>
      </w:r>
      <w:r>
        <w:rPr>
          <w:rFonts w:hint="eastAsia" w:ascii="宋体" w:hAnsi="宋体" w:cs="宋体"/>
          <w:b/>
          <w:bCs w:val="0"/>
          <w:color w:val="auto"/>
          <w:kern w:val="0"/>
          <w:sz w:val="21"/>
          <w:szCs w:val="21"/>
          <w:highlight w:val="none"/>
          <w:lang w:val="en-US" w:eastAsia="zh-CN"/>
        </w:rPr>
        <w:t>成交供应商</w:t>
      </w:r>
      <w:r>
        <w:rPr>
          <w:rFonts w:hint="eastAsia" w:ascii="宋体" w:hAnsi="宋体" w:eastAsia="宋体" w:cs="宋体"/>
          <w:b/>
          <w:bCs w:val="0"/>
          <w:color w:val="auto"/>
          <w:kern w:val="0"/>
          <w:sz w:val="21"/>
          <w:szCs w:val="21"/>
          <w:highlight w:val="none"/>
          <w:lang w:val="en-US" w:eastAsia="zh-CN"/>
        </w:rPr>
        <w:t>人员配置表：</w:t>
      </w:r>
    </w:p>
    <w:p>
      <w:pPr>
        <w:pStyle w:val="5"/>
        <w:rPr>
          <w:rFonts w:hint="eastAsia"/>
          <w:lang w:val="en-US" w:eastAsia="zh-CN"/>
        </w:rPr>
      </w:pPr>
    </w:p>
    <w:tbl>
      <w:tblPr>
        <w:tblStyle w:val="7"/>
        <w:tblW w:w="9020" w:type="dxa"/>
        <w:tblInd w:w="0" w:type="dxa"/>
        <w:tblLayout w:type="fixed"/>
        <w:tblCellMar>
          <w:top w:w="0" w:type="dxa"/>
          <w:left w:w="0" w:type="dxa"/>
          <w:bottom w:w="0" w:type="dxa"/>
          <w:right w:w="0" w:type="dxa"/>
        </w:tblCellMar>
      </w:tblPr>
      <w:tblGrid>
        <w:gridCol w:w="2973"/>
        <w:gridCol w:w="3234"/>
        <w:gridCol w:w="2813"/>
      </w:tblGrid>
      <w:tr>
        <w:tblPrEx>
          <w:tblCellMar>
            <w:top w:w="0" w:type="dxa"/>
            <w:left w:w="0" w:type="dxa"/>
            <w:bottom w:w="0" w:type="dxa"/>
            <w:right w:w="0" w:type="dxa"/>
          </w:tblCellMar>
        </w:tblPrEx>
        <w:trPr>
          <w:trHeight w:val="298" w:hRule="atLeast"/>
        </w:trPr>
        <w:tc>
          <w:tcPr>
            <w:tcW w:w="9020" w:type="dxa"/>
            <w:gridSpan w:val="3"/>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highlight w:val="none"/>
                <w:u w:val="none"/>
              </w:rPr>
            </w:pPr>
            <w:r>
              <w:rPr>
                <w:rFonts w:hint="eastAsia" w:ascii="宋体" w:hAnsi="宋体" w:eastAsia="宋体" w:cs="宋体"/>
                <w:color w:val="auto"/>
                <w:sz w:val="21"/>
                <w:szCs w:val="21"/>
                <w:highlight w:val="none"/>
                <w:lang w:val="en-US" w:eastAsia="zh-CN"/>
              </w:rPr>
              <w:t>云动公园、云波公园等</w:t>
            </w:r>
            <w:r>
              <w:rPr>
                <w:rFonts w:hint="eastAsia" w:ascii="宋体" w:hAnsi="宋体" w:cs="宋体"/>
                <w:i w:val="0"/>
                <w:color w:val="000000"/>
                <w:kern w:val="0"/>
                <w:sz w:val="21"/>
                <w:szCs w:val="21"/>
                <w:highlight w:val="none"/>
                <w:u w:val="none"/>
                <w:lang w:val="en-US" w:eastAsia="zh-CN" w:bidi="ar"/>
              </w:rPr>
              <w:t>口袋公园物业管理项目</w:t>
            </w:r>
            <w:r>
              <w:rPr>
                <w:rFonts w:hint="eastAsia" w:ascii="宋体" w:hAnsi="宋体" w:eastAsia="宋体" w:cs="宋体"/>
                <w:i w:val="0"/>
                <w:color w:val="000000"/>
                <w:kern w:val="0"/>
                <w:sz w:val="21"/>
                <w:szCs w:val="21"/>
                <w:highlight w:val="none"/>
                <w:u w:val="none"/>
                <w:lang w:val="en-US" w:eastAsia="zh-CN" w:bidi="ar"/>
              </w:rPr>
              <w:t>人员配置</w:t>
            </w:r>
          </w:p>
        </w:tc>
      </w:tr>
      <w:tr>
        <w:tblPrEx>
          <w:tblCellMar>
            <w:top w:w="0" w:type="dxa"/>
            <w:left w:w="0" w:type="dxa"/>
            <w:bottom w:w="0" w:type="dxa"/>
            <w:right w:w="0" w:type="dxa"/>
          </w:tblCellMar>
        </w:tblPrEx>
        <w:trPr>
          <w:trHeight w:val="342" w:hRule="atLeast"/>
        </w:trPr>
        <w:tc>
          <w:tcPr>
            <w:tcW w:w="2973" w:type="dxa"/>
            <w:tcBorders>
              <w:top w:val="nil"/>
              <w:left w:val="single" w:color="000000" w:sz="8" w:space="0"/>
              <w:bottom w:val="single" w:color="000000" w:sz="8" w:space="0"/>
              <w:right w:val="single" w:color="000000" w:sz="8" w:space="0"/>
            </w:tcBorders>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编制岗位</w:t>
            </w:r>
          </w:p>
        </w:tc>
        <w:tc>
          <w:tcPr>
            <w:tcW w:w="3234" w:type="dxa"/>
            <w:tcBorders>
              <w:top w:val="single" w:color="000000" w:sz="8" w:space="0"/>
              <w:left w:val="nil"/>
              <w:bottom w:val="single" w:color="000000" w:sz="8" w:space="0"/>
              <w:right w:val="single" w:color="000000" w:sz="8" w:space="0"/>
            </w:tcBorders>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数量（岗位）</w:t>
            </w:r>
          </w:p>
        </w:tc>
        <w:tc>
          <w:tcPr>
            <w:tcW w:w="2813" w:type="dxa"/>
            <w:tcBorders>
              <w:top w:val="single" w:color="000000" w:sz="8" w:space="0"/>
              <w:left w:val="nil"/>
              <w:bottom w:val="single" w:color="000000" w:sz="8" w:space="0"/>
              <w:right w:val="single" w:color="000000" w:sz="8" w:space="0"/>
            </w:tcBorders>
            <w:tcMar>
              <w:top w:w="15" w:type="dxa"/>
              <w:left w:w="15" w:type="dxa"/>
              <w:right w:w="15" w:type="dxa"/>
            </w:tcMar>
            <w:vAlign w:val="top"/>
          </w:tcPr>
          <w:p>
            <w:pPr>
              <w:jc w:val="center"/>
              <w:rPr>
                <w:rFonts w:hint="eastAsia" w:ascii="宋体" w:hAnsi="宋体" w:eastAsia="宋体" w:cs="宋体"/>
                <w:i w:val="0"/>
                <w:color w:val="000000"/>
                <w:sz w:val="21"/>
                <w:szCs w:val="21"/>
                <w:highlight w:val="none"/>
                <w:u w:val="none"/>
                <w:lang w:val="en-US" w:eastAsia="zh-CN"/>
              </w:rPr>
            </w:pPr>
            <w:r>
              <w:rPr>
                <w:rFonts w:hint="eastAsia" w:ascii="宋体" w:hAnsi="宋体" w:cs="宋体"/>
                <w:i w:val="0"/>
                <w:color w:val="000000"/>
                <w:sz w:val="21"/>
                <w:szCs w:val="21"/>
                <w:highlight w:val="none"/>
                <w:u w:val="none"/>
                <w:lang w:val="en-US" w:eastAsia="zh-CN"/>
              </w:rPr>
              <w:t>备注</w:t>
            </w:r>
          </w:p>
        </w:tc>
      </w:tr>
      <w:tr>
        <w:tblPrEx>
          <w:tblCellMar>
            <w:top w:w="0" w:type="dxa"/>
            <w:left w:w="0" w:type="dxa"/>
            <w:bottom w:w="0" w:type="dxa"/>
            <w:right w:w="0" w:type="dxa"/>
          </w:tblCellMar>
        </w:tblPrEx>
        <w:trPr>
          <w:trHeight w:val="298" w:hRule="atLeast"/>
        </w:trPr>
        <w:tc>
          <w:tcPr>
            <w:tcW w:w="2973"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highlight w:val="none"/>
                <w:u w:val="none"/>
                <w:lang w:val="en-US"/>
              </w:rPr>
            </w:pPr>
            <w:r>
              <w:rPr>
                <w:rFonts w:hint="eastAsia" w:ascii="宋体" w:hAnsi="宋体" w:cs="宋体"/>
                <w:i w:val="0"/>
                <w:color w:val="000000"/>
                <w:kern w:val="0"/>
                <w:sz w:val="21"/>
                <w:szCs w:val="21"/>
                <w:highlight w:val="none"/>
                <w:u w:val="none"/>
                <w:lang w:val="en-US" w:eastAsia="zh-CN" w:bidi="ar"/>
              </w:rPr>
              <w:t>现场主管</w:t>
            </w:r>
          </w:p>
        </w:tc>
        <w:tc>
          <w:tcPr>
            <w:tcW w:w="3234"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cs="宋体"/>
                <w:i w:val="0"/>
                <w:color w:val="000000"/>
                <w:kern w:val="0"/>
                <w:sz w:val="21"/>
                <w:szCs w:val="21"/>
                <w:highlight w:val="none"/>
                <w:u w:val="none"/>
                <w:lang w:val="en-US" w:eastAsia="zh-CN" w:bidi="ar"/>
              </w:rPr>
              <w:t>1</w:t>
            </w:r>
          </w:p>
        </w:tc>
        <w:tc>
          <w:tcPr>
            <w:tcW w:w="2813" w:type="dxa"/>
            <w:tcBorders>
              <w:top w:val="nil"/>
              <w:left w:val="nil"/>
              <w:bottom w:val="single" w:color="000000" w:sz="8" w:space="0"/>
              <w:right w:val="single" w:color="000000" w:sz="8" w:space="0"/>
            </w:tcBorders>
            <w:tcMar>
              <w:top w:w="15" w:type="dxa"/>
              <w:left w:w="15" w:type="dxa"/>
              <w:right w:w="15" w:type="dxa"/>
            </w:tcMar>
            <w:vAlign w:val="top"/>
          </w:tcPr>
          <w:p>
            <w:pPr>
              <w:jc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bCs/>
                <w:color w:val="auto"/>
                <w:sz w:val="21"/>
                <w:szCs w:val="21"/>
                <w:highlight w:val="none"/>
                <w:lang w:val="en-US" w:eastAsia="zh-CN"/>
              </w:rPr>
              <w:t>具有大专</w:t>
            </w: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rPr>
              <w:t>或以上</w:t>
            </w: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rPr>
              <w:t>学历</w:t>
            </w:r>
          </w:p>
        </w:tc>
      </w:tr>
      <w:tr>
        <w:tblPrEx>
          <w:tblCellMar>
            <w:top w:w="0" w:type="dxa"/>
            <w:left w:w="0" w:type="dxa"/>
            <w:bottom w:w="0" w:type="dxa"/>
            <w:right w:w="0" w:type="dxa"/>
          </w:tblCellMar>
        </w:tblPrEx>
        <w:trPr>
          <w:trHeight w:val="298" w:hRule="atLeast"/>
        </w:trPr>
        <w:tc>
          <w:tcPr>
            <w:tcW w:w="2973"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保洁工</w:t>
            </w:r>
          </w:p>
        </w:tc>
        <w:tc>
          <w:tcPr>
            <w:tcW w:w="3234"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1"/>
                <w:szCs w:val="21"/>
                <w:highlight w:val="none"/>
                <w:u w:val="none"/>
                <w:lang w:val="en-US" w:eastAsia="zh-CN" w:bidi="ar"/>
              </w:rPr>
            </w:pPr>
            <w:r>
              <w:rPr>
                <w:rFonts w:hint="eastAsia" w:ascii="宋体" w:hAnsi="宋体" w:cs="宋体"/>
                <w:i w:val="0"/>
                <w:color w:val="000000"/>
                <w:kern w:val="0"/>
                <w:sz w:val="21"/>
                <w:szCs w:val="21"/>
                <w:highlight w:val="none"/>
                <w:u w:val="none"/>
                <w:lang w:val="en-US" w:eastAsia="zh-CN" w:bidi="ar"/>
              </w:rPr>
              <w:t>2</w:t>
            </w:r>
          </w:p>
        </w:tc>
        <w:tc>
          <w:tcPr>
            <w:tcW w:w="2813" w:type="dxa"/>
            <w:tcBorders>
              <w:top w:val="nil"/>
              <w:left w:val="nil"/>
              <w:bottom w:val="single" w:color="000000" w:sz="8" w:space="0"/>
              <w:right w:val="single" w:color="000000" w:sz="8" w:space="0"/>
            </w:tcBorders>
            <w:tcMar>
              <w:top w:w="15" w:type="dxa"/>
              <w:left w:w="15" w:type="dxa"/>
              <w:right w:w="15" w:type="dxa"/>
            </w:tcMar>
            <w:vAlign w:val="top"/>
          </w:tcPr>
          <w:p>
            <w:pPr>
              <w:jc w:val="center"/>
              <w:rPr>
                <w:rFonts w:hint="eastAsia" w:ascii="宋体" w:hAnsi="宋体" w:eastAsia="宋体" w:cs="宋体"/>
                <w:i w:val="0"/>
                <w:color w:val="000000"/>
                <w:sz w:val="21"/>
                <w:szCs w:val="21"/>
                <w:highlight w:val="none"/>
                <w:u w:val="none"/>
              </w:rPr>
            </w:pPr>
          </w:p>
        </w:tc>
      </w:tr>
      <w:tr>
        <w:tblPrEx>
          <w:tblCellMar>
            <w:top w:w="0" w:type="dxa"/>
            <w:left w:w="0" w:type="dxa"/>
            <w:bottom w:w="0" w:type="dxa"/>
            <w:right w:w="0" w:type="dxa"/>
          </w:tblCellMar>
        </w:tblPrEx>
        <w:trPr>
          <w:trHeight w:val="298" w:hRule="atLeast"/>
        </w:trPr>
        <w:tc>
          <w:tcPr>
            <w:tcW w:w="2973"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绿化工</w:t>
            </w:r>
          </w:p>
        </w:tc>
        <w:tc>
          <w:tcPr>
            <w:tcW w:w="3234"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cs="宋体"/>
                <w:i w:val="0"/>
                <w:color w:val="000000"/>
                <w:kern w:val="0"/>
                <w:sz w:val="21"/>
                <w:szCs w:val="21"/>
                <w:highlight w:val="none"/>
                <w:u w:val="none"/>
                <w:lang w:val="en-US" w:eastAsia="zh-CN" w:bidi="ar"/>
              </w:rPr>
              <w:t>2</w:t>
            </w:r>
          </w:p>
        </w:tc>
        <w:tc>
          <w:tcPr>
            <w:tcW w:w="2813" w:type="dxa"/>
            <w:tcBorders>
              <w:top w:val="nil"/>
              <w:left w:val="nil"/>
              <w:bottom w:val="single" w:color="000000" w:sz="8" w:space="0"/>
              <w:right w:val="single" w:color="000000" w:sz="8" w:space="0"/>
            </w:tcBorders>
            <w:tcMar>
              <w:top w:w="15" w:type="dxa"/>
              <w:left w:w="15" w:type="dxa"/>
              <w:right w:w="15" w:type="dxa"/>
            </w:tcMar>
            <w:vAlign w:val="top"/>
          </w:tcPr>
          <w:p>
            <w:pPr>
              <w:jc w:val="center"/>
              <w:rPr>
                <w:rFonts w:hint="eastAsia" w:ascii="宋体" w:hAnsi="宋体" w:eastAsia="宋体" w:cs="宋体"/>
                <w:i w:val="0"/>
                <w:color w:val="000000"/>
                <w:sz w:val="21"/>
                <w:szCs w:val="21"/>
                <w:highlight w:val="none"/>
                <w:u w:val="none"/>
              </w:rPr>
            </w:pPr>
          </w:p>
        </w:tc>
      </w:tr>
      <w:tr>
        <w:tblPrEx>
          <w:tblCellMar>
            <w:top w:w="0" w:type="dxa"/>
            <w:left w:w="0" w:type="dxa"/>
            <w:bottom w:w="0" w:type="dxa"/>
            <w:right w:w="0" w:type="dxa"/>
          </w:tblCellMar>
        </w:tblPrEx>
        <w:trPr>
          <w:trHeight w:val="298" w:hRule="atLeast"/>
        </w:trPr>
        <w:tc>
          <w:tcPr>
            <w:tcW w:w="2973"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highlight w:val="none"/>
                <w:u w:val="none"/>
                <w:lang w:val="en-US" w:eastAsia="zh-CN"/>
              </w:rPr>
            </w:pPr>
            <w:r>
              <w:rPr>
                <w:rFonts w:hint="eastAsia" w:ascii="宋体" w:hAnsi="宋体" w:cs="宋体"/>
                <w:i w:val="0"/>
                <w:color w:val="000000"/>
                <w:sz w:val="21"/>
                <w:szCs w:val="21"/>
                <w:highlight w:val="none"/>
                <w:u w:val="none"/>
                <w:lang w:val="en-US" w:eastAsia="zh-CN"/>
              </w:rPr>
              <w:t>电工</w:t>
            </w:r>
          </w:p>
        </w:tc>
        <w:tc>
          <w:tcPr>
            <w:tcW w:w="3234" w:type="dxa"/>
            <w:tcBorders>
              <w:top w:val="nil"/>
              <w:left w:val="nil"/>
              <w:bottom w:val="single" w:color="auto" w:sz="4" w:space="0"/>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lang w:val="en-US" w:eastAsia="zh-CN"/>
              </w:rPr>
            </w:pPr>
            <w:r>
              <w:rPr>
                <w:rFonts w:hint="eastAsia" w:ascii="宋体" w:hAnsi="宋体" w:cs="宋体"/>
                <w:i w:val="0"/>
                <w:color w:val="000000"/>
                <w:sz w:val="21"/>
                <w:szCs w:val="21"/>
                <w:highlight w:val="none"/>
                <w:u w:val="none"/>
                <w:lang w:val="en-US" w:eastAsia="zh-CN"/>
              </w:rPr>
              <w:t>1</w:t>
            </w:r>
          </w:p>
        </w:tc>
        <w:tc>
          <w:tcPr>
            <w:tcW w:w="2813" w:type="dxa"/>
            <w:tcBorders>
              <w:top w:val="nil"/>
              <w:left w:val="nil"/>
              <w:bottom w:val="single" w:color="auto" w:sz="4" w:space="0"/>
              <w:right w:val="single" w:color="000000" w:sz="8" w:space="0"/>
            </w:tcBorders>
            <w:tcMar>
              <w:top w:w="15" w:type="dxa"/>
              <w:left w:w="15" w:type="dxa"/>
              <w:right w:w="15" w:type="dxa"/>
            </w:tcMar>
            <w:vAlign w:val="top"/>
          </w:tcPr>
          <w:p>
            <w:pPr>
              <w:jc w:val="center"/>
              <w:rPr>
                <w:rFonts w:hint="eastAsia" w:ascii="宋体" w:hAnsi="宋体" w:eastAsia="宋体" w:cs="宋体"/>
                <w:i w:val="0"/>
                <w:color w:val="000000"/>
                <w:sz w:val="21"/>
                <w:szCs w:val="21"/>
                <w:highlight w:val="none"/>
                <w:u w:val="none"/>
              </w:rPr>
            </w:pPr>
            <w:r>
              <w:rPr>
                <w:rFonts w:hint="eastAsia" w:ascii="宋体" w:hAnsi="宋体" w:eastAsia="宋体" w:cs="宋体"/>
                <w:bCs/>
                <w:color w:val="auto"/>
                <w:sz w:val="21"/>
                <w:szCs w:val="21"/>
                <w:highlight w:val="none"/>
                <w:lang w:val="zh-CN"/>
              </w:rPr>
              <w:t>具有应急管理厅颁发的特种作业操作证</w:t>
            </w:r>
          </w:p>
        </w:tc>
      </w:tr>
      <w:tr>
        <w:tblPrEx>
          <w:tblCellMar>
            <w:top w:w="0" w:type="dxa"/>
            <w:left w:w="0" w:type="dxa"/>
            <w:bottom w:w="0" w:type="dxa"/>
            <w:right w:w="0" w:type="dxa"/>
          </w:tblCellMar>
        </w:tblPrEx>
        <w:trPr>
          <w:trHeight w:val="561" w:hRule="atLeast"/>
        </w:trPr>
        <w:tc>
          <w:tcPr>
            <w:tcW w:w="2973" w:type="dxa"/>
            <w:vMerge w:val="restart"/>
            <w:tcBorders>
              <w:top w:val="nil"/>
              <w:left w:val="single" w:color="000000" w:sz="8" w:space="0"/>
              <w:bottom w:val="single" w:color="000000" w:sz="8" w:space="0"/>
              <w:right w:val="single" w:color="auto" w:sz="4" w:space="0"/>
            </w:tcBorders>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说明</w:t>
            </w:r>
          </w:p>
        </w:tc>
        <w:tc>
          <w:tcPr>
            <w:tcW w:w="6047"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1、现场普通工人到手工资应不低于深圳市最低工资标准，相关技术工人及管理团队工作人员工资参照人社局最新一期指导工资。</w:t>
            </w:r>
          </w:p>
        </w:tc>
      </w:tr>
      <w:tr>
        <w:tblPrEx>
          <w:tblCellMar>
            <w:top w:w="0" w:type="dxa"/>
            <w:left w:w="0" w:type="dxa"/>
            <w:bottom w:w="0" w:type="dxa"/>
            <w:right w:w="0" w:type="dxa"/>
          </w:tblCellMar>
        </w:tblPrEx>
        <w:trPr>
          <w:trHeight w:val="580" w:hRule="atLeast"/>
        </w:trPr>
        <w:tc>
          <w:tcPr>
            <w:tcW w:w="2973" w:type="dxa"/>
            <w:vMerge w:val="continue"/>
            <w:tcBorders>
              <w:top w:val="nil"/>
              <w:left w:val="single" w:color="000000" w:sz="8" w:space="0"/>
              <w:bottom w:val="single" w:color="000000" w:sz="8" w:space="0"/>
              <w:right w:val="single" w:color="auto" w:sz="4" w:space="0"/>
            </w:tcBorders>
            <w:tcMar>
              <w:top w:w="15" w:type="dxa"/>
              <w:left w:w="15" w:type="dxa"/>
              <w:right w:w="15" w:type="dxa"/>
            </w:tcMar>
            <w:vAlign w:val="top"/>
          </w:tcPr>
          <w:p>
            <w:pPr>
              <w:jc w:val="center"/>
              <w:rPr>
                <w:rFonts w:hint="eastAsia" w:ascii="宋体" w:hAnsi="宋体" w:eastAsia="宋体" w:cs="宋体"/>
                <w:i w:val="0"/>
                <w:color w:val="000000"/>
                <w:sz w:val="21"/>
                <w:szCs w:val="21"/>
                <w:highlight w:val="none"/>
                <w:u w:val="none"/>
              </w:rPr>
            </w:pPr>
          </w:p>
        </w:tc>
        <w:tc>
          <w:tcPr>
            <w:tcW w:w="6047"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2、以上要求人数为实际应到岗人数，即一年365天每天上岗人数，涉及</w:t>
            </w:r>
            <w:r>
              <w:rPr>
                <w:rFonts w:hint="eastAsia" w:ascii="宋体" w:hAnsi="宋体" w:cs="宋体"/>
                <w:i w:val="0"/>
                <w:color w:val="000000"/>
                <w:kern w:val="0"/>
                <w:sz w:val="21"/>
                <w:szCs w:val="21"/>
                <w:highlight w:val="none"/>
                <w:u w:val="none"/>
                <w:lang w:val="en-US" w:eastAsia="zh-CN" w:bidi="ar"/>
              </w:rPr>
              <w:t>中华人民共和国劳动法</w:t>
            </w:r>
            <w:r>
              <w:rPr>
                <w:rFonts w:hint="eastAsia" w:ascii="宋体" w:hAnsi="宋体" w:eastAsia="宋体" w:cs="宋体"/>
                <w:i w:val="0"/>
                <w:color w:val="000000"/>
                <w:kern w:val="0"/>
                <w:sz w:val="21"/>
                <w:szCs w:val="21"/>
                <w:highlight w:val="none"/>
                <w:u w:val="none"/>
                <w:lang w:val="en-US" w:eastAsia="zh-CN" w:bidi="ar"/>
              </w:rPr>
              <w:t>相关调休、加班等安排由企业自行调配，不占用实际到岗人数安排。</w:t>
            </w:r>
          </w:p>
        </w:tc>
      </w:tr>
    </w:tbl>
    <w:p>
      <w:pPr>
        <w:keepNext w:val="0"/>
        <w:keepLines w:val="0"/>
        <w:pageBreakBefore w:val="0"/>
        <w:widowControl w:val="0"/>
        <w:kinsoku/>
        <w:wordWrap/>
        <w:overflowPunct/>
        <w:topLinePunct w:val="0"/>
        <w:autoSpaceDE/>
        <w:autoSpaceDN/>
        <w:bidi w:val="0"/>
        <w:adjustRightInd/>
        <w:snapToGrid/>
        <w:spacing w:line="360" w:lineRule="exact"/>
        <w:ind w:left="0" w:right="0" w:firstLine="422" w:firstLineChars="200"/>
        <w:jc w:val="both"/>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（二）绿地养护</w:t>
      </w:r>
    </w:p>
    <w:p>
      <w:pPr>
        <w:keepNext w:val="0"/>
        <w:keepLines w:val="0"/>
        <w:pageBreakBefore w:val="0"/>
        <w:widowControl w:val="0"/>
        <w:kinsoku/>
        <w:wordWrap/>
        <w:overflowPunct/>
        <w:topLinePunct w:val="0"/>
        <w:autoSpaceDE/>
        <w:autoSpaceDN/>
        <w:bidi w:val="0"/>
        <w:adjustRightInd/>
        <w:snapToGrid/>
        <w:spacing w:line="360" w:lineRule="exact"/>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绿地养护项目包括公园范围内的绿地管养及水体保洁。养护内容包括(但不限定)于：乔木、灌木、草坪、垂直绿化、攀援绿化等绿化、绿化设施（包括喷灌系统、园林建筑及小品、园道、宣传牌、绿地铺装、护树设施等）的养护和维护管理和园内环境保洁。具体工作按《深圳市农业地方标准：园林绿化管养规范》《深圳市环境卫生质量标准》和</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坪山区城市管理和综合执法局公园物业管理考评办法》等所规定的工作要求执行。</w:t>
      </w:r>
    </w:p>
    <w:p>
      <w:pPr>
        <w:keepNext w:val="0"/>
        <w:keepLines w:val="0"/>
        <w:pageBreakBefore w:val="0"/>
        <w:widowControl w:val="0"/>
        <w:kinsoku/>
        <w:wordWrap/>
        <w:overflowPunct/>
        <w:topLinePunct w:val="0"/>
        <w:autoSpaceDE/>
        <w:autoSpaceDN/>
        <w:bidi w:val="0"/>
        <w:adjustRightInd/>
        <w:snapToGrid/>
        <w:spacing w:line="360" w:lineRule="exact"/>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2、绿化养护需要的机械设备配备要求：</w:t>
      </w:r>
    </w:p>
    <w:p>
      <w:pPr>
        <w:keepNext w:val="0"/>
        <w:keepLines w:val="0"/>
        <w:pageBreakBefore w:val="0"/>
        <w:widowControl/>
        <w:suppressLineNumbers w:val="0"/>
        <w:kinsoku/>
        <w:wordWrap/>
        <w:overflowPunct/>
        <w:topLinePunct w:val="0"/>
        <w:autoSpaceDE/>
        <w:autoSpaceDN/>
        <w:bidi w:val="0"/>
        <w:adjustRightInd/>
        <w:snapToGrid/>
        <w:spacing w:before="40" w:beforeAutospacing="0" w:after="0" w:afterAutospacing="0" w:line="360" w:lineRule="exact"/>
        <w:ind w:right="0" w:firstLine="420" w:firstLineChars="200"/>
        <w:jc w:val="both"/>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公司投入满足于本项目绿化及设施，高压洗地车1台，绿化鼓风机1台，高杆油锯机1台，绿篱修剪机1台，油锯1台，割灌机1台，草坪修剪机1台，高枝剪1台，高压喷雾器1台，打孔注药机1台。</w:t>
      </w:r>
    </w:p>
    <w:p>
      <w:pPr>
        <w:keepNext w:val="0"/>
        <w:keepLines w:val="0"/>
        <w:pageBreakBefore w:val="0"/>
        <w:widowControl w:val="0"/>
        <w:kinsoku/>
        <w:wordWrap/>
        <w:overflowPunct/>
        <w:topLinePunct w:val="0"/>
        <w:autoSpaceDE/>
        <w:autoSpaceDN/>
        <w:bidi w:val="0"/>
        <w:adjustRightInd/>
        <w:snapToGrid/>
        <w:spacing w:line="360" w:lineRule="exact"/>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3、环境卫生保洁</w:t>
      </w:r>
    </w:p>
    <w:p>
      <w:pPr>
        <w:keepNext w:val="0"/>
        <w:keepLines w:val="0"/>
        <w:pageBreakBefore w:val="0"/>
        <w:widowControl w:val="0"/>
        <w:kinsoku/>
        <w:wordWrap/>
        <w:overflowPunct/>
        <w:topLinePunct w:val="0"/>
        <w:autoSpaceDE/>
        <w:autoSpaceDN/>
        <w:bidi w:val="0"/>
        <w:adjustRightInd/>
        <w:snapToGrid/>
        <w:spacing w:line="360" w:lineRule="exact"/>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（1）全面保持公园保洁，至少实行1天2大扫，固定岗与流动岗结合，保证大部分时间段清洁卫生。</w:t>
      </w:r>
    </w:p>
    <w:p>
      <w:pPr>
        <w:keepNext w:val="0"/>
        <w:keepLines w:val="0"/>
        <w:pageBreakBefore w:val="0"/>
        <w:widowControl w:val="0"/>
        <w:kinsoku/>
        <w:wordWrap/>
        <w:overflowPunct/>
        <w:topLinePunct w:val="0"/>
        <w:autoSpaceDE/>
        <w:autoSpaceDN/>
        <w:bidi w:val="0"/>
        <w:adjustRightInd/>
        <w:snapToGrid/>
        <w:spacing w:line="360" w:lineRule="exact"/>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环境卫生保洁范围：</w:t>
      </w:r>
      <w:r>
        <w:rPr>
          <w:rFonts w:hint="eastAsia" w:ascii="宋体" w:hAnsi="宋体" w:cs="宋体"/>
          <w:color w:val="auto"/>
          <w:sz w:val="21"/>
          <w:szCs w:val="21"/>
          <w:highlight w:val="none"/>
          <w:lang w:val="en-US" w:eastAsia="zh-CN"/>
        </w:rPr>
        <w:t>采购</w:t>
      </w:r>
      <w:r>
        <w:rPr>
          <w:rFonts w:hint="eastAsia" w:ascii="宋体" w:hAnsi="宋体" w:eastAsia="宋体" w:cs="宋体"/>
          <w:color w:val="auto"/>
          <w:sz w:val="21"/>
          <w:szCs w:val="21"/>
          <w:highlight w:val="none"/>
          <w:lang w:val="en-US" w:eastAsia="zh-CN"/>
        </w:rPr>
        <w:t>范围内绿地保洁及配套设施的清洁管理、清除生活垃圾及枯枝落叶，包括：园路、广场、建筑（管理用房、廊亭栈桥、雕塑、驿站、保安岗亭等）、设施（垃圾桶、坐凳、扶手、围栏、标识牌、停车场、自行车站等）等的清扫保洁、擦拭和冲洗，公园内排洪排水沟渠的清理。</w:t>
      </w:r>
    </w:p>
    <w:p>
      <w:pPr>
        <w:keepNext w:val="0"/>
        <w:keepLines w:val="0"/>
        <w:pageBreakBefore w:val="0"/>
        <w:widowControl w:val="0"/>
        <w:kinsoku/>
        <w:wordWrap/>
        <w:overflowPunct/>
        <w:topLinePunct w:val="0"/>
        <w:autoSpaceDE/>
        <w:autoSpaceDN/>
        <w:bidi w:val="0"/>
        <w:adjustRightInd/>
        <w:snapToGrid/>
        <w:spacing w:line="360" w:lineRule="exact"/>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（2）环境卫生保洁时间：7:00-18：00（公园根据实际情况，在保证效果和开放时间的基础上可适度调整）</w:t>
      </w:r>
    </w:p>
    <w:p>
      <w:pPr>
        <w:keepNext w:val="0"/>
        <w:keepLines w:val="0"/>
        <w:pageBreakBefore w:val="0"/>
        <w:widowControl w:val="0"/>
        <w:kinsoku/>
        <w:wordWrap/>
        <w:overflowPunct/>
        <w:topLinePunct w:val="0"/>
        <w:autoSpaceDE/>
        <w:autoSpaceDN/>
        <w:bidi w:val="0"/>
        <w:adjustRightInd/>
        <w:snapToGrid/>
        <w:spacing w:line="360" w:lineRule="exact"/>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绿地保洁工作：绿地上的枯残枝叶、垃圾等要及时清扫，绿化施工垃圾应在完工后12小时内清理干净，并及时外运。要求在一定周期内集中全面清洁或清洗，平时保持巡查和保洁，保持整洁美观。要求所有绿地内枯枝落叶杂物等垃圾，每天集中清扫两遍；铺地、小品、坐凳、扶手、康乐设施等园林设施的表面应每天冲洗或擦拭一遍；垃圾桶箱每天清理两遍、冲洗一遍；公厕每天集中冲洗两次；绿地内园道广场、花基围栏、园林小品等设施每周清洗一次，每月用高压水枪彻底清洗至少一遍，局部易污染区域每周高压冲洗一遍平时保持洁净；与绿地相连的排水沟每月至少清理一次，汛期季节要及时清理，确保无垃圾、无积水、无杂草。</w:t>
      </w:r>
    </w:p>
    <w:p>
      <w:pPr>
        <w:keepNext w:val="0"/>
        <w:keepLines w:val="0"/>
        <w:pageBreakBefore w:val="0"/>
        <w:widowControl w:val="0"/>
        <w:kinsoku/>
        <w:wordWrap/>
        <w:overflowPunct/>
        <w:topLinePunct w:val="0"/>
        <w:autoSpaceDE/>
        <w:autoSpaceDN/>
        <w:bidi w:val="0"/>
        <w:adjustRightInd/>
        <w:snapToGrid/>
        <w:spacing w:line="360" w:lineRule="exact"/>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管养范围内的所有垃圾的清运工作需当天清运，以及由于台风、暴雨等不可抗力因素所增加的垃圾清运任务。（垃圾必须袋装化并密封不外泄，清运时间为早9:00前或晚20:00后，保证日产日清）。保持所有公用设备清洁，及时清理乱涂写、乱张贴和乱刻画。</w:t>
      </w:r>
    </w:p>
    <w:p>
      <w:pPr>
        <w:keepNext w:val="0"/>
        <w:keepLines w:val="0"/>
        <w:pageBreakBefore w:val="0"/>
        <w:widowControl w:val="0"/>
        <w:kinsoku/>
        <w:wordWrap/>
        <w:overflowPunct/>
        <w:topLinePunct w:val="0"/>
        <w:autoSpaceDE/>
        <w:autoSpaceDN/>
        <w:bidi w:val="0"/>
        <w:adjustRightInd/>
        <w:snapToGrid/>
        <w:spacing w:line="360" w:lineRule="exact"/>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（5）水体保洁：每天至少巡查2次，发现漂浮物及垃圾及时清理。</w:t>
      </w:r>
    </w:p>
    <w:p>
      <w:pPr>
        <w:keepNext w:val="0"/>
        <w:keepLines w:val="0"/>
        <w:pageBreakBefore w:val="0"/>
        <w:widowControl w:val="0"/>
        <w:kinsoku/>
        <w:wordWrap/>
        <w:overflowPunct/>
        <w:topLinePunct w:val="0"/>
        <w:autoSpaceDE/>
        <w:autoSpaceDN/>
        <w:bidi w:val="0"/>
        <w:adjustRightInd/>
        <w:snapToGrid/>
        <w:spacing w:line="360" w:lineRule="exact"/>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（6）广场、园路保洁：保证无口香糖等明显污渍，明显污渍立即冲洗。每2个月使用高压水枪对园内大理石铺装路段冲洗一次（打磨机打磨路面顽固污渍）。</w:t>
      </w:r>
    </w:p>
    <w:p>
      <w:pPr>
        <w:keepNext w:val="0"/>
        <w:keepLines w:val="0"/>
        <w:pageBreakBefore w:val="0"/>
        <w:widowControl w:val="0"/>
        <w:kinsoku/>
        <w:wordWrap/>
        <w:overflowPunct/>
        <w:topLinePunct w:val="0"/>
        <w:autoSpaceDE/>
        <w:autoSpaceDN/>
        <w:bidi w:val="0"/>
        <w:adjustRightInd/>
        <w:snapToGrid/>
        <w:spacing w:line="360" w:lineRule="exact"/>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（7）山体边坡排洪沟渠畅通：杂草、落叶、於泥，每年清理4次，塌方堵塞要及时疏通。</w:t>
      </w:r>
    </w:p>
    <w:p>
      <w:pPr>
        <w:keepNext w:val="0"/>
        <w:keepLines w:val="0"/>
        <w:pageBreakBefore w:val="0"/>
        <w:widowControl w:val="0"/>
        <w:kinsoku/>
        <w:wordWrap/>
        <w:overflowPunct/>
        <w:topLinePunct w:val="0"/>
        <w:autoSpaceDE/>
        <w:autoSpaceDN/>
        <w:bidi w:val="0"/>
        <w:adjustRightInd/>
        <w:snapToGrid/>
        <w:spacing w:line="360" w:lineRule="exact"/>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4、绿化管养</w:t>
      </w:r>
    </w:p>
    <w:p>
      <w:pPr>
        <w:keepNext w:val="0"/>
        <w:keepLines w:val="0"/>
        <w:pageBreakBefore w:val="0"/>
        <w:widowControl w:val="0"/>
        <w:kinsoku/>
        <w:wordWrap/>
        <w:overflowPunct/>
        <w:topLinePunct w:val="0"/>
        <w:autoSpaceDE/>
        <w:autoSpaceDN/>
        <w:bidi w:val="0"/>
        <w:adjustRightInd/>
        <w:snapToGrid/>
        <w:spacing w:line="360" w:lineRule="exact"/>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（1）绿化养护范围：管养范围内的绿地管养：乔木、水生植物、灌木、草坪、地被、垂直绿化、攀援绿化等绿化浇水、施肥、修剪、艺术造型、病虫害防治等。</w:t>
      </w:r>
    </w:p>
    <w:p>
      <w:pPr>
        <w:keepNext w:val="0"/>
        <w:keepLines w:val="0"/>
        <w:pageBreakBefore w:val="0"/>
        <w:widowControl w:val="0"/>
        <w:kinsoku/>
        <w:wordWrap/>
        <w:overflowPunct/>
        <w:topLinePunct w:val="0"/>
        <w:autoSpaceDE/>
        <w:autoSpaceDN/>
        <w:bidi w:val="0"/>
        <w:adjustRightInd/>
        <w:snapToGrid/>
        <w:spacing w:line="360" w:lineRule="exact"/>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浇水：养护企业应统计供水设施报公园管理单位备案，根据对绿地的详细分析和天气状况而进行有针对性的浇水操作，确保满足植物健壮生长的需求。要求特一级绿地、悬挂、渠化岛、中间隔离带、主辅分车带绿篱的绿化每两天至少浇透一遍，其他绿地每三天至少浇透一遍。核查浇水工作时，须确认深度10厘米以上土壤湿润，并观察植物无失水征状时方可签证。排水不畅的绿地应采用辅助方式疏通，确保不积水。悬挂绿化的排水应进入排水沟，避免直接滴落。</w:t>
      </w:r>
    </w:p>
    <w:p>
      <w:pPr>
        <w:keepNext w:val="0"/>
        <w:keepLines w:val="0"/>
        <w:pageBreakBefore w:val="0"/>
        <w:widowControl w:val="0"/>
        <w:kinsoku/>
        <w:wordWrap/>
        <w:overflowPunct/>
        <w:topLinePunct w:val="0"/>
        <w:autoSpaceDE/>
        <w:autoSpaceDN/>
        <w:bidi w:val="0"/>
        <w:adjustRightInd/>
        <w:snapToGrid/>
        <w:spacing w:line="360" w:lineRule="exact"/>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（3）施肥：根据植物生长需要加强淋水和施肥。一般两次施肥，春夏季、秋冬季，其它根据植物长势施肥。肥料购买凭证及货物需经公园管理中心核验。</w:t>
      </w:r>
    </w:p>
    <w:p>
      <w:pPr>
        <w:keepNext w:val="0"/>
        <w:keepLines w:val="0"/>
        <w:pageBreakBefore w:val="0"/>
        <w:widowControl w:val="0"/>
        <w:kinsoku/>
        <w:wordWrap/>
        <w:overflowPunct/>
        <w:topLinePunct w:val="0"/>
        <w:autoSpaceDE/>
        <w:autoSpaceDN/>
        <w:bidi w:val="0"/>
        <w:adjustRightInd/>
        <w:snapToGrid/>
        <w:spacing w:line="360" w:lineRule="exact"/>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（4）整形修剪工作：根据《园林树木修剪技术指引》，按照植物的生长发育要求、景观要求、安全要求及防风要求等，对植物进行有计划的整形修剪工作。</w:t>
      </w:r>
    </w:p>
    <w:p>
      <w:pPr>
        <w:keepNext w:val="0"/>
        <w:keepLines w:val="0"/>
        <w:pageBreakBefore w:val="0"/>
        <w:widowControl w:val="0"/>
        <w:kinsoku/>
        <w:wordWrap/>
        <w:overflowPunct/>
        <w:topLinePunct w:val="0"/>
        <w:autoSpaceDE/>
        <w:autoSpaceDN/>
        <w:bidi w:val="0"/>
        <w:adjustRightInd/>
        <w:snapToGrid/>
        <w:spacing w:line="360" w:lineRule="exact"/>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a、草坪以定期修剪平整为主，适当结合疏草等措施以促进生长。应结合季节生长特性进行定期修剪。重点区域草坪每年须打孔疏草全面护理一遍，其他绿地根据生长情况而定。修剪频次：雨季（3-8月）每30～40天修剪一遍，旱季（9-2月）每40～50天修剪一遍，全年不少于8次。草坪修剪应力求精细，机械和人工互补，确保平整美观，草坪边缘也须平整，不漫延不凸起。应避免草坪因过度生长而老化鼓包，同时也应防止过度修剪而出现秃黄。</w:t>
      </w:r>
    </w:p>
    <w:p>
      <w:pPr>
        <w:keepNext w:val="0"/>
        <w:keepLines w:val="0"/>
        <w:pageBreakBefore w:val="0"/>
        <w:widowControl w:val="0"/>
        <w:kinsoku/>
        <w:wordWrap/>
        <w:overflowPunct/>
        <w:topLinePunct w:val="0"/>
        <w:autoSpaceDE/>
        <w:autoSpaceDN/>
        <w:bidi w:val="0"/>
        <w:adjustRightInd/>
        <w:snapToGrid/>
        <w:spacing w:line="360" w:lineRule="exact"/>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b、花灌木整型修剪：根据季节和植物开花期的特点，进行主动控花修剪；根据观赏角度和植物搭配情况，进行艺术整型修剪；根据植物生长特性，进行重剪、翻种、轮作等复壮措施；在生长旺盛期，定期进行疏枝、整型等养护措施。</w:t>
      </w:r>
    </w:p>
    <w:p>
      <w:pPr>
        <w:keepNext w:val="0"/>
        <w:keepLines w:val="0"/>
        <w:pageBreakBefore w:val="0"/>
        <w:widowControl w:val="0"/>
        <w:kinsoku/>
        <w:wordWrap/>
        <w:overflowPunct/>
        <w:topLinePunct w:val="0"/>
        <w:autoSpaceDE/>
        <w:autoSpaceDN/>
        <w:bidi w:val="0"/>
        <w:adjustRightInd/>
        <w:snapToGrid/>
        <w:spacing w:line="360" w:lineRule="exact"/>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c、乔木修剪：根据各类乔木特性修剪，但应满足安全为首要，后景观需要。每面台风来临前应对植物进行全面修剪。</w:t>
      </w:r>
    </w:p>
    <w:p>
      <w:pPr>
        <w:keepNext w:val="0"/>
        <w:keepLines w:val="0"/>
        <w:pageBreakBefore w:val="0"/>
        <w:widowControl w:val="0"/>
        <w:kinsoku/>
        <w:wordWrap/>
        <w:overflowPunct/>
        <w:topLinePunct w:val="0"/>
        <w:autoSpaceDE/>
        <w:autoSpaceDN/>
        <w:bidi w:val="0"/>
        <w:adjustRightInd/>
        <w:snapToGrid/>
        <w:spacing w:line="360" w:lineRule="exact"/>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（5）中耕除杂草及草坪复壮工作。一级绿地草坪目标草种自然纯度达到95%以上，冬春季保持常绿，通过加强肥水，铺沙、打孔等措施。</w:t>
      </w:r>
    </w:p>
    <w:p>
      <w:pPr>
        <w:keepNext w:val="0"/>
        <w:keepLines w:val="0"/>
        <w:pageBreakBefore w:val="0"/>
        <w:widowControl w:val="0"/>
        <w:kinsoku/>
        <w:wordWrap/>
        <w:overflowPunct/>
        <w:topLinePunct w:val="0"/>
        <w:autoSpaceDE/>
        <w:autoSpaceDN/>
        <w:bidi w:val="0"/>
        <w:adjustRightInd/>
        <w:snapToGrid/>
        <w:spacing w:line="360" w:lineRule="exact"/>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补植：对新增的缺株苗木和死亡苗木、黄土裸露、老化植物在5个工作日内补齐（自然灾害如台风、暴雨等不可抗力因素在采取了防范措施后仍造成的损失除外），修补和更换的苗木应与原苗木规格相接近，年度苗木购置费用占比绿化管养费用的5%，包含在养护费用中。苗木采购及补植须经公园管理中心审核。</w:t>
      </w:r>
    </w:p>
    <w:p>
      <w:pPr>
        <w:keepNext w:val="0"/>
        <w:keepLines w:val="0"/>
        <w:pageBreakBefore w:val="0"/>
        <w:widowControl w:val="0"/>
        <w:kinsoku/>
        <w:wordWrap/>
        <w:overflowPunct/>
        <w:topLinePunct w:val="0"/>
        <w:autoSpaceDE/>
        <w:autoSpaceDN/>
        <w:bidi w:val="0"/>
        <w:adjustRightInd/>
        <w:snapToGrid/>
        <w:spacing w:line="360" w:lineRule="exact"/>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病虫害防治：及时做好病虫害的防治工作，以防为主，精心管养，使植物增强抗病虫能力，经常检查，早发现早处理。采取综合防治、化学防治、物理人力防治和生物防治等方法防止病虫害蔓延和影响植物生长。尽量采用生物防治的办法，以减少对环境的污染。用化学方法防治时一般在晚上进行喷药；药物、用量及对环境的影响，要符合环保的要求和标准。发生病虫为害，最严重的危害率在5%以下。</w:t>
      </w:r>
    </w:p>
    <w:p>
      <w:pPr>
        <w:keepNext w:val="0"/>
        <w:keepLines w:val="0"/>
        <w:pageBreakBefore w:val="0"/>
        <w:widowControl w:val="0"/>
        <w:kinsoku/>
        <w:wordWrap/>
        <w:overflowPunct/>
        <w:topLinePunct w:val="0"/>
        <w:autoSpaceDE/>
        <w:autoSpaceDN/>
        <w:bidi w:val="0"/>
        <w:adjustRightInd/>
        <w:snapToGrid/>
        <w:spacing w:line="360" w:lineRule="exact"/>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植物结构调整：有计划，按绿地管养指引开展工作。绿化带离路边5米范围为重点景观带，绿地植物配置应合理，植物高度应随观赏点的距离远近而逐级递升，植物配置也应注重景观效果，对于原有植物配置不合理的，应在补植的同时进行调整或更换。原有的较高灌木应调整至绿化带后侧种植，离路边3米以内的植物，应以草坪、沿阶草、麦冬、鸢尾等低于30厘米的常绿低矮植物为主，适当搭配开花植物，不可种植蜘蛛兰、海芋等。离路边3米以外的背景林树荫下绿地不能种植蟛蜞菊或片植单一的蜘蛛兰或海芋，须丰富植物品种。</w:t>
      </w:r>
    </w:p>
    <w:p>
      <w:pPr>
        <w:keepNext w:val="0"/>
        <w:keepLines w:val="0"/>
        <w:pageBreakBefore w:val="0"/>
        <w:widowControl w:val="0"/>
        <w:kinsoku/>
        <w:wordWrap/>
        <w:overflowPunct/>
        <w:topLinePunct w:val="0"/>
        <w:bidi w:val="0"/>
        <w:spacing w:line="240" w:lineRule="auto"/>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（9）外来入侵有害物种防治</w:t>
      </w:r>
    </w:p>
    <w:tbl>
      <w:tblPr>
        <w:tblStyle w:val="7"/>
        <w:tblW w:w="9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4"/>
        <w:gridCol w:w="7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1774" w:type="dxa"/>
            <w:vAlign w:val="center"/>
          </w:tcPr>
          <w:p>
            <w:pPr>
              <w:keepNext w:val="0"/>
              <w:keepLines w:val="0"/>
              <w:pageBreakBefore w:val="0"/>
              <w:widowControl w:val="0"/>
              <w:kinsoku/>
              <w:wordWrap/>
              <w:overflowPunct/>
              <w:topLinePunct w:val="0"/>
              <w:bidi w:val="0"/>
              <w:spacing w:line="240" w:lineRule="auto"/>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防治对象</w:t>
            </w:r>
          </w:p>
        </w:tc>
        <w:tc>
          <w:tcPr>
            <w:tcW w:w="7624" w:type="dxa"/>
            <w:vAlign w:val="center"/>
          </w:tcPr>
          <w:p>
            <w:pPr>
              <w:keepNext w:val="0"/>
              <w:keepLines w:val="0"/>
              <w:pageBreakBefore w:val="0"/>
              <w:widowControl w:val="0"/>
              <w:kinsoku/>
              <w:wordWrap/>
              <w:overflowPunct/>
              <w:topLinePunct w:val="0"/>
              <w:bidi w:val="0"/>
              <w:spacing w:line="240" w:lineRule="auto"/>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薇甘菊、菟丝子、非洲大蜗牛等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1774" w:type="dxa"/>
            <w:vAlign w:val="center"/>
          </w:tcPr>
          <w:p>
            <w:pPr>
              <w:keepNext w:val="0"/>
              <w:keepLines w:val="0"/>
              <w:pageBreakBefore w:val="0"/>
              <w:widowControl w:val="0"/>
              <w:kinsoku/>
              <w:wordWrap/>
              <w:overflowPunct/>
              <w:topLinePunct w:val="0"/>
              <w:bidi w:val="0"/>
              <w:spacing w:line="240" w:lineRule="auto"/>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防治目标</w:t>
            </w:r>
          </w:p>
        </w:tc>
        <w:tc>
          <w:tcPr>
            <w:tcW w:w="7624" w:type="dxa"/>
            <w:vAlign w:val="center"/>
          </w:tcPr>
          <w:p>
            <w:pPr>
              <w:keepNext w:val="0"/>
              <w:keepLines w:val="0"/>
              <w:pageBreakBefore w:val="0"/>
              <w:widowControl w:val="0"/>
              <w:kinsoku/>
              <w:wordWrap/>
              <w:overflowPunct/>
              <w:topLinePunct w:val="0"/>
              <w:bidi w:val="0"/>
              <w:spacing w:line="240" w:lineRule="auto"/>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养护范围内全面清理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774" w:type="dxa"/>
            <w:vAlign w:val="center"/>
          </w:tcPr>
          <w:p>
            <w:pPr>
              <w:keepNext w:val="0"/>
              <w:keepLines w:val="0"/>
              <w:pageBreakBefore w:val="0"/>
              <w:widowControl w:val="0"/>
              <w:kinsoku/>
              <w:wordWrap/>
              <w:overflowPunct/>
              <w:topLinePunct w:val="0"/>
              <w:bidi w:val="0"/>
              <w:spacing w:line="240" w:lineRule="auto"/>
              <w:ind w:right="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防治区域范围</w:t>
            </w:r>
          </w:p>
        </w:tc>
        <w:tc>
          <w:tcPr>
            <w:tcW w:w="7624" w:type="dxa"/>
            <w:vAlign w:val="center"/>
          </w:tcPr>
          <w:p>
            <w:pPr>
              <w:keepNext w:val="0"/>
              <w:keepLines w:val="0"/>
              <w:pageBreakBefore w:val="0"/>
              <w:widowControl w:val="0"/>
              <w:kinsoku/>
              <w:wordWrap/>
              <w:overflowPunct/>
              <w:topLinePunct w:val="0"/>
              <w:bidi w:val="0"/>
              <w:spacing w:line="240" w:lineRule="auto"/>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涵盖公园实际绿地管养范围。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1774" w:type="dxa"/>
            <w:vAlign w:val="center"/>
          </w:tcPr>
          <w:p>
            <w:pPr>
              <w:keepNext w:val="0"/>
              <w:keepLines w:val="0"/>
              <w:pageBreakBefore w:val="0"/>
              <w:widowControl w:val="0"/>
              <w:kinsoku/>
              <w:wordWrap/>
              <w:overflowPunct/>
              <w:topLinePunct w:val="0"/>
              <w:bidi w:val="0"/>
              <w:spacing w:line="240" w:lineRule="auto"/>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管理要求</w:t>
            </w:r>
          </w:p>
        </w:tc>
        <w:tc>
          <w:tcPr>
            <w:tcW w:w="7624" w:type="dxa"/>
            <w:vAlign w:val="center"/>
          </w:tcPr>
          <w:p>
            <w:pPr>
              <w:keepNext w:val="0"/>
              <w:keepLines w:val="0"/>
              <w:pageBreakBefore w:val="0"/>
              <w:widowControl w:val="0"/>
              <w:kinsoku/>
              <w:wordWrap/>
              <w:overflowPunct/>
              <w:topLinePunct w:val="0"/>
              <w:bidi w:val="0"/>
              <w:spacing w:line="240" w:lineRule="auto"/>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定期清理，按照国标《薇甘菊综合防治技术规程》等文件，进行人工或药物防治。</w:t>
            </w:r>
          </w:p>
        </w:tc>
      </w:tr>
    </w:tbl>
    <w:p>
      <w:pPr>
        <w:keepNext w:val="0"/>
        <w:keepLines w:val="0"/>
        <w:pageBreakBefore w:val="0"/>
        <w:widowControl w:val="0"/>
        <w:kinsoku/>
        <w:wordWrap/>
        <w:overflowPunct/>
        <w:topLinePunct w:val="0"/>
        <w:autoSpaceDE/>
        <w:autoSpaceDN/>
        <w:bidi w:val="0"/>
        <w:adjustRightInd/>
        <w:snapToGrid/>
        <w:spacing w:line="360" w:lineRule="exact"/>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5、绿地安全维护措施</w:t>
      </w:r>
    </w:p>
    <w:p>
      <w:pPr>
        <w:keepNext w:val="0"/>
        <w:keepLines w:val="0"/>
        <w:pageBreakBefore w:val="0"/>
        <w:widowControl w:val="0"/>
        <w:kinsoku/>
        <w:wordWrap/>
        <w:overflowPunct/>
        <w:topLinePunct w:val="0"/>
        <w:autoSpaceDE/>
        <w:autoSpaceDN/>
        <w:bidi w:val="0"/>
        <w:adjustRightInd/>
        <w:snapToGrid/>
        <w:spacing w:line="360" w:lineRule="exact"/>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绿化及其设施的维修工作（含绿地及绿地上设施造成损坏和人为破坏、盗窃等对绿地及绿地上设施造成损坏的，要及时清理并尽快修复）。</w:t>
      </w:r>
    </w:p>
    <w:p>
      <w:pPr>
        <w:keepNext w:val="0"/>
        <w:keepLines w:val="0"/>
        <w:pageBreakBefore w:val="0"/>
        <w:widowControl w:val="0"/>
        <w:kinsoku/>
        <w:wordWrap/>
        <w:overflowPunct/>
        <w:topLinePunct w:val="0"/>
        <w:autoSpaceDE/>
        <w:autoSpaceDN/>
        <w:bidi w:val="0"/>
        <w:adjustRightInd/>
        <w:snapToGrid/>
        <w:spacing w:line="360" w:lineRule="exact"/>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2</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安全生产及灾后恢复工作：包括及时巡查、发现和及时消除各类安全隐患，精心看护绿地及各类绿地设施，做好防风、防火、防汛、防寒、防旱等自然灾害工作，对灾害引起的损坏应及时清理修复。定期巡视挡土墙及边坡，防止山体滑坡。</w:t>
      </w:r>
    </w:p>
    <w:p>
      <w:pPr>
        <w:keepNext w:val="0"/>
        <w:keepLines w:val="0"/>
        <w:pageBreakBefore w:val="0"/>
        <w:widowControl w:val="0"/>
        <w:kinsoku/>
        <w:wordWrap/>
        <w:overflowPunct/>
        <w:topLinePunct w:val="0"/>
        <w:autoSpaceDE/>
        <w:autoSpaceDN/>
        <w:bidi w:val="0"/>
        <w:adjustRightInd/>
        <w:snapToGrid/>
        <w:spacing w:line="360" w:lineRule="exact"/>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3</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绿地保护工作：对破坏绿化及影响绿化景观的现象及时制止，并及时采取有效措施（包括由管养公司自行出资安装防护设施等）。绿地补植后由管养单位出资安装规范性围挡等防护设施（可以用木栅栏、竹篱笆及临时景观围栏等，并设置温馨提示标识）。</w:t>
      </w:r>
    </w:p>
    <w:p>
      <w:pPr>
        <w:keepNext w:val="0"/>
        <w:keepLines w:val="0"/>
        <w:pageBreakBefore w:val="0"/>
        <w:widowControl w:val="0"/>
        <w:kinsoku/>
        <w:wordWrap/>
        <w:overflowPunct/>
        <w:topLinePunct w:val="0"/>
        <w:autoSpaceDE/>
        <w:autoSpaceDN/>
        <w:bidi w:val="0"/>
        <w:adjustRightInd/>
        <w:snapToGrid/>
        <w:spacing w:line="360" w:lineRule="exact"/>
        <w:ind w:left="0" w:right="0" w:firstLine="422" w:firstLineChars="200"/>
        <w:jc w:val="both"/>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（三）虫害消杀要求</w:t>
      </w:r>
    </w:p>
    <w:p>
      <w:pPr>
        <w:keepNext w:val="0"/>
        <w:keepLines w:val="0"/>
        <w:pageBreakBefore w:val="0"/>
        <w:widowControl w:val="0"/>
        <w:kinsoku/>
        <w:wordWrap/>
        <w:overflowPunct/>
        <w:topLinePunct w:val="0"/>
        <w:autoSpaceDE/>
        <w:autoSpaceDN/>
        <w:bidi w:val="0"/>
        <w:adjustRightInd/>
        <w:snapToGrid/>
        <w:spacing w:line="360" w:lineRule="exact"/>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虫害防治服务项目工作主要内容是“除虫害”消杀及监测、观察、灭除区域内白蚁及红火蚁等，并及时汇报爱卫等主管部门，同时采取环境治理、孳生地控制及其它有效措施相结合的防控办法进行巩固，以更有效地控制片区四害、白蚁及红火蚁孳生范围。</w:t>
      </w:r>
    </w:p>
    <w:p>
      <w:pPr>
        <w:keepNext w:val="0"/>
        <w:keepLines w:val="0"/>
        <w:pageBreakBefore w:val="0"/>
        <w:widowControl w:val="0"/>
        <w:kinsoku/>
        <w:wordWrap/>
        <w:overflowPunct/>
        <w:topLinePunct w:val="0"/>
        <w:autoSpaceDE/>
        <w:autoSpaceDN/>
        <w:bidi w:val="0"/>
        <w:adjustRightInd/>
        <w:snapToGrid/>
        <w:spacing w:line="360" w:lineRule="exact"/>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四害消杀</w:t>
      </w:r>
    </w:p>
    <w:tbl>
      <w:tblPr>
        <w:tblStyle w:val="7"/>
        <w:tblW w:w="83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29"/>
        <w:gridCol w:w="65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1829" w:type="dxa"/>
            <w:vAlign w:val="center"/>
          </w:tcPr>
          <w:p>
            <w:pPr>
              <w:keepNext w:val="0"/>
              <w:keepLines w:val="0"/>
              <w:pageBreakBefore w:val="0"/>
              <w:widowControl w:val="0"/>
              <w:kinsoku/>
              <w:wordWrap/>
              <w:overflowPunct/>
              <w:topLinePunct w:val="0"/>
              <w:bidi w:val="0"/>
              <w:spacing w:line="240" w:lineRule="auto"/>
              <w:ind w:left="0" w:right="0" w:firstLine="420" w:firstLineChars="200"/>
              <w:jc w:val="both"/>
              <w:textAlignment w:val="auto"/>
              <w:rPr>
                <w:rFonts w:hint="eastAsia" w:ascii="宋体" w:hAnsi="宋体" w:eastAsia="宋体" w:cs="宋体"/>
                <w:color w:val="auto"/>
                <w:sz w:val="21"/>
                <w:szCs w:val="21"/>
                <w:highlight w:val="none"/>
                <w:lang w:val="en-US" w:eastAsia="en-US"/>
              </w:rPr>
            </w:pPr>
            <w:r>
              <w:rPr>
                <w:rFonts w:hint="eastAsia" w:ascii="宋体" w:hAnsi="宋体" w:eastAsia="宋体" w:cs="宋体"/>
                <w:color w:val="auto"/>
                <w:sz w:val="21"/>
                <w:szCs w:val="21"/>
                <w:highlight w:val="none"/>
                <w:lang w:val="en-US" w:eastAsia="en-US"/>
              </w:rPr>
              <w:t>防治对象</w:t>
            </w:r>
          </w:p>
        </w:tc>
        <w:tc>
          <w:tcPr>
            <w:tcW w:w="6547" w:type="dxa"/>
            <w:vAlign w:val="top"/>
          </w:tcPr>
          <w:p>
            <w:pPr>
              <w:keepNext w:val="0"/>
              <w:keepLines w:val="0"/>
              <w:pageBreakBefore w:val="0"/>
              <w:widowControl w:val="0"/>
              <w:kinsoku/>
              <w:wordWrap/>
              <w:overflowPunct/>
              <w:topLinePunct w:val="0"/>
              <w:bidi w:val="0"/>
              <w:spacing w:line="240" w:lineRule="auto"/>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老鼠、蚊虫、苍蝇、蟑螂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 w:hRule="atLeast"/>
          <w:jc w:val="center"/>
        </w:trPr>
        <w:tc>
          <w:tcPr>
            <w:tcW w:w="1829" w:type="dxa"/>
            <w:vAlign w:val="center"/>
          </w:tcPr>
          <w:p>
            <w:pPr>
              <w:keepNext w:val="0"/>
              <w:keepLines w:val="0"/>
              <w:pageBreakBefore w:val="0"/>
              <w:widowControl w:val="0"/>
              <w:kinsoku/>
              <w:wordWrap/>
              <w:overflowPunct/>
              <w:topLinePunct w:val="0"/>
              <w:bidi w:val="0"/>
              <w:spacing w:line="240" w:lineRule="auto"/>
              <w:ind w:left="0" w:right="0" w:firstLine="420" w:firstLineChars="200"/>
              <w:jc w:val="both"/>
              <w:textAlignment w:val="auto"/>
              <w:rPr>
                <w:rFonts w:hint="eastAsia" w:ascii="宋体" w:hAnsi="宋体" w:eastAsia="宋体" w:cs="宋体"/>
                <w:color w:val="auto"/>
                <w:sz w:val="21"/>
                <w:szCs w:val="21"/>
                <w:highlight w:val="none"/>
                <w:lang w:val="en-US" w:eastAsia="en-US"/>
              </w:rPr>
            </w:pPr>
            <w:r>
              <w:rPr>
                <w:rFonts w:hint="eastAsia" w:ascii="宋体" w:hAnsi="宋体" w:eastAsia="宋体" w:cs="宋体"/>
                <w:color w:val="auto"/>
                <w:sz w:val="21"/>
                <w:szCs w:val="21"/>
                <w:highlight w:val="none"/>
                <w:lang w:val="en-US" w:eastAsia="en-US"/>
              </w:rPr>
              <w:t>防治目标</w:t>
            </w:r>
          </w:p>
        </w:tc>
        <w:tc>
          <w:tcPr>
            <w:tcW w:w="6547" w:type="dxa"/>
            <w:vAlign w:val="top"/>
          </w:tcPr>
          <w:p>
            <w:pPr>
              <w:keepNext w:val="0"/>
              <w:keepLines w:val="0"/>
              <w:pageBreakBefore w:val="0"/>
              <w:widowControl w:val="0"/>
              <w:kinsoku/>
              <w:wordWrap/>
              <w:overflowPunct/>
              <w:topLinePunct w:val="0"/>
              <w:bidi w:val="0"/>
              <w:spacing w:line="240" w:lineRule="auto"/>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减少四害给游客带来的种种危害，预防生物媒介疾病的发生，改善园区环境质量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829" w:type="dxa"/>
            <w:vAlign w:val="center"/>
          </w:tcPr>
          <w:p>
            <w:pPr>
              <w:keepNext w:val="0"/>
              <w:keepLines w:val="0"/>
              <w:pageBreakBefore w:val="0"/>
              <w:widowControl w:val="0"/>
              <w:kinsoku/>
              <w:wordWrap/>
              <w:overflowPunct/>
              <w:topLinePunct w:val="0"/>
              <w:bidi w:val="0"/>
              <w:spacing w:line="240" w:lineRule="auto"/>
              <w:ind w:left="0" w:right="0" w:firstLine="420" w:firstLineChars="200"/>
              <w:jc w:val="both"/>
              <w:textAlignment w:val="auto"/>
              <w:rPr>
                <w:rFonts w:hint="eastAsia" w:ascii="宋体" w:hAnsi="宋体" w:eastAsia="宋体" w:cs="宋体"/>
                <w:color w:val="auto"/>
                <w:sz w:val="21"/>
                <w:szCs w:val="21"/>
                <w:highlight w:val="none"/>
                <w:lang w:val="en-US" w:eastAsia="en-US"/>
              </w:rPr>
            </w:pPr>
            <w:r>
              <w:rPr>
                <w:rFonts w:hint="eastAsia" w:ascii="宋体" w:hAnsi="宋体" w:eastAsia="宋体" w:cs="宋体"/>
                <w:color w:val="auto"/>
                <w:sz w:val="21"/>
                <w:szCs w:val="21"/>
                <w:highlight w:val="none"/>
                <w:lang w:val="en-US" w:eastAsia="en-US"/>
              </w:rPr>
              <w:t>消杀频率</w:t>
            </w:r>
          </w:p>
        </w:tc>
        <w:tc>
          <w:tcPr>
            <w:tcW w:w="6547" w:type="dxa"/>
            <w:vAlign w:val="top"/>
          </w:tcPr>
          <w:p>
            <w:pPr>
              <w:keepNext w:val="0"/>
              <w:keepLines w:val="0"/>
              <w:pageBreakBefore w:val="0"/>
              <w:widowControl w:val="0"/>
              <w:kinsoku/>
              <w:wordWrap/>
              <w:overflowPunct/>
              <w:topLinePunct w:val="0"/>
              <w:bidi w:val="0"/>
              <w:spacing w:line="240" w:lineRule="auto"/>
              <w:ind w:left="0" w:right="0" w:firstLine="420" w:firstLineChars="200"/>
              <w:jc w:val="both"/>
              <w:textAlignment w:val="auto"/>
              <w:rPr>
                <w:rFonts w:hint="eastAsia" w:ascii="宋体" w:hAnsi="宋体" w:eastAsia="宋体" w:cs="宋体"/>
                <w:color w:val="auto"/>
                <w:sz w:val="21"/>
                <w:szCs w:val="21"/>
                <w:highlight w:val="none"/>
                <w:lang w:val="en-US" w:eastAsia="en-US"/>
              </w:rPr>
            </w:pPr>
            <w:r>
              <w:rPr>
                <w:rFonts w:hint="eastAsia" w:ascii="宋体" w:hAnsi="宋体" w:eastAsia="宋体" w:cs="宋体"/>
                <w:color w:val="auto"/>
                <w:sz w:val="21"/>
                <w:szCs w:val="21"/>
                <w:highlight w:val="none"/>
                <w:lang w:val="en-US" w:eastAsia="en-US"/>
              </w:rPr>
              <w:t>每月不少于4次。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829" w:type="dxa"/>
            <w:vAlign w:val="center"/>
          </w:tcPr>
          <w:p>
            <w:pPr>
              <w:keepNext w:val="0"/>
              <w:keepLines w:val="0"/>
              <w:pageBreakBefore w:val="0"/>
              <w:widowControl w:val="0"/>
              <w:kinsoku/>
              <w:wordWrap/>
              <w:overflowPunct/>
              <w:topLinePunct w:val="0"/>
              <w:bidi w:val="0"/>
              <w:spacing w:line="240" w:lineRule="auto"/>
              <w:ind w:left="0" w:right="0" w:firstLine="420" w:firstLineChars="200"/>
              <w:jc w:val="both"/>
              <w:textAlignment w:val="auto"/>
              <w:rPr>
                <w:rFonts w:hint="eastAsia" w:ascii="宋体" w:hAnsi="宋体" w:eastAsia="宋体" w:cs="宋体"/>
                <w:color w:val="auto"/>
                <w:sz w:val="21"/>
                <w:szCs w:val="21"/>
                <w:highlight w:val="none"/>
                <w:lang w:val="en-US" w:eastAsia="en-US"/>
              </w:rPr>
            </w:pPr>
            <w:r>
              <w:rPr>
                <w:rFonts w:hint="eastAsia" w:ascii="宋体" w:hAnsi="宋体" w:eastAsia="宋体" w:cs="宋体"/>
                <w:color w:val="auto"/>
                <w:sz w:val="21"/>
                <w:szCs w:val="21"/>
                <w:highlight w:val="none"/>
                <w:lang w:val="en-US" w:eastAsia="en-US"/>
              </w:rPr>
              <w:t>防治面积</w:t>
            </w:r>
          </w:p>
        </w:tc>
        <w:tc>
          <w:tcPr>
            <w:tcW w:w="6547" w:type="dxa"/>
            <w:vAlign w:val="top"/>
          </w:tcPr>
          <w:p>
            <w:pPr>
              <w:keepNext w:val="0"/>
              <w:keepLines w:val="0"/>
              <w:pageBreakBefore w:val="0"/>
              <w:widowControl w:val="0"/>
              <w:kinsoku/>
              <w:wordWrap/>
              <w:overflowPunct/>
              <w:topLinePunct w:val="0"/>
              <w:bidi w:val="0"/>
              <w:spacing w:line="240" w:lineRule="auto"/>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36171.44㎡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jc w:val="center"/>
        </w:trPr>
        <w:tc>
          <w:tcPr>
            <w:tcW w:w="1829" w:type="dxa"/>
            <w:vAlign w:val="center"/>
          </w:tcPr>
          <w:p>
            <w:pPr>
              <w:keepNext w:val="0"/>
              <w:keepLines w:val="0"/>
              <w:pageBreakBefore w:val="0"/>
              <w:widowControl w:val="0"/>
              <w:kinsoku/>
              <w:wordWrap/>
              <w:overflowPunct/>
              <w:topLinePunct w:val="0"/>
              <w:bidi w:val="0"/>
              <w:spacing w:line="240" w:lineRule="auto"/>
              <w:ind w:left="0" w:right="0" w:firstLine="420" w:firstLineChars="200"/>
              <w:jc w:val="both"/>
              <w:textAlignment w:val="auto"/>
              <w:rPr>
                <w:rFonts w:hint="eastAsia" w:ascii="宋体" w:hAnsi="宋体" w:eastAsia="宋体" w:cs="宋体"/>
                <w:color w:val="auto"/>
                <w:sz w:val="21"/>
                <w:szCs w:val="21"/>
                <w:highlight w:val="none"/>
                <w:lang w:val="en-US" w:eastAsia="en-US"/>
              </w:rPr>
            </w:pPr>
          </w:p>
          <w:p>
            <w:pPr>
              <w:keepNext w:val="0"/>
              <w:keepLines w:val="0"/>
              <w:pageBreakBefore w:val="0"/>
              <w:widowControl w:val="0"/>
              <w:kinsoku/>
              <w:wordWrap/>
              <w:overflowPunct/>
              <w:topLinePunct w:val="0"/>
              <w:bidi w:val="0"/>
              <w:spacing w:line="240" w:lineRule="auto"/>
              <w:ind w:left="0" w:right="0" w:firstLine="420" w:firstLineChars="200"/>
              <w:jc w:val="both"/>
              <w:textAlignment w:val="auto"/>
              <w:rPr>
                <w:rFonts w:hint="eastAsia" w:ascii="宋体" w:hAnsi="宋体" w:eastAsia="宋体" w:cs="宋体"/>
                <w:color w:val="auto"/>
                <w:sz w:val="21"/>
                <w:szCs w:val="21"/>
                <w:highlight w:val="none"/>
                <w:lang w:val="en-US" w:eastAsia="en-US"/>
              </w:rPr>
            </w:pPr>
            <w:r>
              <w:rPr>
                <w:rFonts w:hint="eastAsia" w:ascii="宋体" w:hAnsi="宋体" w:eastAsia="宋体" w:cs="宋体"/>
                <w:color w:val="auto"/>
                <w:sz w:val="21"/>
                <w:szCs w:val="21"/>
                <w:highlight w:val="none"/>
                <w:lang w:val="en-US" w:eastAsia="en-US"/>
              </w:rPr>
              <w:t>防治区域范围</w:t>
            </w:r>
          </w:p>
        </w:tc>
        <w:tc>
          <w:tcPr>
            <w:tcW w:w="6547" w:type="dxa"/>
            <w:vAlign w:val="top"/>
          </w:tcPr>
          <w:p>
            <w:pPr>
              <w:keepNext w:val="0"/>
              <w:keepLines w:val="0"/>
              <w:pageBreakBefore w:val="0"/>
              <w:widowControl w:val="0"/>
              <w:kinsoku/>
              <w:wordWrap/>
              <w:overflowPunct/>
              <w:topLinePunct w:val="0"/>
              <w:bidi w:val="0"/>
              <w:spacing w:line="240" w:lineRule="auto"/>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重点区域如门区、主要出入口、办公区、建筑物、构筑物、重要景点、专类园区、主园路及两侧等，根据需要，必须涵盖公园实际绿地管养范围</w:t>
            </w:r>
          </w:p>
        </w:tc>
      </w:tr>
    </w:tbl>
    <w:p>
      <w:pPr>
        <w:keepNext w:val="0"/>
        <w:keepLines w:val="0"/>
        <w:pageBreakBefore w:val="0"/>
        <w:widowControl w:val="0"/>
        <w:kinsoku/>
        <w:wordWrap/>
        <w:overflowPunct/>
        <w:topLinePunct w:val="0"/>
        <w:bidi w:val="0"/>
        <w:spacing w:line="240" w:lineRule="auto"/>
        <w:ind w:right="0"/>
        <w:jc w:val="both"/>
        <w:textAlignment w:val="auto"/>
        <w:rPr>
          <w:rFonts w:hint="eastAsia" w:ascii="宋体" w:hAnsi="宋体" w:eastAsia="宋体" w:cs="宋体"/>
          <w:color w:val="auto"/>
          <w:sz w:val="21"/>
          <w:szCs w:val="21"/>
          <w:highlight w:val="none"/>
          <w:lang w:val="en-US" w:eastAsia="zh-CN"/>
        </w:rPr>
      </w:pPr>
    </w:p>
    <w:tbl>
      <w:tblPr>
        <w:tblStyle w:val="7"/>
        <w:tblpPr w:leftFromText="180" w:rightFromText="180" w:vertAnchor="text" w:horzAnchor="page" w:tblpX="1837" w:tblpY="324"/>
        <w:tblOverlap w:val="never"/>
        <w:tblW w:w="83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84"/>
        <w:gridCol w:w="66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1684" w:type="dxa"/>
            <w:vAlign w:val="top"/>
          </w:tcPr>
          <w:p>
            <w:pPr>
              <w:keepNext w:val="0"/>
              <w:keepLines w:val="0"/>
              <w:pageBreakBefore w:val="0"/>
              <w:widowControl w:val="0"/>
              <w:kinsoku/>
              <w:wordWrap/>
              <w:overflowPunct/>
              <w:topLinePunct w:val="0"/>
              <w:bidi w:val="0"/>
              <w:spacing w:line="240" w:lineRule="auto"/>
              <w:ind w:left="0" w:right="0" w:firstLine="420" w:firstLineChars="200"/>
              <w:jc w:val="left"/>
              <w:textAlignment w:val="auto"/>
              <w:rPr>
                <w:rFonts w:hint="eastAsia" w:ascii="宋体" w:hAnsi="宋体" w:eastAsia="宋体" w:cs="宋体"/>
                <w:color w:val="auto"/>
                <w:sz w:val="21"/>
                <w:szCs w:val="21"/>
                <w:highlight w:val="none"/>
                <w:lang w:val="en-US" w:eastAsia="en-US"/>
              </w:rPr>
            </w:pPr>
            <w:r>
              <w:rPr>
                <w:rFonts w:hint="eastAsia" w:ascii="宋体" w:hAnsi="宋体" w:eastAsia="宋体" w:cs="宋体"/>
                <w:color w:val="auto"/>
                <w:sz w:val="21"/>
                <w:szCs w:val="21"/>
                <w:highlight w:val="none"/>
                <w:lang w:val="en-US" w:eastAsia="en-US"/>
              </w:rPr>
              <w:t>防治对象</w:t>
            </w:r>
          </w:p>
        </w:tc>
        <w:tc>
          <w:tcPr>
            <w:tcW w:w="6683" w:type="dxa"/>
            <w:vAlign w:val="top"/>
          </w:tcPr>
          <w:p>
            <w:pPr>
              <w:keepNext w:val="0"/>
              <w:keepLines w:val="0"/>
              <w:pageBreakBefore w:val="0"/>
              <w:widowControl w:val="0"/>
              <w:kinsoku/>
              <w:wordWrap/>
              <w:overflowPunct/>
              <w:topLinePunct w:val="0"/>
              <w:bidi w:val="0"/>
              <w:spacing w:line="240" w:lineRule="auto"/>
              <w:ind w:left="0" w:right="0" w:firstLine="420" w:firstLineChars="200"/>
              <w:jc w:val="left"/>
              <w:textAlignment w:val="auto"/>
              <w:rPr>
                <w:rFonts w:hint="eastAsia" w:ascii="宋体" w:hAnsi="宋体" w:eastAsia="宋体" w:cs="宋体"/>
                <w:color w:val="auto"/>
                <w:sz w:val="21"/>
                <w:szCs w:val="21"/>
                <w:highlight w:val="none"/>
                <w:lang w:val="en-US" w:eastAsia="en-US"/>
              </w:rPr>
            </w:pPr>
            <w:r>
              <w:rPr>
                <w:rFonts w:hint="eastAsia" w:ascii="宋体" w:hAnsi="宋体" w:eastAsia="宋体" w:cs="宋体"/>
                <w:color w:val="auto"/>
                <w:sz w:val="21"/>
                <w:szCs w:val="21"/>
                <w:highlight w:val="none"/>
                <w:lang w:val="en-US" w:eastAsia="en-US"/>
              </w:rPr>
              <w:t>红火蚁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 w:hRule="atLeast"/>
        </w:trPr>
        <w:tc>
          <w:tcPr>
            <w:tcW w:w="1684" w:type="dxa"/>
            <w:vAlign w:val="top"/>
          </w:tcPr>
          <w:p>
            <w:pPr>
              <w:keepNext w:val="0"/>
              <w:keepLines w:val="0"/>
              <w:pageBreakBefore w:val="0"/>
              <w:widowControl w:val="0"/>
              <w:kinsoku/>
              <w:wordWrap/>
              <w:overflowPunct/>
              <w:topLinePunct w:val="0"/>
              <w:bidi w:val="0"/>
              <w:spacing w:line="240" w:lineRule="auto"/>
              <w:ind w:left="0" w:right="0" w:firstLine="420" w:firstLineChars="200"/>
              <w:jc w:val="left"/>
              <w:textAlignment w:val="auto"/>
              <w:rPr>
                <w:rFonts w:hint="eastAsia" w:ascii="宋体" w:hAnsi="宋体" w:eastAsia="宋体" w:cs="宋体"/>
                <w:color w:val="auto"/>
                <w:sz w:val="21"/>
                <w:szCs w:val="21"/>
                <w:highlight w:val="none"/>
                <w:lang w:val="en-US" w:eastAsia="en-US"/>
              </w:rPr>
            </w:pPr>
            <w:r>
              <w:rPr>
                <w:rFonts w:hint="eastAsia" w:ascii="宋体" w:hAnsi="宋体" w:eastAsia="宋体" w:cs="宋体"/>
                <w:color w:val="auto"/>
                <w:sz w:val="21"/>
                <w:szCs w:val="21"/>
                <w:highlight w:val="none"/>
                <w:lang w:val="en-US" w:eastAsia="en-US"/>
              </w:rPr>
              <w:t>防治目标</w:t>
            </w:r>
          </w:p>
        </w:tc>
        <w:tc>
          <w:tcPr>
            <w:tcW w:w="6683" w:type="dxa"/>
            <w:vAlign w:val="top"/>
          </w:tcPr>
          <w:p>
            <w:pPr>
              <w:keepNext w:val="0"/>
              <w:keepLines w:val="0"/>
              <w:pageBreakBefore w:val="0"/>
              <w:widowControl w:val="0"/>
              <w:kinsoku/>
              <w:wordWrap/>
              <w:overflowPunct/>
              <w:topLinePunct w:val="0"/>
              <w:bidi w:val="0"/>
              <w:spacing w:line="240" w:lineRule="auto"/>
              <w:ind w:left="0" w:right="0" w:firstLine="420" w:firstLineChars="20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减少红火蚁对建筑物及绿化环境的危害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 w:hRule="atLeast"/>
        </w:trPr>
        <w:tc>
          <w:tcPr>
            <w:tcW w:w="1684" w:type="dxa"/>
            <w:vAlign w:val="top"/>
          </w:tcPr>
          <w:p>
            <w:pPr>
              <w:keepNext w:val="0"/>
              <w:keepLines w:val="0"/>
              <w:pageBreakBefore w:val="0"/>
              <w:widowControl w:val="0"/>
              <w:kinsoku/>
              <w:wordWrap/>
              <w:overflowPunct/>
              <w:topLinePunct w:val="0"/>
              <w:bidi w:val="0"/>
              <w:spacing w:line="240" w:lineRule="auto"/>
              <w:ind w:left="0" w:right="0" w:firstLine="420" w:firstLineChars="200"/>
              <w:jc w:val="left"/>
              <w:textAlignment w:val="auto"/>
              <w:rPr>
                <w:rFonts w:hint="eastAsia" w:ascii="宋体" w:hAnsi="宋体" w:eastAsia="宋体" w:cs="宋体"/>
                <w:color w:val="auto"/>
                <w:sz w:val="21"/>
                <w:szCs w:val="21"/>
                <w:highlight w:val="none"/>
                <w:lang w:val="en-US" w:eastAsia="en-US"/>
              </w:rPr>
            </w:pPr>
            <w:r>
              <w:rPr>
                <w:rFonts w:hint="eastAsia" w:ascii="宋体" w:hAnsi="宋体" w:eastAsia="宋体" w:cs="宋体"/>
                <w:color w:val="auto"/>
                <w:sz w:val="21"/>
                <w:szCs w:val="21"/>
                <w:highlight w:val="none"/>
                <w:lang w:val="en-US" w:eastAsia="en-US"/>
              </w:rPr>
              <w:t>消杀频率</w:t>
            </w:r>
          </w:p>
        </w:tc>
        <w:tc>
          <w:tcPr>
            <w:tcW w:w="6683" w:type="dxa"/>
            <w:vAlign w:val="top"/>
          </w:tcPr>
          <w:p>
            <w:pPr>
              <w:keepNext w:val="0"/>
              <w:keepLines w:val="0"/>
              <w:pageBreakBefore w:val="0"/>
              <w:widowControl w:val="0"/>
              <w:kinsoku/>
              <w:wordWrap/>
              <w:overflowPunct/>
              <w:topLinePunct w:val="0"/>
              <w:bidi w:val="0"/>
              <w:spacing w:line="240" w:lineRule="auto"/>
              <w:ind w:left="0" w:right="0" w:firstLine="420" w:firstLineChars="200"/>
              <w:jc w:val="left"/>
              <w:textAlignment w:val="auto"/>
              <w:rPr>
                <w:rFonts w:hint="eastAsia" w:ascii="宋体" w:hAnsi="宋体" w:eastAsia="宋体" w:cs="宋体"/>
                <w:color w:val="auto"/>
                <w:sz w:val="21"/>
                <w:szCs w:val="21"/>
                <w:highlight w:val="none"/>
                <w:lang w:val="en-US" w:eastAsia="en-US"/>
              </w:rPr>
            </w:pPr>
            <w:r>
              <w:rPr>
                <w:rFonts w:hint="eastAsia" w:ascii="宋体" w:hAnsi="宋体" w:eastAsia="宋体" w:cs="宋体"/>
                <w:color w:val="auto"/>
                <w:sz w:val="21"/>
                <w:szCs w:val="21"/>
                <w:highlight w:val="none"/>
                <w:lang w:val="en-US" w:eastAsia="en-US"/>
              </w:rPr>
              <w:t>每月不少于4次。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 w:hRule="atLeast"/>
        </w:trPr>
        <w:tc>
          <w:tcPr>
            <w:tcW w:w="1684" w:type="dxa"/>
            <w:vAlign w:val="top"/>
          </w:tcPr>
          <w:p>
            <w:pPr>
              <w:keepNext w:val="0"/>
              <w:keepLines w:val="0"/>
              <w:pageBreakBefore w:val="0"/>
              <w:widowControl w:val="0"/>
              <w:kinsoku/>
              <w:wordWrap/>
              <w:overflowPunct/>
              <w:topLinePunct w:val="0"/>
              <w:bidi w:val="0"/>
              <w:spacing w:line="240" w:lineRule="auto"/>
              <w:ind w:left="0" w:right="0" w:firstLine="420" w:firstLineChars="200"/>
              <w:jc w:val="left"/>
              <w:textAlignment w:val="auto"/>
              <w:rPr>
                <w:rFonts w:hint="eastAsia" w:ascii="宋体" w:hAnsi="宋体" w:eastAsia="宋体" w:cs="宋体"/>
                <w:color w:val="auto"/>
                <w:sz w:val="21"/>
                <w:szCs w:val="21"/>
                <w:highlight w:val="none"/>
                <w:lang w:val="en-US" w:eastAsia="en-US"/>
              </w:rPr>
            </w:pPr>
            <w:r>
              <w:rPr>
                <w:rFonts w:hint="eastAsia" w:ascii="宋体" w:hAnsi="宋体" w:eastAsia="宋体" w:cs="宋体"/>
                <w:color w:val="auto"/>
                <w:sz w:val="21"/>
                <w:szCs w:val="21"/>
                <w:highlight w:val="none"/>
                <w:lang w:val="en-US" w:eastAsia="en-US"/>
              </w:rPr>
              <w:t>防治面积</w:t>
            </w:r>
          </w:p>
        </w:tc>
        <w:tc>
          <w:tcPr>
            <w:tcW w:w="6683" w:type="dxa"/>
            <w:vAlign w:val="top"/>
          </w:tcPr>
          <w:p>
            <w:pPr>
              <w:keepNext w:val="0"/>
              <w:keepLines w:val="0"/>
              <w:pageBreakBefore w:val="0"/>
              <w:widowControl w:val="0"/>
              <w:kinsoku/>
              <w:wordWrap/>
              <w:overflowPunct/>
              <w:topLinePunct w:val="0"/>
              <w:bidi w:val="0"/>
              <w:spacing w:line="240" w:lineRule="auto"/>
              <w:ind w:left="0" w:right="0" w:firstLine="420" w:firstLineChars="200"/>
              <w:jc w:val="left"/>
              <w:textAlignment w:val="auto"/>
              <w:rPr>
                <w:rFonts w:hint="eastAsia" w:ascii="宋体" w:hAnsi="宋体" w:eastAsia="宋体" w:cs="宋体"/>
                <w:color w:val="auto"/>
                <w:sz w:val="21"/>
                <w:szCs w:val="21"/>
                <w:highlight w:val="none"/>
                <w:lang w:val="en-US" w:eastAsia="en-US"/>
              </w:rPr>
            </w:pPr>
            <w:r>
              <w:rPr>
                <w:rFonts w:hint="eastAsia" w:ascii="宋体" w:hAnsi="宋体" w:eastAsia="宋体" w:cs="宋体"/>
                <w:color w:val="auto"/>
                <w:sz w:val="21"/>
                <w:szCs w:val="21"/>
                <w:highlight w:val="none"/>
                <w:lang w:val="en-US" w:eastAsia="zh-CN"/>
              </w:rPr>
              <w:t>36171.44㎡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1684" w:type="dxa"/>
            <w:vAlign w:val="top"/>
          </w:tcPr>
          <w:p>
            <w:pPr>
              <w:keepNext w:val="0"/>
              <w:keepLines w:val="0"/>
              <w:pageBreakBefore w:val="0"/>
              <w:widowControl w:val="0"/>
              <w:kinsoku/>
              <w:wordWrap/>
              <w:overflowPunct/>
              <w:topLinePunct w:val="0"/>
              <w:bidi w:val="0"/>
              <w:spacing w:line="240" w:lineRule="auto"/>
              <w:ind w:left="0" w:right="0" w:firstLine="420" w:firstLineChars="200"/>
              <w:jc w:val="left"/>
              <w:textAlignment w:val="auto"/>
              <w:rPr>
                <w:rFonts w:hint="eastAsia" w:ascii="宋体" w:hAnsi="宋体" w:eastAsia="宋体" w:cs="宋体"/>
                <w:color w:val="auto"/>
                <w:sz w:val="21"/>
                <w:szCs w:val="21"/>
                <w:highlight w:val="none"/>
                <w:lang w:val="en-US" w:eastAsia="en-US"/>
              </w:rPr>
            </w:pPr>
          </w:p>
          <w:p>
            <w:pPr>
              <w:keepNext w:val="0"/>
              <w:keepLines w:val="0"/>
              <w:pageBreakBefore w:val="0"/>
              <w:widowControl w:val="0"/>
              <w:kinsoku/>
              <w:wordWrap/>
              <w:overflowPunct/>
              <w:topLinePunct w:val="0"/>
              <w:bidi w:val="0"/>
              <w:spacing w:line="240" w:lineRule="auto"/>
              <w:ind w:right="0" w:firstLine="210" w:firstLineChars="100"/>
              <w:jc w:val="left"/>
              <w:textAlignment w:val="auto"/>
              <w:rPr>
                <w:rFonts w:hint="eastAsia" w:ascii="宋体" w:hAnsi="宋体" w:eastAsia="宋体" w:cs="宋体"/>
                <w:color w:val="auto"/>
                <w:sz w:val="21"/>
                <w:szCs w:val="21"/>
                <w:highlight w:val="none"/>
                <w:lang w:val="en-US" w:eastAsia="en-US"/>
              </w:rPr>
            </w:pPr>
            <w:r>
              <w:rPr>
                <w:rFonts w:hint="eastAsia" w:ascii="宋体" w:hAnsi="宋体" w:eastAsia="宋体" w:cs="宋体"/>
                <w:color w:val="auto"/>
                <w:sz w:val="21"/>
                <w:szCs w:val="21"/>
                <w:highlight w:val="none"/>
                <w:lang w:val="en-US" w:eastAsia="en-US"/>
              </w:rPr>
              <w:t>防治区域范围</w:t>
            </w:r>
          </w:p>
        </w:tc>
        <w:tc>
          <w:tcPr>
            <w:tcW w:w="6683" w:type="dxa"/>
            <w:vAlign w:val="top"/>
          </w:tcPr>
          <w:p>
            <w:pPr>
              <w:keepNext w:val="0"/>
              <w:keepLines w:val="0"/>
              <w:pageBreakBefore w:val="0"/>
              <w:widowControl w:val="0"/>
              <w:kinsoku/>
              <w:wordWrap/>
              <w:overflowPunct/>
              <w:topLinePunct w:val="0"/>
              <w:bidi w:val="0"/>
              <w:spacing w:line="240" w:lineRule="auto"/>
              <w:ind w:left="0" w:right="0" w:firstLine="420" w:firstLineChars="20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防治范围内的红火蚁孳生地，特别是人流量大、集中的门区、广场、景点等集散场地，以及与住宅、学校等相邻绿地，根据需要，必须涵盖公园实际绿地管养范围。</w:t>
            </w:r>
          </w:p>
        </w:tc>
      </w:tr>
    </w:tbl>
    <w:p>
      <w:pPr>
        <w:keepNext w:val="0"/>
        <w:keepLines w:val="0"/>
        <w:pageBreakBefore w:val="0"/>
        <w:widowControl w:val="0"/>
        <w:kinsoku/>
        <w:wordWrap/>
        <w:overflowPunct/>
        <w:topLinePunct w:val="0"/>
        <w:bidi w:val="0"/>
        <w:spacing w:line="240" w:lineRule="auto"/>
        <w:ind w:left="0" w:right="0" w:firstLine="420" w:firstLineChars="20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红火蚁防治</w:t>
      </w:r>
    </w:p>
    <w:p>
      <w:pPr>
        <w:keepNext w:val="0"/>
        <w:keepLines w:val="0"/>
        <w:pageBreakBefore w:val="0"/>
        <w:widowControl w:val="0"/>
        <w:kinsoku/>
        <w:wordWrap/>
        <w:overflowPunct/>
        <w:topLinePunct w:val="0"/>
        <w:bidi w:val="0"/>
        <w:spacing w:line="240" w:lineRule="auto"/>
        <w:ind w:left="0" w:right="0" w:firstLine="420" w:firstLineChars="200"/>
        <w:jc w:val="left"/>
        <w:textAlignment w:val="auto"/>
        <w:rPr>
          <w:rFonts w:hint="eastAsia" w:ascii="宋体" w:hAnsi="宋体" w:eastAsia="宋体" w:cs="宋体"/>
          <w:color w:val="auto"/>
          <w:sz w:val="21"/>
          <w:szCs w:val="21"/>
          <w:highlight w:val="none"/>
          <w:lang w:val="en-US" w:eastAsia="zh-CN"/>
        </w:rPr>
      </w:pPr>
    </w:p>
    <w:p>
      <w:pPr>
        <w:keepNext w:val="0"/>
        <w:keepLines w:val="0"/>
        <w:pageBreakBefore w:val="0"/>
        <w:widowControl w:val="0"/>
        <w:kinsoku/>
        <w:wordWrap/>
        <w:overflowPunct/>
        <w:topLinePunct w:val="0"/>
        <w:bidi w:val="0"/>
        <w:spacing w:line="240" w:lineRule="auto"/>
        <w:ind w:left="0" w:right="0" w:firstLine="420" w:firstLineChars="200"/>
        <w:jc w:val="left"/>
        <w:textAlignment w:val="auto"/>
        <w:rPr>
          <w:rFonts w:hint="eastAsia" w:ascii="宋体" w:hAnsi="宋体" w:eastAsia="宋体" w:cs="宋体"/>
          <w:color w:val="auto"/>
          <w:sz w:val="21"/>
          <w:szCs w:val="21"/>
          <w:highlight w:val="none"/>
          <w:lang w:val="en-US" w:eastAsia="en-US"/>
        </w:rPr>
      </w:pPr>
      <w:r>
        <w:rPr>
          <w:rFonts w:hint="eastAsia" w:ascii="宋体" w:hAnsi="宋体" w:eastAsia="宋体" w:cs="宋体"/>
          <w:color w:val="auto"/>
          <w:sz w:val="21"/>
          <w:szCs w:val="21"/>
          <w:highlight w:val="none"/>
          <w:lang w:val="en-US" w:eastAsia="zh-CN"/>
        </w:rPr>
        <w:t>白蚁防治</w:t>
      </w:r>
    </w:p>
    <w:tbl>
      <w:tblPr>
        <w:tblStyle w:val="7"/>
        <w:tblW w:w="83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2"/>
        <w:gridCol w:w="66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jc w:val="center"/>
        </w:trPr>
        <w:tc>
          <w:tcPr>
            <w:tcW w:w="1692" w:type="dxa"/>
            <w:vAlign w:val="top"/>
          </w:tcPr>
          <w:p>
            <w:pPr>
              <w:keepNext w:val="0"/>
              <w:keepLines w:val="0"/>
              <w:pageBreakBefore w:val="0"/>
              <w:widowControl w:val="0"/>
              <w:kinsoku/>
              <w:wordWrap/>
              <w:overflowPunct/>
              <w:topLinePunct w:val="0"/>
              <w:bidi w:val="0"/>
              <w:spacing w:line="240" w:lineRule="auto"/>
              <w:ind w:left="0" w:right="0" w:firstLine="420" w:firstLineChars="200"/>
              <w:jc w:val="left"/>
              <w:textAlignment w:val="auto"/>
              <w:rPr>
                <w:rFonts w:hint="eastAsia" w:ascii="宋体" w:hAnsi="宋体" w:eastAsia="宋体" w:cs="宋体"/>
                <w:color w:val="auto"/>
                <w:sz w:val="21"/>
                <w:szCs w:val="21"/>
                <w:highlight w:val="none"/>
                <w:lang w:val="en-US" w:eastAsia="en-US"/>
              </w:rPr>
            </w:pPr>
            <w:r>
              <w:rPr>
                <w:rFonts w:hint="eastAsia" w:ascii="宋体" w:hAnsi="宋体" w:eastAsia="宋体" w:cs="宋体"/>
                <w:color w:val="auto"/>
                <w:sz w:val="21"/>
                <w:szCs w:val="21"/>
                <w:highlight w:val="none"/>
                <w:lang w:val="en-US" w:eastAsia="en-US"/>
              </w:rPr>
              <w:t>防治对象</w:t>
            </w:r>
          </w:p>
        </w:tc>
        <w:tc>
          <w:tcPr>
            <w:tcW w:w="6658" w:type="dxa"/>
            <w:vAlign w:val="top"/>
          </w:tcPr>
          <w:p>
            <w:pPr>
              <w:keepNext w:val="0"/>
              <w:keepLines w:val="0"/>
              <w:pageBreakBefore w:val="0"/>
              <w:widowControl w:val="0"/>
              <w:kinsoku/>
              <w:wordWrap/>
              <w:overflowPunct/>
              <w:topLinePunct w:val="0"/>
              <w:bidi w:val="0"/>
              <w:spacing w:line="240" w:lineRule="auto"/>
              <w:ind w:left="0" w:right="0" w:firstLine="420" w:firstLineChars="200"/>
              <w:jc w:val="left"/>
              <w:textAlignment w:val="auto"/>
              <w:rPr>
                <w:rFonts w:hint="eastAsia" w:ascii="宋体" w:hAnsi="宋体" w:eastAsia="宋体" w:cs="宋体"/>
                <w:color w:val="auto"/>
                <w:sz w:val="21"/>
                <w:szCs w:val="21"/>
                <w:highlight w:val="none"/>
                <w:lang w:val="en-US" w:eastAsia="en-US"/>
              </w:rPr>
            </w:pPr>
            <w:r>
              <w:rPr>
                <w:rFonts w:hint="eastAsia" w:ascii="宋体" w:hAnsi="宋体" w:eastAsia="宋体" w:cs="宋体"/>
                <w:color w:val="auto"/>
                <w:sz w:val="21"/>
                <w:szCs w:val="21"/>
                <w:highlight w:val="none"/>
                <w:lang w:val="en-US" w:eastAsia="en-US"/>
              </w:rPr>
              <w:t>白蚁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jc w:val="center"/>
        </w:trPr>
        <w:tc>
          <w:tcPr>
            <w:tcW w:w="1692" w:type="dxa"/>
            <w:vAlign w:val="top"/>
          </w:tcPr>
          <w:p>
            <w:pPr>
              <w:keepNext w:val="0"/>
              <w:keepLines w:val="0"/>
              <w:pageBreakBefore w:val="0"/>
              <w:widowControl w:val="0"/>
              <w:kinsoku/>
              <w:wordWrap/>
              <w:overflowPunct/>
              <w:topLinePunct w:val="0"/>
              <w:bidi w:val="0"/>
              <w:spacing w:line="240" w:lineRule="auto"/>
              <w:ind w:left="0" w:right="0" w:firstLine="420" w:firstLineChars="200"/>
              <w:jc w:val="left"/>
              <w:textAlignment w:val="auto"/>
              <w:rPr>
                <w:rFonts w:hint="eastAsia" w:ascii="宋体" w:hAnsi="宋体" w:eastAsia="宋体" w:cs="宋体"/>
                <w:color w:val="auto"/>
                <w:sz w:val="21"/>
                <w:szCs w:val="21"/>
                <w:highlight w:val="none"/>
                <w:lang w:val="en-US" w:eastAsia="en-US"/>
              </w:rPr>
            </w:pPr>
            <w:r>
              <w:rPr>
                <w:rFonts w:hint="eastAsia" w:ascii="宋体" w:hAnsi="宋体" w:eastAsia="宋体" w:cs="宋体"/>
                <w:color w:val="auto"/>
                <w:sz w:val="21"/>
                <w:szCs w:val="21"/>
                <w:highlight w:val="none"/>
                <w:lang w:val="en-US" w:eastAsia="en-US"/>
              </w:rPr>
              <w:t>防治目标</w:t>
            </w:r>
          </w:p>
        </w:tc>
        <w:tc>
          <w:tcPr>
            <w:tcW w:w="6658" w:type="dxa"/>
            <w:vAlign w:val="top"/>
          </w:tcPr>
          <w:p>
            <w:pPr>
              <w:keepNext w:val="0"/>
              <w:keepLines w:val="0"/>
              <w:pageBreakBefore w:val="0"/>
              <w:widowControl w:val="0"/>
              <w:kinsoku/>
              <w:wordWrap/>
              <w:overflowPunct/>
              <w:topLinePunct w:val="0"/>
              <w:bidi w:val="0"/>
              <w:spacing w:line="240" w:lineRule="auto"/>
              <w:ind w:left="0" w:right="0" w:firstLine="420" w:firstLineChars="20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减少白蚁对建筑物及绿化环境的危害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jc w:val="center"/>
        </w:trPr>
        <w:tc>
          <w:tcPr>
            <w:tcW w:w="1692" w:type="dxa"/>
            <w:vAlign w:val="top"/>
          </w:tcPr>
          <w:p>
            <w:pPr>
              <w:keepNext w:val="0"/>
              <w:keepLines w:val="0"/>
              <w:pageBreakBefore w:val="0"/>
              <w:widowControl w:val="0"/>
              <w:kinsoku/>
              <w:wordWrap/>
              <w:overflowPunct/>
              <w:topLinePunct w:val="0"/>
              <w:bidi w:val="0"/>
              <w:spacing w:line="240" w:lineRule="auto"/>
              <w:ind w:left="0" w:right="0" w:firstLine="420" w:firstLineChars="200"/>
              <w:jc w:val="left"/>
              <w:textAlignment w:val="auto"/>
              <w:rPr>
                <w:rFonts w:hint="eastAsia" w:ascii="宋体" w:hAnsi="宋体" w:eastAsia="宋体" w:cs="宋体"/>
                <w:color w:val="auto"/>
                <w:sz w:val="21"/>
                <w:szCs w:val="21"/>
                <w:highlight w:val="none"/>
                <w:lang w:val="en-US" w:eastAsia="en-US"/>
              </w:rPr>
            </w:pPr>
            <w:r>
              <w:rPr>
                <w:rFonts w:hint="eastAsia" w:ascii="宋体" w:hAnsi="宋体" w:eastAsia="宋体" w:cs="宋体"/>
                <w:color w:val="auto"/>
                <w:sz w:val="21"/>
                <w:szCs w:val="21"/>
                <w:highlight w:val="none"/>
                <w:lang w:val="en-US" w:eastAsia="en-US"/>
              </w:rPr>
              <w:t>消杀频率</w:t>
            </w:r>
          </w:p>
        </w:tc>
        <w:tc>
          <w:tcPr>
            <w:tcW w:w="6658" w:type="dxa"/>
            <w:vAlign w:val="top"/>
          </w:tcPr>
          <w:p>
            <w:pPr>
              <w:keepNext w:val="0"/>
              <w:keepLines w:val="0"/>
              <w:pageBreakBefore w:val="0"/>
              <w:widowControl w:val="0"/>
              <w:kinsoku/>
              <w:wordWrap/>
              <w:overflowPunct/>
              <w:topLinePunct w:val="0"/>
              <w:bidi w:val="0"/>
              <w:spacing w:line="240" w:lineRule="auto"/>
              <w:ind w:left="0" w:right="0" w:firstLine="420" w:firstLineChars="200"/>
              <w:jc w:val="left"/>
              <w:textAlignment w:val="auto"/>
              <w:rPr>
                <w:rFonts w:hint="eastAsia" w:ascii="宋体" w:hAnsi="宋体" w:eastAsia="宋体" w:cs="宋体"/>
                <w:color w:val="auto"/>
                <w:sz w:val="21"/>
                <w:szCs w:val="21"/>
                <w:highlight w:val="none"/>
                <w:lang w:val="en-US" w:eastAsia="en-US"/>
              </w:rPr>
            </w:pPr>
            <w:r>
              <w:rPr>
                <w:rFonts w:hint="eastAsia" w:ascii="宋体" w:hAnsi="宋体" w:eastAsia="宋体" w:cs="宋体"/>
                <w:color w:val="auto"/>
                <w:sz w:val="21"/>
                <w:szCs w:val="21"/>
                <w:highlight w:val="none"/>
                <w:lang w:val="en-US" w:eastAsia="en-US"/>
              </w:rPr>
              <w:t>每月不少于4次。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jc w:val="center"/>
        </w:trPr>
        <w:tc>
          <w:tcPr>
            <w:tcW w:w="1692" w:type="dxa"/>
            <w:vAlign w:val="top"/>
          </w:tcPr>
          <w:p>
            <w:pPr>
              <w:keepNext w:val="0"/>
              <w:keepLines w:val="0"/>
              <w:pageBreakBefore w:val="0"/>
              <w:widowControl w:val="0"/>
              <w:kinsoku/>
              <w:wordWrap/>
              <w:overflowPunct/>
              <w:topLinePunct w:val="0"/>
              <w:bidi w:val="0"/>
              <w:spacing w:line="240" w:lineRule="auto"/>
              <w:ind w:left="0" w:right="0" w:firstLine="420" w:firstLineChars="200"/>
              <w:jc w:val="left"/>
              <w:textAlignment w:val="auto"/>
              <w:rPr>
                <w:rFonts w:hint="eastAsia" w:ascii="宋体" w:hAnsi="宋体" w:eastAsia="宋体" w:cs="宋体"/>
                <w:color w:val="auto"/>
                <w:sz w:val="21"/>
                <w:szCs w:val="21"/>
                <w:highlight w:val="none"/>
                <w:lang w:val="en-US" w:eastAsia="en-US"/>
              </w:rPr>
            </w:pPr>
            <w:r>
              <w:rPr>
                <w:rFonts w:hint="eastAsia" w:ascii="宋体" w:hAnsi="宋体" w:eastAsia="宋体" w:cs="宋体"/>
                <w:color w:val="auto"/>
                <w:sz w:val="21"/>
                <w:szCs w:val="21"/>
                <w:highlight w:val="none"/>
                <w:lang w:val="en-US" w:eastAsia="en-US"/>
              </w:rPr>
              <w:t>防治面积</w:t>
            </w:r>
          </w:p>
        </w:tc>
        <w:tc>
          <w:tcPr>
            <w:tcW w:w="6658" w:type="dxa"/>
            <w:vAlign w:val="top"/>
          </w:tcPr>
          <w:p>
            <w:pPr>
              <w:keepNext w:val="0"/>
              <w:keepLines w:val="0"/>
              <w:pageBreakBefore w:val="0"/>
              <w:widowControl w:val="0"/>
              <w:kinsoku/>
              <w:wordWrap/>
              <w:overflowPunct/>
              <w:topLinePunct w:val="0"/>
              <w:bidi w:val="0"/>
              <w:spacing w:line="240" w:lineRule="auto"/>
              <w:ind w:left="0" w:right="0" w:firstLine="420" w:firstLineChars="200"/>
              <w:jc w:val="left"/>
              <w:textAlignment w:val="auto"/>
              <w:rPr>
                <w:rFonts w:hint="eastAsia" w:ascii="宋体" w:hAnsi="宋体" w:eastAsia="宋体" w:cs="宋体"/>
                <w:color w:val="auto"/>
                <w:sz w:val="21"/>
                <w:szCs w:val="21"/>
                <w:highlight w:val="none"/>
                <w:lang w:val="en-US" w:eastAsia="en-US"/>
              </w:rPr>
            </w:pPr>
            <w:r>
              <w:rPr>
                <w:rFonts w:hint="eastAsia" w:ascii="宋体" w:hAnsi="宋体" w:eastAsia="宋体" w:cs="宋体"/>
                <w:color w:val="auto"/>
                <w:sz w:val="21"/>
                <w:szCs w:val="21"/>
                <w:highlight w:val="none"/>
                <w:lang w:val="en-US" w:eastAsia="zh-CN"/>
              </w:rPr>
              <w:t>36171.44㎡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 w:hRule="atLeast"/>
          <w:jc w:val="center"/>
        </w:trPr>
        <w:tc>
          <w:tcPr>
            <w:tcW w:w="1692" w:type="dxa"/>
            <w:vAlign w:val="top"/>
          </w:tcPr>
          <w:p>
            <w:pPr>
              <w:keepNext w:val="0"/>
              <w:keepLines w:val="0"/>
              <w:pageBreakBefore w:val="0"/>
              <w:widowControl w:val="0"/>
              <w:kinsoku/>
              <w:wordWrap/>
              <w:overflowPunct/>
              <w:topLinePunct w:val="0"/>
              <w:bidi w:val="0"/>
              <w:spacing w:line="240" w:lineRule="auto"/>
              <w:ind w:left="0" w:right="0" w:firstLine="420" w:firstLineChars="200"/>
              <w:jc w:val="left"/>
              <w:textAlignment w:val="auto"/>
              <w:rPr>
                <w:rFonts w:hint="eastAsia" w:ascii="宋体" w:hAnsi="宋体" w:eastAsia="宋体" w:cs="宋体"/>
                <w:color w:val="auto"/>
                <w:sz w:val="21"/>
                <w:szCs w:val="21"/>
                <w:highlight w:val="none"/>
                <w:lang w:val="en-US" w:eastAsia="en-US"/>
              </w:rPr>
            </w:pPr>
          </w:p>
          <w:p>
            <w:pPr>
              <w:keepNext w:val="0"/>
              <w:keepLines w:val="0"/>
              <w:pageBreakBefore w:val="0"/>
              <w:widowControl w:val="0"/>
              <w:kinsoku/>
              <w:wordWrap/>
              <w:overflowPunct/>
              <w:topLinePunct w:val="0"/>
              <w:bidi w:val="0"/>
              <w:spacing w:line="240" w:lineRule="auto"/>
              <w:ind w:right="0" w:firstLine="210" w:firstLineChars="100"/>
              <w:jc w:val="left"/>
              <w:textAlignment w:val="auto"/>
              <w:rPr>
                <w:rFonts w:hint="eastAsia" w:ascii="宋体" w:hAnsi="宋体" w:eastAsia="宋体" w:cs="宋体"/>
                <w:color w:val="auto"/>
                <w:sz w:val="21"/>
                <w:szCs w:val="21"/>
                <w:highlight w:val="none"/>
                <w:lang w:val="en-US" w:eastAsia="en-US"/>
              </w:rPr>
            </w:pPr>
            <w:r>
              <w:rPr>
                <w:rFonts w:hint="eastAsia" w:ascii="宋体" w:hAnsi="宋体" w:eastAsia="宋体" w:cs="宋体"/>
                <w:color w:val="auto"/>
                <w:sz w:val="21"/>
                <w:szCs w:val="21"/>
                <w:highlight w:val="none"/>
                <w:lang w:val="en-US" w:eastAsia="en-US"/>
              </w:rPr>
              <w:t>防治区域范围</w:t>
            </w:r>
          </w:p>
        </w:tc>
        <w:tc>
          <w:tcPr>
            <w:tcW w:w="6658" w:type="dxa"/>
            <w:vAlign w:val="top"/>
          </w:tcPr>
          <w:p>
            <w:pPr>
              <w:keepNext w:val="0"/>
              <w:keepLines w:val="0"/>
              <w:pageBreakBefore w:val="0"/>
              <w:widowControl w:val="0"/>
              <w:kinsoku/>
              <w:wordWrap/>
              <w:overflowPunct/>
              <w:topLinePunct w:val="0"/>
              <w:bidi w:val="0"/>
              <w:spacing w:line="240" w:lineRule="auto"/>
              <w:ind w:left="0" w:right="0" w:firstLine="420" w:firstLineChars="20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重点预防建筑危害、树木倒伏等安全隐患，包括园内建筑物、构筑物等设施及高大乔木集中的各类绿地，根据需要，必须涵盖公园实际绿地管养范围。</w:t>
            </w:r>
          </w:p>
        </w:tc>
      </w:tr>
    </w:tbl>
    <w:p>
      <w:pPr>
        <w:keepNext w:val="0"/>
        <w:keepLines w:val="0"/>
        <w:pageBreakBefore w:val="0"/>
        <w:widowControl w:val="0"/>
        <w:kinsoku/>
        <w:wordWrap/>
        <w:overflowPunct/>
        <w:topLinePunct w:val="0"/>
        <w:bidi w:val="0"/>
        <w:spacing w:line="240" w:lineRule="auto"/>
        <w:ind w:left="0" w:right="0" w:firstLine="420" w:firstLineChars="200"/>
        <w:jc w:val="both"/>
        <w:textAlignment w:val="auto"/>
        <w:rPr>
          <w:rFonts w:hint="eastAsia" w:ascii="宋体" w:hAnsi="宋体" w:eastAsia="宋体" w:cs="宋体"/>
          <w:color w:val="auto"/>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left="0" w:right="0" w:firstLine="422" w:firstLineChars="200"/>
        <w:jc w:val="both"/>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（四）水电维修及设施维护要求</w:t>
      </w:r>
    </w:p>
    <w:p>
      <w:pPr>
        <w:keepNext w:val="0"/>
        <w:keepLines w:val="0"/>
        <w:pageBreakBefore w:val="0"/>
        <w:widowControl w:val="0"/>
        <w:kinsoku/>
        <w:wordWrap/>
        <w:overflowPunct/>
        <w:topLinePunct w:val="0"/>
        <w:autoSpaceDE/>
        <w:autoSpaceDN/>
        <w:bidi w:val="0"/>
        <w:adjustRightInd/>
        <w:snapToGrid/>
        <w:spacing w:line="360" w:lineRule="exact"/>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每天应巡查辖区内水管、水龙头、路灯及照明设备，发现问题应及时处理，杜绝浪费。对各开关、用电器设备每周检查一次，要反映的问题应在24小时内解决。水电工要对机房机械设备要经常保养，对机房工具要妥善保管，如有失落，照价赔偿。机房工具不得用作私用，因工作损坏工具的应及时反映并上报进行更新。</w:t>
      </w:r>
    </w:p>
    <w:p>
      <w:pPr>
        <w:keepNext w:val="0"/>
        <w:keepLines w:val="0"/>
        <w:pageBreakBefore w:val="0"/>
        <w:widowControl w:val="0"/>
        <w:kinsoku/>
        <w:wordWrap/>
        <w:overflowPunct/>
        <w:topLinePunct w:val="0"/>
        <w:autoSpaceDE/>
        <w:autoSpaceDN/>
        <w:bidi w:val="0"/>
        <w:adjustRightInd/>
        <w:snapToGrid/>
        <w:spacing w:line="360" w:lineRule="exact"/>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2、常规刷新维护</w:t>
      </w:r>
    </w:p>
    <w:p>
      <w:pPr>
        <w:keepNext w:val="0"/>
        <w:keepLines w:val="0"/>
        <w:pageBreakBefore w:val="0"/>
        <w:widowControl w:val="0"/>
        <w:kinsoku/>
        <w:wordWrap/>
        <w:overflowPunct/>
        <w:topLinePunct w:val="0"/>
        <w:autoSpaceDE/>
        <w:autoSpaceDN/>
        <w:bidi w:val="0"/>
        <w:adjustRightInd/>
        <w:snapToGrid/>
        <w:spacing w:line="360" w:lineRule="exact"/>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园内公共设施日常维护、简易修缮，均由</w:t>
      </w:r>
      <w:r>
        <w:rPr>
          <w:rFonts w:hint="eastAsia" w:ascii="宋体" w:hAnsi="宋体" w:cs="宋体"/>
          <w:color w:val="auto"/>
          <w:sz w:val="21"/>
          <w:szCs w:val="21"/>
          <w:highlight w:val="none"/>
          <w:lang w:val="en-US" w:eastAsia="zh-CN"/>
        </w:rPr>
        <w:t>成交供应商</w:t>
      </w:r>
      <w:r>
        <w:rPr>
          <w:rFonts w:hint="eastAsia" w:ascii="宋体" w:hAnsi="宋体" w:eastAsia="宋体" w:cs="宋体"/>
          <w:color w:val="auto"/>
          <w:sz w:val="21"/>
          <w:szCs w:val="21"/>
          <w:highlight w:val="none"/>
          <w:lang w:val="en-US" w:eastAsia="zh-CN"/>
        </w:rPr>
        <w:t>负责。年度简易修缮物料费约占</w:t>
      </w:r>
      <w:r>
        <w:rPr>
          <w:rFonts w:hint="eastAsia" w:ascii="宋体" w:hAnsi="宋体" w:cs="宋体"/>
          <w:color w:val="auto"/>
          <w:sz w:val="21"/>
          <w:szCs w:val="21"/>
          <w:highlight w:val="none"/>
          <w:lang w:val="en-US" w:eastAsia="zh-CN"/>
        </w:rPr>
        <w:t>成交</w:t>
      </w:r>
      <w:r>
        <w:rPr>
          <w:rFonts w:hint="eastAsia" w:ascii="宋体" w:hAnsi="宋体" w:eastAsia="宋体" w:cs="宋体"/>
          <w:color w:val="auto"/>
          <w:sz w:val="21"/>
          <w:szCs w:val="21"/>
          <w:highlight w:val="none"/>
          <w:lang w:val="en-US" w:eastAsia="zh-CN"/>
        </w:rPr>
        <w:t>金额约2%。</w:t>
      </w:r>
      <w:r>
        <w:rPr>
          <w:rFonts w:hint="eastAsia" w:ascii="宋体" w:hAnsi="宋体" w:cs="宋体"/>
          <w:color w:val="auto"/>
          <w:sz w:val="21"/>
          <w:szCs w:val="21"/>
          <w:highlight w:val="none"/>
          <w:lang w:val="en-US" w:eastAsia="zh-CN"/>
        </w:rPr>
        <w:t>成交供应商</w:t>
      </w:r>
      <w:r>
        <w:rPr>
          <w:rFonts w:hint="eastAsia" w:ascii="宋体" w:hAnsi="宋体" w:eastAsia="宋体" w:cs="宋体"/>
          <w:color w:val="auto"/>
          <w:sz w:val="21"/>
          <w:szCs w:val="21"/>
          <w:highlight w:val="none"/>
          <w:lang w:val="en-US" w:eastAsia="zh-CN"/>
        </w:rPr>
        <w:t>须严格遵守公园管理规定，自行负责修缮过程中的安全责任，如在实施过程中发生安全事故，一切责任由</w:t>
      </w:r>
      <w:r>
        <w:rPr>
          <w:rFonts w:hint="eastAsia" w:ascii="宋体" w:hAnsi="宋体" w:cs="宋体"/>
          <w:color w:val="auto"/>
          <w:sz w:val="21"/>
          <w:szCs w:val="21"/>
          <w:highlight w:val="none"/>
          <w:lang w:val="en-US" w:eastAsia="zh-CN"/>
        </w:rPr>
        <w:t>成交供应商</w:t>
      </w:r>
      <w:r>
        <w:rPr>
          <w:rFonts w:hint="eastAsia" w:ascii="宋体" w:hAnsi="宋体" w:eastAsia="宋体" w:cs="宋体"/>
          <w:color w:val="auto"/>
          <w:sz w:val="21"/>
          <w:szCs w:val="21"/>
          <w:highlight w:val="none"/>
          <w:lang w:val="en-US" w:eastAsia="zh-CN"/>
        </w:rPr>
        <w:t>负责。</w:t>
      </w:r>
    </w:p>
    <w:p>
      <w:pPr>
        <w:keepNext w:val="0"/>
        <w:keepLines w:val="0"/>
        <w:pageBreakBefore w:val="0"/>
        <w:widowControl w:val="0"/>
        <w:kinsoku/>
        <w:wordWrap/>
        <w:overflowPunct/>
        <w:topLinePunct w:val="0"/>
        <w:autoSpaceDE/>
        <w:autoSpaceDN/>
        <w:bidi w:val="0"/>
        <w:adjustRightInd/>
        <w:snapToGrid/>
        <w:spacing w:line="360" w:lineRule="exact"/>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3、高低配电柜的日常维护保养</w:t>
      </w:r>
    </w:p>
    <w:p>
      <w:pPr>
        <w:keepNext w:val="0"/>
        <w:keepLines w:val="0"/>
        <w:pageBreakBefore w:val="0"/>
        <w:widowControl w:val="0"/>
        <w:kinsoku/>
        <w:wordWrap/>
        <w:overflowPunct/>
        <w:topLinePunct w:val="0"/>
        <w:autoSpaceDE/>
        <w:autoSpaceDN/>
        <w:bidi w:val="0"/>
        <w:adjustRightInd/>
        <w:snapToGrid/>
        <w:spacing w:line="360" w:lineRule="exact"/>
        <w:ind w:left="0" w:righ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每年检修开关柜及柜内电力相关设备，出具专业检查报告，并根据报告进行整改。</w:t>
      </w:r>
    </w:p>
    <w:p>
      <w:pPr>
        <w:keepNext w:val="0"/>
        <w:keepLines w:val="0"/>
        <w:pageBreakBefore w:val="0"/>
        <w:widowControl/>
        <w:kinsoku/>
        <w:wordWrap/>
        <w:overflowPunct/>
        <w:topLinePunct w:val="0"/>
        <w:autoSpaceDE/>
        <w:autoSpaceDN/>
        <w:bidi w:val="0"/>
        <w:adjustRightInd/>
        <w:snapToGrid/>
        <w:spacing w:line="360" w:lineRule="exact"/>
        <w:ind w:firstLine="422" w:firstLineChars="200"/>
        <w:jc w:val="left"/>
        <w:textAlignment w:val="auto"/>
        <w:outlineLvl w:val="1"/>
        <w:rPr>
          <w:rFonts w:hint="eastAsia" w:ascii="宋体" w:hAnsi="宋体" w:eastAsia="宋体" w:cs="Times New Roman"/>
          <w:b/>
          <w:bCs/>
          <w:szCs w:val="21"/>
          <w:highlight w:val="none"/>
          <w:lang w:val="en-US" w:eastAsia="zh-CN"/>
        </w:rPr>
      </w:pPr>
      <w:r>
        <w:rPr>
          <w:rFonts w:hint="eastAsia" w:ascii="宋体" w:hAnsi="宋体" w:cs="Times New Roman"/>
          <w:b/>
          <w:bCs/>
          <w:szCs w:val="21"/>
          <w:highlight w:val="none"/>
          <w:lang w:val="en-US" w:eastAsia="zh-CN"/>
        </w:rPr>
        <w:t>五</w:t>
      </w:r>
      <w:r>
        <w:rPr>
          <w:rFonts w:hint="eastAsia" w:ascii="宋体" w:hAnsi="宋体" w:eastAsia="宋体" w:cs="Times New Roman"/>
          <w:b/>
          <w:bCs/>
          <w:szCs w:val="21"/>
          <w:highlight w:val="none"/>
          <w:lang w:val="en-US" w:eastAsia="zh-CN"/>
        </w:rPr>
        <w:t>、安全生产要求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60" w:afterAutospacing="0" w:line="360" w:lineRule="exact"/>
        <w:ind w:left="0" w:right="0" w:firstLine="420" w:firstLineChars="200"/>
        <w:textAlignment w:val="auto"/>
        <w:rPr>
          <w:rFonts w:hint="eastAsia" w:ascii="宋体" w:hAnsi="宋体" w:eastAsia="宋体" w:cs="Times New Roman"/>
          <w:b w:val="0"/>
          <w:kern w:val="2"/>
          <w:sz w:val="21"/>
          <w:szCs w:val="21"/>
          <w:highlight w:val="none"/>
          <w:lang w:val="en-US" w:eastAsia="zh-CN" w:bidi="ar-SA"/>
        </w:rPr>
      </w:pPr>
      <w:r>
        <w:rPr>
          <w:rFonts w:hint="eastAsia" w:ascii="宋体" w:hAnsi="宋体" w:eastAsia="宋体" w:cs="Times New Roman"/>
          <w:b w:val="0"/>
          <w:kern w:val="2"/>
          <w:sz w:val="21"/>
          <w:szCs w:val="21"/>
          <w:highlight w:val="none"/>
          <w:lang w:val="en-US" w:eastAsia="zh-CN" w:bidi="ar-SA"/>
        </w:rPr>
        <w:t>根据国家《</w:t>
      </w:r>
      <w:r>
        <w:rPr>
          <w:rFonts w:hint="default" w:ascii="宋体" w:hAnsi="宋体" w:eastAsia="宋体" w:cs="Times New Roman"/>
          <w:b w:val="0"/>
          <w:kern w:val="2"/>
          <w:sz w:val="21"/>
          <w:szCs w:val="21"/>
          <w:highlight w:val="none"/>
          <w:lang w:val="en-US" w:eastAsia="zh-CN" w:bidi="ar-SA"/>
        </w:rPr>
        <w:fldChar w:fldCharType="begin"/>
      </w:r>
      <w:r>
        <w:rPr>
          <w:rFonts w:hint="default" w:ascii="宋体" w:hAnsi="宋体" w:eastAsia="宋体" w:cs="Times New Roman"/>
          <w:b w:val="0"/>
          <w:kern w:val="2"/>
          <w:sz w:val="21"/>
          <w:szCs w:val="21"/>
          <w:highlight w:val="none"/>
          <w:lang w:val="en-US" w:eastAsia="zh-CN" w:bidi="ar-SA"/>
        </w:rPr>
        <w:instrText xml:space="preserve"> HYPERLINK "http://www.baidu.com/link?url=SJDYhi_2gg3q0V1m8vtQcvPVQ1fZ_BB2BIaYubD6QQBEmaxYMusBl-WTnOzdqWnXefMuEKQ5HETZL4qLqD000q" \t "https://www.baidu.com/_blank" </w:instrText>
      </w:r>
      <w:r>
        <w:rPr>
          <w:rFonts w:hint="default" w:ascii="宋体" w:hAnsi="宋体" w:eastAsia="宋体" w:cs="Times New Roman"/>
          <w:b w:val="0"/>
          <w:kern w:val="2"/>
          <w:sz w:val="21"/>
          <w:szCs w:val="21"/>
          <w:highlight w:val="none"/>
          <w:lang w:val="en-US" w:eastAsia="zh-CN" w:bidi="ar-SA"/>
        </w:rPr>
        <w:fldChar w:fldCharType="separate"/>
      </w:r>
      <w:r>
        <w:rPr>
          <w:rFonts w:hint="default" w:ascii="宋体" w:hAnsi="宋体" w:eastAsia="宋体" w:cs="Times New Roman"/>
          <w:b w:val="0"/>
          <w:kern w:val="2"/>
          <w:sz w:val="21"/>
          <w:szCs w:val="21"/>
          <w:highlight w:val="none"/>
          <w:lang w:val="en-US" w:eastAsia="zh-CN" w:bidi="ar-SA"/>
        </w:rPr>
        <w:t>中华人民共和国安全生产法</w:t>
      </w:r>
      <w:r>
        <w:rPr>
          <w:rFonts w:hint="default" w:ascii="宋体" w:hAnsi="宋体" w:eastAsia="宋体" w:cs="Times New Roman"/>
          <w:b w:val="0"/>
          <w:kern w:val="2"/>
          <w:sz w:val="21"/>
          <w:szCs w:val="21"/>
          <w:highlight w:val="none"/>
          <w:lang w:val="en-US" w:eastAsia="zh-CN" w:bidi="ar-SA"/>
        </w:rPr>
        <w:fldChar w:fldCharType="end"/>
      </w:r>
      <w:r>
        <w:rPr>
          <w:rFonts w:hint="eastAsia" w:ascii="宋体" w:hAnsi="宋体" w:eastAsia="宋体" w:cs="Times New Roman"/>
          <w:b w:val="0"/>
          <w:kern w:val="2"/>
          <w:sz w:val="21"/>
          <w:szCs w:val="21"/>
          <w:highlight w:val="none"/>
          <w:lang w:val="en-US" w:eastAsia="zh-CN" w:bidi="ar-SA"/>
        </w:rPr>
        <w:t>》及《广东省安全生产条例》的规定和要求，本项目的安全生产工作必须接受政府有关部门的监督管理。</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Times New Roman"/>
          <w:b w:val="0"/>
          <w:kern w:val="2"/>
          <w:sz w:val="21"/>
          <w:szCs w:val="21"/>
          <w:highlight w:val="none"/>
          <w:lang w:val="en-US" w:eastAsia="zh-CN" w:bidi="ar-SA"/>
        </w:rPr>
      </w:pPr>
      <w:r>
        <w:rPr>
          <w:rFonts w:hint="eastAsia" w:ascii="宋体" w:hAnsi="宋体" w:eastAsia="宋体" w:cs="Times New Roman"/>
          <w:b w:val="0"/>
          <w:kern w:val="2"/>
          <w:sz w:val="21"/>
          <w:szCs w:val="21"/>
          <w:highlight w:val="none"/>
          <w:lang w:val="en-US" w:eastAsia="zh-CN" w:bidi="ar-SA"/>
        </w:rPr>
        <w:t>1、成交供应商应制定并执行全面、完善、针对各岗位的安全生产责任制度、劳动保障体系、自查自纠和风险防控措施，做到安全第一、责任到人、严密防控，规范实施各项作业程序和作业方式，并指定专职人员负责安全生产工作，每日巡查作业人员劳动保护工具和作业机械装备、使用及保养情况，主动排除安全隐患、发现问题及时解决，出现事故全力控制，举一反三、严防死守，确保人身财产安全保障到位。</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Times New Roman"/>
          <w:szCs w:val="21"/>
          <w:highlight w:val="none"/>
          <w:lang w:val="en-US" w:eastAsia="zh-CN"/>
        </w:rPr>
      </w:pPr>
      <w:r>
        <w:rPr>
          <w:rFonts w:hint="eastAsia" w:ascii="宋体" w:hAnsi="宋体" w:eastAsia="宋体" w:cs="Times New Roman"/>
          <w:b w:val="0"/>
          <w:kern w:val="2"/>
          <w:sz w:val="21"/>
          <w:szCs w:val="21"/>
          <w:highlight w:val="none"/>
          <w:lang w:val="en-US" w:eastAsia="zh-CN" w:bidi="ar-SA"/>
        </w:rPr>
        <w:t>2、服务过程应符合《中华人民共和国安全生产法》《重大事故隐患管理规定》和《安全生产违法行为行政处罚</w:t>
      </w:r>
      <w:r>
        <w:rPr>
          <w:rFonts w:hint="eastAsia" w:ascii="宋体" w:hAnsi="宋体" w:eastAsia="宋体" w:cs="Times New Roman"/>
          <w:szCs w:val="21"/>
          <w:highlight w:val="none"/>
          <w:lang w:val="en-US" w:eastAsia="zh-CN"/>
        </w:rPr>
        <w:t>办法》《生产过程安全卫生要求总则》等安全与卫生相关规定。</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3、</w:t>
      </w:r>
      <w:r>
        <w:rPr>
          <w:rFonts w:hint="eastAsia" w:ascii="宋体" w:hAnsi="宋体" w:cs="Times New Roman"/>
          <w:szCs w:val="21"/>
          <w:highlight w:val="none"/>
          <w:lang w:val="en-US" w:eastAsia="zh-CN"/>
        </w:rPr>
        <w:t>成交供应商</w:t>
      </w:r>
      <w:r>
        <w:rPr>
          <w:rFonts w:hint="eastAsia" w:ascii="宋体" w:hAnsi="宋体" w:eastAsia="宋体" w:cs="Times New Roman"/>
          <w:szCs w:val="21"/>
          <w:highlight w:val="none"/>
          <w:lang w:val="en-US" w:eastAsia="zh-CN"/>
        </w:rPr>
        <w:t>应按《深圳市安全管理条例》第四十八条、第五十条要求，建立完善的应急预案。</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4、定期对园区的安全生产工作进行检查，并做好记录；</w:t>
      </w:r>
      <w:r>
        <w:rPr>
          <w:rFonts w:hint="eastAsia" w:ascii="宋体" w:hAnsi="宋体" w:cs="Times New Roman"/>
          <w:szCs w:val="21"/>
          <w:highlight w:val="none"/>
          <w:lang w:val="en-US" w:eastAsia="zh-CN"/>
        </w:rPr>
        <w:t>成交供应商</w:t>
      </w:r>
      <w:r>
        <w:rPr>
          <w:rFonts w:hint="eastAsia" w:ascii="宋体" w:hAnsi="宋体" w:eastAsia="宋体" w:cs="Times New Roman"/>
          <w:szCs w:val="21"/>
          <w:highlight w:val="none"/>
          <w:lang w:val="en-US" w:eastAsia="zh-CN"/>
        </w:rPr>
        <w:t>每季度应聘请具有行业安全生产检查资质的第三方单位，对园区及项目组织一次专项安全，并出具检查报告，对出现问题进行整改。</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5、若发生安全生产事故，</w:t>
      </w:r>
      <w:r>
        <w:rPr>
          <w:rFonts w:hint="eastAsia" w:ascii="宋体" w:hAnsi="宋体" w:cs="Times New Roman"/>
          <w:szCs w:val="21"/>
          <w:highlight w:val="none"/>
          <w:lang w:val="en-US" w:eastAsia="zh-CN"/>
        </w:rPr>
        <w:t>成交供应商</w:t>
      </w:r>
      <w:r>
        <w:rPr>
          <w:rFonts w:hint="eastAsia" w:ascii="宋体" w:hAnsi="宋体" w:eastAsia="宋体" w:cs="Times New Roman"/>
          <w:szCs w:val="21"/>
          <w:highlight w:val="none"/>
          <w:lang w:val="en-US" w:eastAsia="zh-CN"/>
        </w:rPr>
        <w:t>应当采取有效措施防止生产事故扩大，保护好事故现场，需要移动现场物品时，应当做出标记和书面记录，妥善保管有关物证。</w:t>
      </w:r>
      <w:r>
        <w:rPr>
          <w:rFonts w:hint="eastAsia" w:ascii="宋体" w:hAnsi="宋体" w:cs="Times New Roman"/>
          <w:szCs w:val="21"/>
          <w:highlight w:val="none"/>
          <w:lang w:val="en-US" w:eastAsia="zh-CN"/>
        </w:rPr>
        <w:t>成交供应商</w:t>
      </w:r>
      <w:r>
        <w:rPr>
          <w:rFonts w:hint="eastAsia" w:ascii="宋体" w:hAnsi="宋体" w:eastAsia="宋体" w:cs="Times New Roman"/>
          <w:szCs w:val="21"/>
          <w:highlight w:val="none"/>
          <w:lang w:val="en-US" w:eastAsia="zh-CN"/>
        </w:rPr>
        <w:t>应当及时、如实向有关部门报告，不得瞒报、谎报、迟报；不得故意破坏事故现场，毁灭相关证据。</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6、由于</w:t>
      </w:r>
      <w:r>
        <w:rPr>
          <w:rFonts w:hint="eastAsia" w:ascii="宋体" w:hAnsi="宋体" w:cs="Times New Roman"/>
          <w:szCs w:val="21"/>
          <w:highlight w:val="none"/>
          <w:lang w:val="en-US" w:eastAsia="zh-CN"/>
        </w:rPr>
        <w:t>成交供应商</w:t>
      </w:r>
      <w:r>
        <w:rPr>
          <w:rFonts w:hint="eastAsia" w:ascii="宋体" w:hAnsi="宋体" w:eastAsia="宋体" w:cs="Times New Roman"/>
          <w:szCs w:val="21"/>
          <w:highlight w:val="none"/>
          <w:lang w:val="en-US" w:eastAsia="zh-CN"/>
        </w:rPr>
        <w:t>违章违规作业造成重大事故隐患或发生事故，致使生产设备、人员及其它受到损失，由</w:t>
      </w:r>
      <w:r>
        <w:rPr>
          <w:rFonts w:hint="eastAsia" w:ascii="宋体" w:hAnsi="宋体" w:cs="Times New Roman"/>
          <w:szCs w:val="21"/>
          <w:highlight w:val="none"/>
          <w:lang w:val="en-US" w:eastAsia="zh-CN"/>
        </w:rPr>
        <w:t>成交供应商</w:t>
      </w:r>
      <w:r>
        <w:rPr>
          <w:rFonts w:hint="eastAsia" w:ascii="宋体" w:hAnsi="宋体" w:eastAsia="宋体" w:cs="Times New Roman"/>
          <w:szCs w:val="21"/>
          <w:highlight w:val="none"/>
          <w:lang w:val="en-US" w:eastAsia="zh-CN"/>
        </w:rPr>
        <w:t>承担全部责任与费用。</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7、因</w:t>
      </w:r>
      <w:r>
        <w:rPr>
          <w:rFonts w:hint="eastAsia" w:ascii="宋体" w:hAnsi="宋体" w:cs="Times New Roman"/>
          <w:szCs w:val="21"/>
          <w:highlight w:val="none"/>
          <w:lang w:val="en-US" w:eastAsia="zh-CN"/>
        </w:rPr>
        <w:t>成交供应商</w:t>
      </w:r>
      <w:r>
        <w:rPr>
          <w:rFonts w:hint="eastAsia" w:ascii="宋体" w:hAnsi="宋体" w:eastAsia="宋体" w:cs="Times New Roman"/>
          <w:szCs w:val="21"/>
          <w:highlight w:val="none"/>
          <w:lang w:val="en-US" w:eastAsia="zh-CN"/>
        </w:rPr>
        <w:t>直接责任或不可抗力造成</w:t>
      </w:r>
      <w:r>
        <w:rPr>
          <w:rFonts w:hint="eastAsia" w:ascii="宋体" w:hAnsi="宋体" w:cs="Times New Roman"/>
          <w:szCs w:val="21"/>
          <w:highlight w:val="none"/>
          <w:lang w:val="en-US" w:eastAsia="zh-CN"/>
        </w:rPr>
        <w:t>成交供应商</w:t>
      </w:r>
      <w:r>
        <w:rPr>
          <w:rFonts w:hint="eastAsia" w:ascii="宋体" w:hAnsi="宋体" w:eastAsia="宋体" w:cs="Times New Roman"/>
          <w:szCs w:val="21"/>
          <w:highlight w:val="none"/>
          <w:lang w:val="en-US" w:eastAsia="zh-CN"/>
        </w:rPr>
        <w:t>人员伤亡事故、财物损失的，由</w:t>
      </w:r>
      <w:r>
        <w:rPr>
          <w:rFonts w:hint="eastAsia" w:ascii="宋体" w:hAnsi="宋体" w:cs="Times New Roman"/>
          <w:szCs w:val="21"/>
          <w:highlight w:val="none"/>
          <w:lang w:val="en-US" w:eastAsia="zh-CN"/>
        </w:rPr>
        <w:t>成交供应商</w:t>
      </w:r>
      <w:r>
        <w:rPr>
          <w:rFonts w:hint="eastAsia" w:ascii="宋体" w:hAnsi="宋体" w:eastAsia="宋体" w:cs="Times New Roman"/>
          <w:szCs w:val="21"/>
          <w:highlight w:val="none"/>
          <w:lang w:val="en-US" w:eastAsia="zh-CN"/>
        </w:rPr>
        <w:t>承担全部责任与费用，并应向属地安全监督管理部门报告事故情况，同时积极配合各级事故调查组进行事故调查。</w:t>
      </w:r>
      <w:r>
        <w:rPr>
          <w:rFonts w:hint="eastAsia" w:ascii="宋体" w:hAnsi="宋体" w:cs="Times New Roman"/>
          <w:szCs w:val="21"/>
          <w:highlight w:val="none"/>
          <w:lang w:val="en-US" w:eastAsia="zh-CN"/>
        </w:rPr>
        <w:t>成交供应商</w:t>
      </w:r>
      <w:r>
        <w:rPr>
          <w:rFonts w:hint="eastAsia" w:ascii="宋体" w:hAnsi="宋体" w:eastAsia="宋体" w:cs="Times New Roman"/>
          <w:szCs w:val="21"/>
          <w:highlight w:val="none"/>
          <w:lang w:val="en-US" w:eastAsia="zh-CN"/>
        </w:rPr>
        <w:t>应自觉购买项目的公共责任险。</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8、按照如下要求进行安全生产管理：</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（1）公厕管理：</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1）公厕管理人员须经安全教育培训后上岗，要学会基本的安全逃生技能，如：学会报火警、使用灭火器扑灭初起火灾、疏散逃生等基本技能。</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2）禁止在公厕堆放除作业工具之外的物品，禁止乱拉电线，严禁使用明火。</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3）用电要符合安全要求，并应在明显的地方放置有效的灭火器。</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4）树立安全意识，做好防盗、防火、防漏电、防伤亡等工作。</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5）对化粪池区域进行沼气检测，并记录检测结果，在相应的地点严禁明火出现；沼气浓度≥1.25%时要进行强制通风。</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6）按照政府部门有关安全生产规定执行。</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Times New Roman"/>
          <w:szCs w:val="21"/>
          <w:highlight w:val="none"/>
          <w:lang w:val="en-US" w:eastAsia="zh-CN"/>
        </w:rPr>
      </w:pPr>
      <w:r>
        <w:rPr>
          <w:rFonts w:hint="eastAsia" w:ascii="宋体" w:hAnsi="宋体" w:cs="Times New Roman"/>
          <w:szCs w:val="21"/>
          <w:highlight w:val="none"/>
          <w:lang w:val="en-US" w:eastAsia="zh-CN"/>
        </w:rPr>
        <w:t>（2）</w:t>
      </w:r>
      <w:r>
        <w:rPr>
          <w:rFonts w:hint="eastAsia" w:ascii="宋体" w:hAnsi="宋体" w:eastAsia="宋体" w:cs="Times New Roman"/>
          <w:szCs w:val="21"/>
          <w:highlight w:val="none"/>
          <w:lang w:val="en-US" w:eastAsia="zh-CN"/>
        </w:rPr>
        <w:t>绿化管养：</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1）</w:t>
      </w:r>
      <w:r>
        <w:rPr>
          <w:rFonts w:hint="eastAsia" w:ascii="宋体" w:hAnsi="宋体" w:cs="Times New Roman"/>
          <w:szCs w:val="21"/>
          <w:highlight w:val="none"/>
          <w:lang w:val="en-US" w:eastAsia="zh-CN"/>
        </w:rPr>
        <w:t>成交</w:t>
      </w:r>
      <w:r>
        <w:rPr>
          <w:rFonts w:hint="eastAsia" w:ascii="宋体" w:hAnsi="宋体" w:eastAsia="宋体" w:cs="Times New Roman"/>
          <w:szCs w:val="21"/>
          <w:highlight w:val="none"/>
          <w:lang w:val="en-US" w:eastAsia="zh-CN"/>
        </w:rPr>
        <w:t>供应商应制定应急抢险工作预案、建立应急机制，组织应急队伍，配备完善应急设备及物资，定期开展应急抢险技能培训和实操练习。在重大灾害时需及时调度增派人员、车辆和机械满足抢险需要。同时应进一步加强安全管理，确保应急工作安全、有序，如因</w:t>
      </w:r>
      <w:r>
        <w:rPr>
          <w:rFonts w:hint="eastAsia" w:ascii="宋体" w:hAnsi="宋体" w:cs="Times New Roman"/>
          <w:szCs w:val="21"/>
          <w:highlight w:val="none"/>
          <w:lang w:val="en-US" w:eastAsia="zh-CN"/>
        </w:rPr>
        <w:t>成交供应商</w:t>
      </w:r>
      <w:r>
        <w:rPr>
          <w:rFonts w:hint="eastAsia" w:ascii="宋体" w:hAnsi="宋体" w:eastAsia="宋体" w:cs="Times New Roman"/>
          <w:szCs w:val="21"/>
          <w:highlight w:val="none"/>
          <w:lang w:val="en-US" w:eastAsia="zh-CN"/>
        </w:rPr>
        <w:t>管理不到位，在应急抢险处理过程中发生安全生产事故，一概由</w:t>
      </w:r>
      <w:r>
        <w:rPr>
          <w:rFonts w:hint="eastAsia" w:ascii="宋体" w:hAnsi="宋体" w:cs="Times New Roman"/>
          <w:szCs w:val="21"/>
          <w:highlight w:val="none"/>
          <w:lang w:val="en-US" w:eastAsia="zh-CN"/>
        </w:rPr>
        <w:t>成交供应商</w:t>
      </w:r>
      <w:r>
        <w:rPr>
          <w:rFonts w:hint="eastAsia" w:ascii="宋体" w:hAnsi="宋体" w:eastAsia="宋体" w:cs="Times New Roman"/>
          <w:szCs w:val="21"/>
          <w:highlight w:val="none"/>
          <w:lang w:val="en-US" w:eastAsia="zh-CN"/>
        </w:rPr>
        <w:t>承担法律和经济赔偿责任。</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2）占道作业时，</w:t>
      </w:r>
      <w:r>
        <w:rPr>
          <w:rFonts w:hint="eastAsia" w:ascii="宋体" w:hAnsi="宋体" w:cs="Times New Roman"/>
          <w:szCs w:val="21"/>
          <w:highlight w:val="none"/>
          <w:lang w:val="en-US" w:eastAsia="zh-CN"/>
        </w:rPr>
        <w:t>成交供应商</w:t>
      </w:r>
      <w:r>
        <w:rPr>
          <w:rFonts w:hint="eastAsia" w:ascii="宋体" w:hAnsi="宋体" w:eastAsia="宋体" w:cs="Times New Roman"/>
          <w:szCs w:val="21"/>
          <w:highlight w:val="none"/>
          <w:lang w:val="en-US" w:eastAsia="zh-CN"/>
        </w:rPr>
        <w:t>必须按照交管部门的许可意见、《深圳绿化作业安全规范指引》和道路交通安全的相关标准进行作业，如因</w:t>
      </w:r>
      <w:r>
        <w:rPr>
          <w:rFonts w:hint="eastAsia" w:ascii="宋体" w:hAnsi="宋体" w:cs="Times New Roman"/>
          <w:szCs w:val="21"/>
          <w:highlight w:val="none"/>
          <w:lang w:val="en-US" w:eastAsia="zh-CN"/>
        </w:rPr>
        <w:t>成交供应商</w:t>
      </w:r>
      <w:r>
        <w:rPr>
          <w:rFonts w:hint="eastAsia" w:ascii="宋体" w:hAnsi="宋体" w:eastAsia="宋体" w:cs="Times New Roman"/>
          <w:szCs w:val="21"/>
          <w:highlight w:val="none"/>
          <w:lang w:val="en-US" w:eastAsia="zh-CN"/>
        </w:rPr>
        <w:t>原因发生交通事故，由</w:t>
      </w:r>
      <w:r>
        <w:rPr>
          <w:rFonts w:hint="eastAsia" w:ascii="宋体" w:hAnsi="宋体" w:cs="Times New Roman"/>
          <w:szCs w:val="21"/>
          <w:highlight w:val="none"/>
          <w:lang w:val="en-US" w:eastAsia="zh-CN"/>
        </w:rPr>
        <w:t>成交供应商</w:t>
      </w:r>
      <w:r>
        <w:rPr>
          <w:rFonts w:hint="eastAsia" w:ascii="宋体" w:hAnsi="宋体" w:eastAsia="宋体" w:cs="Times New Roman"/>
          <w:szCs w:val="21"/>
          <w:highlight w:val="none"/>
          <w:lang w:val="en-US" w:eastAsia="zh-CN"/>
        </w:rPr>
        <w:t>负责处理事故，并承担一切费用。</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3）</w:t>
      </w:r>
      <w:r>
        <w:rPr>
          <w:rFonts w:hint="eastAsia" w:ascii="宋体" w:hAnsi="宋体" w:cs="Times New Roman"/>
          <w:szCs w:val="21"/>
          <w:highlight w:val="none"/>
          <w:lang w:val="en-US" w:eastAsia="zh-CN"/>
        </w:rPr>
        <w:t>成交</w:t>
      </w:r>
      <w:r>
        <w:rPr>
          <w:rFonts w:hint="eastAsia" w:ascii="宋体" w:hAnsi="宋体" w:eastAsia="宋体" w:cs="Times New Roman"/>
          <w:szCs w:val="21"/>
          <w:highlight w:val="none"/>
          <w:lang w:val="en-US" w:eastAsia="zh-CN"/>
        </w:rPr>
        <w:t>供应商进行栏杆油漆、日常消杀、白蚁防治、红火蚁防治、绿化灭虫害等工作时，应先做出书面计划，做好相应的防护措施并获采购单位批准后方可实施，并邀请采购单位现场监督，四害防治及白蚁、红火蚁消杀需具备专业上岗证书工作人员操作，此外在开展上述各项工作时使用药物必须为国家规定“三证”（农药登记证、生产许可证、产品标准证）齐全的药物，不得使用国家及省市相关部门明令禁止使用的有毒有害药物，在消杀时，要在道路入口设置警示牌，并做好安全防护措施， 杜绝污染环境事故发生，如发生安全事故或者环境污染事故，</w:t>
      </w:r>
      <w:r>
        <w:rPr>
          <w:rFonts w:hint="eastAsia" w:ascii="宋体" w:hAnsi="宋体" w:cs="Times New Roman"/>
          <w:szCs w:val="21"/>
          <w:highlight w:val="none"/>
          <w:lang w:val="en-US" w:eastAsia="zh-CN"/>
        </w:rPr>
        <w:t>成交</w:t>
      </w:r>
      <w:r>
        <w:rPr>
          <w:rFonts w:hint="eastAsia" w:ascii="宋体" w:hAnsi="宋体" w:eastAsia="宋体" w:cs="Times New Roman"/>
          <w:szCs w:val="21"/>
          <w:highlight w:val="none"/>
          <w:lang w:val="en-US" w:eastAsia="zh-CN"/>
        </w:rPr>
        <w:t>供应商承担一切经济及法律责任。</w:t>
      </w:r>
    </w:p>
    <w:p>
      <w:pPr>
        <w:keepNext w:val="0"/>
        <w:keepLines w:val="0"/>
        <w:pageBreakBefore w:val="0"/>
        <w:widowControl/>
        <w:kinsoku/>
        <w:wordWrap/>
        <w:overflowPunct/>
        <w:topLinePunct w:val="0"/>
        <w:autoSpaceDE/>
        <w:autoSpaceDN/>
        <w:bidi w:val="0"/>
        <w:adjustRightInd/>
        <w:snapToGrid/>
        <w:spacing w:line="360" w:lineRule="exact"/>
        <w:ind w:firstLine="422" w:firstLineChars="200"/>
        <w:jc w:val="left"/>
        <w:textAlignment w:val="auto"/>
        <w:outlineLvl w:val="1"/>
        <w:rPr>
          <w:rFonts w:hint="eastAsia" w:ascii="宋体" w:hAnsi="宋体" w:eastAsia="宋体" w:cs="Times New Roman"/>
          <w:b/>
          <w:bCs/>
          <w:szCs w:val="21"/>
          <w:highlight w:val="none"/>
          <w:lang w:val="en-US" w:eastAsia="zh-CN"/>
        </w:rPr>
      </w:pPr>
      <w:r>
        <w:rPr>
          <w:rFonts w:hint="eastAsia" w:ascii="宋体" w:hAnsi="宋体" w:cs="Times New Roman"/>
          <w:b/>
          <w:bCs/>
          <w:szCs w:val="21"/>
          <w:highlight w:val="none"/>
          <w:lang w:val="en-US" w:eastAsia="zh-CN"/>
        </w:rPr>
        <w:t>六</w:t>
      </w:r>
      <w:r>
        <w:rPr>
          <w:rFonts w:hint="eastAsia" w:ascii="宋体" w:hAnsi="宋体" w:eastAsia="宋体" w:cs="Times New Roman"/>
          <w:b/>
          <w:bCs/>
          <w:szCs w:val="21"/>
          <w:highlight w:val="none"/>
          <w:lang w:val="en-US" w:eastAsia="zh-CN"/>
        </w:rPr>
        <w:t>、应急、防疫、迎检工作要求</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1、在重大节日、公共活动、迎接检查或临时突发性环卫卫生问题时，必须积极配合采购方（及采购方委托的其他作业单位）认真做好应急、迎检期间或突发性环卫卫生问题的对应，</w:t>
      </w:r>
      <w:r>
        <w:rPr>
          <w:rFonts w:hint="default" w:ascii="宋体" w:hAnsi="宋体" w:cs="Times New Roman"/>
          <w:szCs w:val="21"/>
          <w:highlight w:val="none"/>
          <w:lang w:val="en" w:eastAsia="zh-CN"/>
        </w:rPr>
        <w:t>采购报价人</w:t>
      </w:r>
      <w:r>
        <w:rPr>
          <w:rFonts w:hint="eastAsia" w:ascii="宋体" w:hAnsi="宋体" w:eastAsia="宋体" w:cs="Times New Roman"/>
          <w:szCs w:val="21"/>
          <w:highlight w:val="none"/>
          <w:lang w:val="en-US" w:eastAsia="zh-CN"/>
        </w:rPr>
        <w:t>能迅速响应本项目的应急任务。</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2、</w:t>
      </w:r>
      <w:r>
        <w:rPr>
          <w:rFonts w:hint="eastAsia" w:ascii="宋体" w:hAnsi="宋体" w:cs="Times New Roman"/>
          <w:szCs w:val="21"/>
          <w:highlight w:val="none"/>
          <w:lang w:val="en-US" w:eastAsia="zh-CN"/>
        </w:rPr>
        <w:t>成交供应商</w:t>
      </w:r>
      <w:r>
        <w:rPr>
          <w:rFonts w:hint="eastAsia" w:ascii="宋体" w:hAnsi="宋体" w:eastAsia="宋体" w:cs="Times New Roman"/>
          <w:szCs w:val="21"/>
          <w:highlight w:val="none"/>
          <w:lang w:val="en-US" w:eastAsia="zh-CN"/>
        </w:rPr>
        <w:t>须配备完善的应急抢险设备、物资、统一应急服装，制定应急抢险工作预案、建立应急机制，及时巡查、发现和及时消除安全隐患，做好防台风、防汛、防寒等自然灾害及森林火灾等工作，对灾害引起的损坏及时清理修复，要求定期开展应急抢险技能培训和实操练习，使所有成员能熟练掌握抢险的基本技能，如应急抢险处理过程中发生安全生产事故，一概由</w:t>
      </w:r>
      <w:r>
        <w:rPr>
          <w:rFonts w:hint="eastAsia" w:ascii="宋体" w:hAnsi="宋体" w:cs="Times New Roman"/>
          <w:szCs w:val="21"/>
          <w:highlight w:val="none"/>
          <w:lang w:val="en-US" w:eastAsia="zh-CN"/>
        </w:rPr>
        <w:t>成交供应商</w:t>
      </w:r>
      <w:r>
        <w:rPr>
          <w:rFonts w:hint="eastAsia" w:ascii="宋体" w:hAnsi="宋体" w:eastAsia="宋体" w:cs="Times New Roman"/>
          <w:szCs w:val="21"/>
          <w:highlight w:val="none"/>
          <w:lang w:val="en-US" w:eastAsia="zh-CN"/>
        </w:rPr>
        <w:t>承担法律和经济赔偿责任。</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3、在重大灾害时需及时调度增派人员、车辆和机械满足抢险需要。</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4、在台风季节、暴雨（与深圳电视台发出的中小学生暂停上课的通知同步）等特殊情况下，全公园加强防御措施，设立明显警示标志，禁止行人进入危险区段；做好管辖地点的设施设备安全保护；针对绿化合理修剪，加固护树设施；对排水沟渠进行清理疏通。</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5、台风期间，应成立应急队伍，服从采购单位和政府三防指挥机构的统一指挥和调度，参加管辖范围内的抢险救灾工作。防台风应急抢险人员、车辆、机械设备配备要求如下：</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 xml:space="preserve">一级应急抢险（普通级别台风） </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要求标段应急抢险人员人数24小时保持绿地养护一线岗位人数、油锯手人数为应急抢险人员总数的10%、油锯增加5把（含高枝油锯）、其它机械设备依情况增加。</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二级应急抢险（强台风以上级别）</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要求标段必须配备额外增加人员，应急抢险人员人数为绿地养护一线岗位工人人数的1.5倍、油锯手人数为应急抢险人员总数的15%、高空作业车增加1台、吊车1台（其中1台25吨以上）、油锯增加10把（含高枝油锯）、其它机械设备依情况增加。</w:t>
      </w:r>
    </w:p>
    <w:p>
      <w:pPr>
        <w:keepNext w:val="0"/>
        <w:keepLines w:val="0"/>
        <w:pageBreakBefore w:val="0"/>
        <w:widowControl/>
        <w:numPr>
          <w:ilvl w:val="0"/>
          <w:numId w:val="1"/>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台风、暴雨过后，</w:t>
      </w:r>
      <w:r>
        <w:rPr>
          <w:rFonts w:hint="eastAsia" w:ascii="宋体" w:hAnsi="宋体" w:cs="Times New Roman"/>
          <w:szCs w:val="21"/>
          <w:highlight w:val="none"/>
          <w:lang w:val="en-US" w:eastAsia="zh-CN"/>
        </w:rPr>
        <w:t>成交</w:t>
      </w:r>
      <w:r>
        <w:rPr>
          <w:rFonts w:hint="eastAsia" w:ascii="宋体" w:hAnsi="宋体" w:eastAsia="宋体" w:cs="Times New Roman"/>
          <w:szCs w:val="21"/>
          <w:highlight w:val="none"/>
          <w:lang w:val="en-US" w:eastAsia="zh-CN"/>
        </w:rPr>
        <w:t>供应商应立即组织人员做好公园路面清扫保洁，清理倒树断枝，疏通道路并及时进行扶树、护树，补好残缺，清除断枝、落叶和垃圾，恢复绿化设施景观。</w:t>
      </w:r>
    </w:p>
    <w:p>
      <w:pPr>
        <w:keepNext w:val="0"/>
        <w:keepLines w:val="0"/>
        <w:pageBreakBefore w:val="0"/>
        <w:widowControl/>
        <w:kinsoku/>
        <w:wordWrap/>
        <w:overflowPunct/>
        <w:topLinePunct w:val="0"/>
        <w:autoSpaceDE/>
        <w:autoSpaceDN/>
        <w:bidi w:val="0"/>
        <w:adjustRightInd/>
        <w:snapToGrid/>
        <w:spacing w:line="360" w:lineRule="exact"/>
        <w:ind w:firstLine="422" w:firstLineChars="200"/>
        <w:jc w:val="left"/>
        <w:textAlignment w:val="auto"/>
        <w:outlineLvl w:val="1"/>
        <w:rPr>
          <w:rFonts w:hint="eastAsia" w:ascii="宋体" w:hAnsi="宋体" w:eastAsia="宋体" w:cs="Times New Roman"/>
          <w:b/>
          <w:bCs/>
          <w:szCs w:val="21"/>
          <w:highlight w:val="none"/>
          <w:lang w:val="en-US" w:eastAsia="zh-CN"/>
        </w:rPr>
      </w:pPr>
      <w:r>
        <w:rPr>
          <w:rFonts w:hint="eastAsia" w:ascii="宋体" w:hAnsi="宋体" w:cs="Times New Roman"/>
          <w:b/>
          <w:bCs/>
          <w:szCs w:val="21"/>
          <w:highlight w:val="none"/>
          <w:lang w:val="en-US" w:eastAsia="zh-CN"/>
        </w:rPr>
        <w:t>七</w:t>
      </w:r>
      <w:r>
        <w:rPr>
          <w:rFonts w:hint="eastAsia" w:ascii="宋体" w:hAnsi="宋体" w:eastAsia="宋体" w:cs="Times New Roman"/>
          <w:b/>
          <w:bCs/>
          <w:szCs w:val="21"/>
          <w:highlight w:val="none"/>
          <w:lang w:val="en-US" w:eastAsia="zh-CN"/>
        </w:rPr>
        <w:t>、培训要求</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1、</w:t>
      </w:r>
      <w:r>
        <w:rPr>
          <w:rFonts w:hint="default" w:ascii="宋体" w:hAnsi="宋体" w:cs="Times New Roman"/>
          <w:szCs w:val="21"/>
          <w:highlight w:val="none"/>
          <w:lang w:val="en" w:eastAsia="zh-CN"/>
        </w:rPr>
        <w:t>成交供应商</w:t>
      </w:r>
      <w:r>
        <w:rPr>
          <w:rFonts w:hint="eastAsia" w:ascii="宋体" w:hAnsi="宋体" w:eastAsia="宋体" w:cs="Times New Roman"/>
          <w:szCs w:val="21"/>
          <w:highlight w:val="none"/>
          <w:lang w:val="en-US" w:eastAsia="zh-CN"/>
        </w:rPr>
        <w:t>应开展涵盖所有员工的员工培训、入职、上岗培训，达到相应岗位上岗资格，掌握安全规程，并逐渐提高工作素质和作业水平。其中，巡查人员上岗前必须进行包括军事训练和业务理论知识学习的岗前培训，经考核合格方可上岗。</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2、</w:t>
      </w:r>
      <w:r>
        <w:rPr>
          <w:rFonts w:hint="default" w:ascii="宋体" w:hAnsi="宋体" w:cs="Times New Roman"/>
          <w:szCs w:val="21"/>
          <w:highlight w:val="none"/>
          <w:lang w:val="en" w:eastAsia="zh-CN"/>
        </w:rPr>
        <w:t>成交供应商</w:t>
      </w:r>
      <w:r>
        <w:rPr>
          <w:rFonts w:hint="eastAsia" w:ascii="宋体" w:hAnsi="宋体" w:eastAsia="宋体" w:cs="Times New Roman"/>
          <w:szCs w:val="21"/>
          <w:highlight w:val="none"/>
          <w:lang w:val="en-US" w:eastAsia="zh-CN"/>
        </w:rPr>
        <w:t>负责安排员工参加相应的业务技术的培训学习，需持证上岗的员工，须在到岗前获得从事相应岗位的证书。</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3、</w:t>
      </w:r>
      <w:r>
        <w:rPr>
          <w:rFonts w:hint="default" w:ascii="宋体" w:hAnsi="宋体" w:cs="Times New Roman"/>
          <w:szCs w:val="21"/>
          <w:highlight w:val="none"/>
          <w:lang w:val="en" w:eastAsia="zh-CN"/>
        </w:rPr>
        <w:t>成交供应商</w:t>
      </w:r>
      <w:r>
        <w:rPr>
          <w:rFonts w:hint="eastAsia" w:ascii="宋体" w:hAnsi="宋体" w:eastAsia="宋体" w:cs="Times New Roman"/>
          <w:szCs w:val="21"/>
          <w:highlight w:val="none"/>
          <w:lang w:val="en-US" w:eastAsia="zh-CN"/>
        </w:rPr>
        <w:t>应定期自行组织或委托专业培训机构培训安全、专业技能等内容。</w:t>
      </w:r>
    </w:p>
    <w:p>
      <w:pPr>
        <w:keepNext w:val="0"/>
        <w:keepLines w:val="0"/>
        <w:pageBreakBefore w:val="0"/>
        <w:widowControl/>
        <w:kinsoku/>
        <w:wordWrap/>
        <w:overflowPunct/>
        <w:topLinePunct w:val="0"/>
        <w:autoSpaceDE/>
        <w:autoSpaceDN/>
        <w:bidi w:val="0"/>
        <w:adjustRightInd/>
        <w:snapToGrid/>
        <w:spacing w:line="360" w:lineRule="exact"/>
        <w:ind w:firstLine="422" w:firstLineChars="200"/>
        <w:jc w:val="left"/>
        <w:textAlignment w:val="auto"/>
        <w:outlineLvl w:val="1"/>
        <w:rPr>
          <w:rFonts w:hint="eastAsia" w:ascii="宋体" w:hAnsi="宋体" w:eastAsia="宋体" w:cs="Times New Roman"/>
          <w:b/>
          <w:bCs/>
          <w:szCs w:val="21"/>
          <w:highlight w:val="none"/>
          <w:lang w:val="en-US" w:eastAsia="zh-CN"/>
        </w:rPr>
      </w:pPr>
      <w:r>
        <w:rPr>
          <w:rFonts w:hint="eastAsia" w:ascii="宋体" w:hAnsi="宋体" w:cs="Times New Roman"/>
          <w:b/>
          <w:bCs/>
          <w:szCs w:val="21"/>
          <w:highlight w:val="none"/>
          <w:lang w:val="en-US" w:eastAsia="zh-CN"/>
        </w:rPr>
        <w:t>八</w:t>
      </w:r>
      <w:r>
        <w:rPr>
          <w:rFonts w:hint="eastAsia" w:ascii="宋体" w:hAnsi="宋体" w:eastAsia="宋体" w:cs="Times New Roman"/>
          <w:b/>
          <w:bCs/>
          <w:szCs w:val="21"/>
          <w:highlight w:val="none"/>
          <w:lang w:val="en-US" w:eastAsia="zh-CN"/>
        </w:rPr>
        <w:t>、质量管理和监督措施、考评验收及扣罚标准</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1、根据《坪山区城市管理和综合执法局公园物业管理考评办法》执行“公园自检（日检、周检）、区城</w:t>
      </w:r>
      <w:r>
        <w:rPr>
          <w:rFonts w:hint="eastAsia" w:ascii="宋体" w:hAnsi="宋体" w:cs="Times New Roman"/>
          <w:szCs w:val="21"/>
          <w:highlight w:val="none"/>
          <w:lang w:val="en-US" w:eastAsia="zh-CN"/>
        </w:rPr>
        <w:t>市管理和综合执法</w:t>
      </w:r>
      <w:r>
        <w:rPr>
          <w:rFonts w:hint="eastAsia" w:ascii="宋体" w:hAnsi="宋体" w:eastAsia="宋体" w:cs="Times New Roman"/>
          <w:szCs w:val="21"/>
          <w:highlight w:val="none"/>
          <w:lang w:val="en-US" w:eastAsia="zh-CN"/>
        </w:rPr>
        <w:t>局考核（随机检、双月检）、园长日常检”多级检查考评制度。各公园每月总成绩为100分，其中园长日常检分数占比10%，联合检占比50%，专项检占比40%，每月各区管公园检查结果按照公园日常检、联合检、专项检总得分各自乘以占比后综合得分计算，考核成绩由高至低排名。每月月检总成绩作为对服务公司质量评价和管养标段合同款项支付的依据，园长日常检结果将成为支付服务经费的依据并在相关服务经费中扣除。除上述的两级检查外，还包括其他的专项行动考核，若相关考核办法和扣罚标准有所调整变化，按最新出台的办法或标准执行。</w:t>
      </w:r>
      <w:r>
        <w:rPr>
          <w:rFonts w:hint="default" w:ascii="宋体" w:hAnsi="宋体" w:cs="Times New Roman"/>
          <w:szCs w:val="21"/>
          <w:highlight w:val="none"/>
          <w:lang w:val="en" w:eastAsia="zh-CN"/>
        </w:rPr>
        <w:t>成交供应商</w:t>
      </w:r>
      <w:r>
        <w:rPr>
          <w:rFonts w:hint="eastAsia" w:ascii="宋体" w:hAnsi="宋体" w:eastAsia="宋体" w:cs="Times New Roman"/>
          <w:szCs w:val="21"/>
          <w:highlight w:val="none"/>
          <w:lang w:val="en-US" w:eastAsia="zh-CN"/>
        </w:rPr>
        <w:t>未能满足合同要求时，采购方有权解除合同，不承担任何违约责任。</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Times New Roman"/>
          <w:szCs w:val="21"/>
          <w:highlight w:val="none"/>
          <w:lang w:val="en-US" w:eastAsia="zh-CN"/>
        </w:rPr>
      </w:pPr>
      <w:r>
        <w:rPr>
          <w:rFonts w:hint="eastAsia" w:ascii="宋体" w:hAnsi="宋体" w:cs="Times New Roman"/>
          <w:szCs w:val="21"/>
          <w:highlight w:val="none"/>
          <w:lang w:val="en-US" w:eastAsia="zh-CN"/>
        </w:rPr>
        <w:t>2</w:t>
      </w:r>
      <w:r>
        <w:rPr>
          <w:rFonts w:hint="eastAsia" w:ascii="宋体" w:hAnsi="宋体" w:eastAsia="宋体" w:cs="Times New Roman"/>
          <w:szCs w:val="21"/>
          <w:highlight w:val="none"/>
          <w:lang w:val="en-US" w:eastAsia="zh-CN"/>
        </w:rPr>
        <w:t>、根据林业部门发布的卫片图斑核实公园管养范围存在薇甘菊等入侵植物的,每次扣减1000元。</w:t>
      </w:r>
    </w:p>
    <w:p>
      <w:pPr>
        <w:keepNext w:val="0"/>
        <w:keepLines w:val="0"/>
        <w:pageBreakBefore w:val="0"/>
        <w:widowControl/>
        <w:kinsoku/>
        <w:wordWrap/>
        <w:overflowPunct/>
        <w:topLinePunct w:val="0"/>
        <w:autoSpaceDE/>
        <w:autoSpaceDN/>
        <w:bidi w:val="0"/>
        <w:adjustRightInd/>
        <w:snapToGrid/>
        <w:spacing w:line="360" w:lineRule="exact"/>
        <w:ind w:firstLine="422" w:firstLineChars="200"/>
        <w:jc w:val="left"/>
        <w:textAlignment w:val="auto"/>
        <w:outlineLvl w:val="1"/>
        <w:rPr>
          <w:rFonts w:hint="eastAsia" w:ascii="宋体" w:hAnsi="宋体" w:eastAsia="宋体" w:cs="Times New Roman"/>
          <w:b/>
          <w:bCs/>
          <w:szCs w:val="21"/>
          <w:highlight w:val="none"/>
          <w:lang w:val="en-US" w:eastAsia="zh-CN"/>
        </w:rPr>
      </w:pPr>
      <w:r>
        <w:rPr>
          <w:rFonts w:hint="eastAsia" w:ascii="宋体" w:hAnsi="宋体" w:cs="Times New Roman"/>
          <w:b/>
          <w:bCs/>
          <w:szCs w:val="21"/>
          <w:highlight w:val="none"/>
          <w:lang w:val="en-US" w:eastAsia="zh-CN"/>
        </w:rPr>
        <w:t>九</w:t>
      </w:r>
      <w:r>
        <w:rPr>
          <w:rFonts w:hint="eastAsia" w:ascii="宋体" w:hAnsi="宋体" w:eastAsia="宋体" w:cs="Times New Roman"/>
          <w:b/>
          <w:bCs/>
          <w:szCs w:val="21"/>
          <w:highlight w:val="none"/>
          <w:lang w:val="en-US" w:eastAsia="zh-CN"/>
        </w:rPr>
        <w:t>、违约责任</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Times New Roman"/>
          <w:szCs w:val="21"/>
          <w:highlight w:val="none"/>
          <w:lang w:val="en-US" w:eastAsia="zh-CN"/>
        </w:rPr>
      </w:pPr>
      <w:r>
        <w:rPr>
          <w:rFonts w:hint="default" w:ascii="宋体" w:hAnsi="宋体" w:cs="Times New Roman"/>
          <w:szCs w:val="21"/>
          <w:highlight w:val="none"/>
          <w:lang w:val="en" w:eastAsia="zh-CN"/>
        </w:rPr>
        <w:t>成交供应商</w:t>
      </w:r>
      <w:r>
        <w:rPr>
          <w:rFonts w:hint="eastAsia" w:ascii="宋体" w:hAnsi="宋体" w:eastAsia="宋体" w:cs="Times New Roman"/>
          <w:szCs w:val="21"/>
          <w:highlight w:val="none"/>
          <w:lang w:val="en-US" w:eastAsia="zh-CN"/>
        </w:rPr>
        <w:t>履行本项目发生以下情形的，按照下列规定执行。同时，采购单位有权调整以下现有违约责任或增加相关违约责任。出现下列情形之一的，按照中标价的5%支付违约金，并承担相应的责任。</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1、合同履行期间，</w:t>
      </w:r>
      <w:r>
        <w:rPr>
          <w:rFonts w:hint="default" w:ascii="宋体" w:hAnsi="宋体" w:cs="Times New Roman"/>
          <w:szCs w:val="21"/>
          <w:highlight w:val="none"/>
          <w:lang w:val="en" w:eastAsia="zh-CN"/>
        </w:rPr>
        <w:t>成交供应商</w:t>
      </w:r>
      <w:r>
        <w:rPr>
          <w:rFonts w:hint="eastAsia" w:ascii="宋体" w:hAnsi="宋体" w:eastAsia="宋体" w:cs="Times New Roman"/>
          <w:szCs w:val="21"/>
          <w:highlight w:val="none"/>
          <w:lang w:val="en-US" w:eastAsia="zh-CN"/>
        </w:rPr>
        <w:t>未落实安全防火、防风、防灾和安全生产措施，发生安全事故或者环境污染事故,</w:t>
      </w:r>
      <w:r>
        <w:rPr>
          <w:rFonts w:hint="default" w:ascii="宋体" w:hAnsi="宋体" w:cs="Times New Roman"/>
          <w:szCs w:val="21"/>
          <w:highlight w:val="none"/>
          <w:lang w:val="en" w:eastAsia="zh-CN"/>
        </w:rPr>
        <w:t>成交供应商</w:t>
      </w:r>
      <w:r>
        <w:rPr>
          <w:rFonts w:hint="eastAsia" w:ascii="宋体" w:hAnsi="宋体" w:eastAsia="宋体" w:cs="Times New Roman"/>
          <w:szCs w:val="21"/>
          <w:highlight w:val="none"/>
          <w:lang w:val="en-US" w:eastAsia="zh-CN"/>
        </w:rPr>
        <w:t>负责承担事故处理的一切费用。发生1人以上（含1人）死亡（自然死亡除外）或3人以上（含3人）重伤，并负主要责任的，采购单位有权单方解除合同，而无须向</w:t>
      </w:r>
      <w:r>
        <w:rPr>
          <w:rFonts w:hint="default" w:ascii="宋体" w:hAnsi="宋体" w:cs="Times New Roman"/>
          <w:szCs w:val="21"/>
          <w:highlight w:val="none"/>
          <w:lang w:val="en" w:eastAsia="zh-CN"/>
        </w:rPr>
        <w:t>成交供应商</w:t>
      </w:r>
      <w:r>
        <w:rPr>
          <w:rFonts w:hint="eastAsia" w:ascii="宋体" w:hAnsi="宋体" w:eastAsia="宋体" w:cs="Times New Roman"/>
          <w:szCs w:val="21"/>
          <w:highlight w:val="none"/>
          <w:lang w:val="en-US" w:eastAsia="zh-CN"/>
        </w:rPr>
        <w:t>支付任何费用或承担其他的任何责任。</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2、合同履行期间，</w:t>
      </w:r>
      <w:r>
        <w:rPr>
          <w:rFonts w:hint="default" w:ascii="宋体" w:hAnsi="宋体" w:cs="Times New Roman"/>
          <w:szCs w:val="21"/>
          <w:highlight w:val="none"/>
          <w:lang w:val="en" w:eastAsia="zh-CN"/>
        </w:rPr>
        <w:t>成交供应商</w:t>
      </w:r>
      <w:r>
        <w:rPr>
          <w:rFonts w:hint="eastAsia" w:ascii="宋体" w:hAnsi="宋体" w:eastAsia="宋体" w:cs="Times New Roman"/>
          <w:szCs w:val="21"/>
          <w:highlight w:val="none"/>
          <w:lang w:val="en-US" w:eastAsia="zh-CN"/>
        </w:rPr>
        <w:t>因违反劳动管理方面的法律、法规、规章及其他一般规范性文件的规定引起10人以上劳资纠纷案件败诉或10人以上歇工事件的，采购单位有权单方解除合同，而无须向</w:t>
      </w:r>
      <w:r>
        <w:rPr>
          <w:rFonts w:hint="default" w:ascii="宋体" w:hAnsi="宋体" w:cs="Times New Roman"/>
          <w:szCs w:val="21"/>
          <w:highlight w:val="none"/>
          <w:lang w:val="en" w:eastAsia="zh-CN"/>
        </w:rPr>
        <w:t>成交供应商</w:t>
      </w:r>
      <w:r>
        <w:rPr>
          <w:rFonts w:hint="eastAsia" w:ascii="宋体" w:hAnsi="宋体" w:eastAsia="宋体" w:cs="Times New Roman"/>
          <w:szCs w:val="21"/>
          <w:highlight w:val="none"/>
          <w:lang w:val="en-US" w:eastAsia="zh-CN"/>
        </w:rPr>
        <w:t>支付任何费用或承担其他的任何责任，由此产生的经济损失和法律责任均全部由</w:t>
      </w:r>
      <w:r>
        <w:rPr>
          <w:rFonts w:hint="default" w:ascii="宋体" w:hAnsi="宋体" w:cs="Times New Roman"/>
          <w:szCs w:val="21"/>
          <w:highlight w:val="none"/>
          <w:lang w:val="en" w:eastAsia="zh-CN"/>
        </w:rPr>
        <w:t>成交供应商</w:t>
      </w:r>
      <w:r>
        <w:rPr>
          <w:rFonts w:hint="eastAsia" w:ascii="宋体" w:hAnsi="宋体" w:eastAsia="宋体" w:cs="Times New Roman"/>
          <w:szCs w:val="21"/>
          <w:highlight w:val="none"/>
          <w:lang w:val="en-US" w:eastAsia="zh-CN"/>
        </w:rPr>
        <w:t>承担。</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3、合同履行期间，将公园委托管理的房屋建筑或场地挪作他用或违规用于经营性行为。</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4、在台风季节、暴雨等抢险救灾情况下，不服从采购单位和政府三防指挥机构的统一指挥和调度等。</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以上违约责任条款与执行考核办法相冲突的，以最新印发考核办法为准。</w:t>
      </w:r>
    </w:p>
    <w:p>
      <w:pPr>
        <w:keepNext w:val="0"/>
        <w:keepLines w:val="0"/>
        <w:pageBreakBefore w:val="0"/>
        <w:widowControl/>
        <w:kinsoku/>
        <w:wordWrap/>
        <w:overflowPunct/>
        <w:topLinePunct w:val="0"/>
        <w:autoSpaceDE/>
        <w:autoSpaceDN/>
        <w:bidi w:val="0"/>
        <w:adjustRightInd/>
        <w:snapToGrid/>
        <w:spacing w:line="360" w:lineRule="exact"/>
        <w:ind w:firstLine="422" w:firstLineChars="200"/>
        <w:jc w:val="left"/>
        <w:textAlignment w:val="auto"/>
        <w:outlineLvl w:val="1"/>
        <w:rPr>
          <w:rFonts w:hint="eastAsia" w:ascii="宋体" w:hAnsi="宋体" w:eastAsia="宋体" w:cs="Times New Roman"/>
          <w:b/>
          <w:bCs/>
          <w:szCs w:val="21"/>
          <w:highlight w:val="none"/>
          <w:lang w:val="en-US" w:eastAsia="zh-CN"/>
        </w:rPr>
      </w:pPr>
      <w:r>
        <w:rPr>
          <w:rFonts w:hint="eastAsia" w:ascii="宋体" w:hAnsi="宋体" w:eastAsia="宋体" w:cs="Times New Roman"/>
          <w:b/>
          <w:bCs/>
          <w:szCs w:val="21"/>
          <w:highlight w:val="none"/>
          <w:lang w:val="en-US" w:eastAsia="zh-CN"/>
        </w:rPr>
        <w:t>十、</w:t>
      </w:r>
      <w:r>
        <w:rPr>
          <w:rFonts w:hint="eastAsia" w:ascii="宋体" w:hAnsi="宋体" w:cs="Times New Roman"/>
          <w:b/>
          <w:bCs/>
          <w:szCs w:val="21"/>
          <w:highlight w:val="none"/>
          <w:lang w:val="en-US" w:eastAsia="zh-CN"/>
        </w:rPr>
        <w:t>预算</w:t>
      </w:r>
      <w:r>
        <w:rPr>
          <w:rFonts w:hint="eastAsia" w:ascii="宋体" w:hAnsi="宋体" w:eastAsia="宋体" w:cs="Times New Roman"/>
          <w:b/>
          <w:bCs/>
          <w:szCs w:val="21"/>
          <w:highlight w:val="none"/>
          <w:lang w:val="en-US" w:eastAsia="zh-CN"/>
        </w:rPr>
        <w:t>价格及管理经费</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1、报价要求：本项目预算金额为人民币</w:t>
      </w:r>
      <w:r>
        <w:rPr>
          <w:rFonts w:hint="default" w:ascii="宋体" w:hAnsi="宋体" w:eastAsia="宋体" w:cs="宋体"/>
          <w:color w:val="auto"/>
          <w:sz w:val="21"/>
          <w:szCs w:val="21"/>
          <w:highlight w:val="none"/>
          <w:lang w:val="en-US" w:eastAsia="zh-CN"/>
        </w:rPr>
        <w:t>557171.83</w:t>
      </w:r>
      <w:r>
        <w:rPr>
          <w:rFonts w:hint="eastAsia" w:ascii="宋体" w:hAnsi="宋体" w:eastAsia="宋体" w:cs="Times New Roman"/>
          <w:szCs w:val="21"/>
          <w:highlight w:val="none"/>
          <w:lang w:val="en-US" w:eastAsia="zh-CN"/>
        </w:rPr>
        <w:t>元。应包含生产资料、工资、社保、劳保、福利、工伤额外保险、食宿、安全管理、税收等本项目服务范围的一切应尽之费用。</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2、付款方式：</w:t>
      </w:r>
      <w:r>
        <w:rPr>
          <w:rFonts w:hint="eastAsia" w:ascii="宋体" w:hAnsi="宋体" w:cs="Times New Roman"/>
          <w:szCs w:val="21"/>
          <w:highlight w:val="none"/>
          <w:lang w:val="en-US" w:eastAsia="zh-CN"/>
        </w:rPr>
        <w:t>按月支付</w:t>
      </w:r>
      <w:r>
        <w:rPr>
          <w:rFonts w:hint="eastAsia" w:ascii="宋体" w:hAnsi="宋体" w:eastAsia="宋体" w:cs="Times New Roman"/>
          <w:szCs w:val="21"/>
          <w:highlight w:val="none"/>
          <w:lang w:val="en-US" w:eastAsia="zh-CN"/>
        </w:rPr>
        <w:t>，每月月检总成绩作为对服务公司质量评价和管养标段合同款项支付的依据，园长日常检结果将成为支付服务经费的依据并在相关服务经费中扣除，甲方也可</w:t>
      </w:r>
      <w:r>
        <w:rPr>
          <w:rFonts w:hint="eastAsia" w:ascii="宋体" w:hAnsi="宋体" w:cs="Times New Roman"/>
          <w:szCs w:val="21"/>
          <w:highlight w:val="none"/>
          <w:lang w:val="en-US" w:eastAsia="zh-CN"/>
        </w:rPr>
        <w:t>根据实际情况</w:t>
      </w:r>
      <w:r>
        <w:rPr>
          <w:rFonts w:hint="eastAsia" w:ascii="宋体" w:hAnsi="宋体" w:eastAsia="宋体" w:cs="Times New Roman"/>
          <w:szCs w:val="21"/>
          <w:highlight w:val="none"/>
          <w:lang w:val="en-US" w:eastAsia="zh-CN"/>
        </w:rPr>
        <w:t>对已服务时段进行考核，根据考核、通报结果支付该考核时段的服务费用。具体付款方式按深圳市坪山区财政局有关规定执行。</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3、本项目服务费采用包干制，应包括服务成本、法定税费和管理企业的利润等一切应尽费用。</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4、</w:t>
      </w:r>
      <w:r>
        <w:rPr>
          <w:rFonts w:hint="eastAsia" w:ascii="宋体" w:hAnsi="宋体" w:cs="Times New Roman"/>
          <w:szCs w:val="21"/>
          <w:highlight w:val="none"/>
          <w:lang w:val="en-US" w:eastAsia="zh-CN"/>
        </w:rPr>
        <w:t>供应商的采购</w:t>
      </w:r>
      <w:r>
        <w:rPr>
          <w:rFonts w:hint="default" w:ascii="宋体" w:hAnsi="宋体" w:cs="Times New Roman"/>
          <w:szCs w:val="21"/>
          <w:highlight w:val="none"/>
          <w:lang w:val="en" w:eastAsia="zh-CN"/>
        </w:rPr>
        <w:t>报价</w:t>
      </w:r>
      <w:r>
        <w:rPr>
          <w:rFonts w:hint="eastAsia" w:ascii="宋体" w:hAnsi="宋体" w:eastAsia="宋体" w:cs="Times New Roman"/>
          <w:szCs w:val="21"/>
          <w:highlight w:val="none"/>
          <w:lang w:val="en-US" w:eastAsia="zh-CN"/>
        </w:rPr>
        <w:t>不得超过财政预算限额</w:t>
      </w:r>
      <w:r>
        <w:rPr>
          <w:rFonts w:hint="eastAsia" w:ascii="宋体" w:hAnsi="宋体" w:cs="Times New Roman"/>
          <w:szCs w:val="21"/>
          <w:highlight w:val="none"/>
          <w:lang w:val="en-US" w:eastAsia="zh-CN"/>
        </w:rPr>
        <w:t>。</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5、</w:t>
      </w:r>
      <w:r>
        <w:rPr>
          <w:rFonts w:hint="default" w:ascii="宋体" w:hAnsi="宋体" w:cs="Times New Roman"/>
          <w:szCs w:val="21"/>
          <w:highlight w:val="none"/>
          <w:lang w:val="en" w:eastAsia="zh-CN"/>
        </w:rPr>
        <w:t>采购报价人</w:t>
      </w:r>
      <w:r>
        <w:rPr>
          <w:rFonts w:hint="eastAsia" w:ascii="宋体" w:hAnsi="宋体" w:eastAsia="宋体" w:cs="Times New Roman"/>
          <w:szCs w:val="21"/>
          <w:highlight w:val="none"/>
          <w:lang w:val="en-US" w:eastAsia="zh-CN"/>
        </w:rPr>
        <w:t>应根据本企业的成本自行决定报价，但不得以低于其企业成本的报价投标；评标时，评标委员会认为</w:t>
      </w:r>
      <w:r>
        <w:rPr>
          <w:rFonts w:hint="default" w:ascii="宋体" w:hAnsi="宋体" w:cs="Times New Roman"/>
          <w:szCs w:val="21"/>
          <w:highlight w:val="none"/>
          <w:lang w:val="en" w:eastAsia="zh-CN"/>
        </w:rPr>
        <w:t>采购报价人</w:t>
      </w:r>
      <w:r>
        <w:rPr>
          <w:rFonts w:hint="eastAsia" w:ascii="宋体" w:hAnsi="宋体" w:eastAsia="宋体" w:cs="Times New Roman"/>
          <w:szCs w:val="21"/>
          <w:highlight w:val="none"/>
          <w:lang w:val="en-US" w:eastAsia="zh-CN"/>
        </w:rPr>
        <w:t>的报价明显低于其他通过符合性审查</w:t>
      </w:r>
      <w:r>
        <w:rPr>
          <w:rFonts w:hint="default" w:ascii="宋体" w:hAnsi="宋体" w:cs="Times New Roman"/>
          <w:szCs w:val="21"/>
          <w:highlight w:val="none"/>
          <w:lang w:val="en" w:eastAsia="zh-CN"/>
        </w:rPr>
        <w:t>采购报价人</w:t>
      </w:r>
      <w:r>
        <w:rPr>
          <w:rFonts w:hint="eastAsia" w:ascii="宋体" w:hAnsi="宋体" w:eastAsia="宋体" w:cs="Times New Roman"/>
          <w:szCs w:val="21"/>
          <w:highlight w:val="none"/>
          <w:lang w:val="en-US" w:eastAsia="zh-CN"/>
        </w:rPr>
        <w:t>的报价，有可能影响产品质量或者不能诚信履约的，应当要求其在评标现场合理的时间内提供书面说明，必要时提交相关证明材料；</w:t>
      </w:r>
      <w:r>
        <w:rPr>
          <w:rFonts w:hint="default" w:ascii="宋体" w:hAnsi="宋体" w:cs="Times New Roman"/>
          <w:szCs w:val="21"/>
          <w:highlight w:val="none"/>
          <w:lang w:val="en" w:eastAsia="zh-CN"/>
        </w:rPr>
        <w:t>采购报价人</w:t>
      </w:r>
      <w:r>
        <w:rPr>
          <w:rFonts w:hint="eastAsia" w:ascii="宋体" w:hAnsi="宋体" w:eastAsia="宋体" w:cs="Times New Roman"/>
          <w:szCs w:val="21"/>
          <w:highlight w:val="none"/>
          <w:lang w:val="en-US" w:eastAsia="zh-CN"/>
        </w:rPr>
        <w:t>不能证明其报价合理性的，评标委员会应当将其作为无效投标处理。若评审委员会成员对是否须由</w:t>
      </w:r>
      <w:r>
        <w:rPr>
          <w:rFonts w:hint="default" w:ascii="宋体" w:hAnsi="宋体" w:cs="Times New Roman"/>
          <w:szCs w:val="21"/>
          <w:highlight w:val="none"/>
          <w:lang w:val="en" w:eastAsia="zh-CN"/>
        </w:rPr>
        <w:t>采购报价人</w:t>
      </w:r>
      <w:r>
        <w:rPr>
          <w:rFonts w:hint="eastAsia" w:ascii="宋体" w:hAnsi="宋体" w:eastAsia="宋体" w:cs="Times New Roman"/>
          <w:szCs w:val="21"/>
          <w:highlight w:val="none"/>
          <w:lang w:val="en-US" w:eastAsia="zh-CN"/>
        </w:rPr>
        <w:t>作出报价合理性说明，以及书面说明是否采纳等判断不一致的，按照“少数服从多数”的原则确定评审委员会的意见。供应商可通过现场提交、电邮提交提供报价合理性说明。</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6、</w:t>
      </w:r>
      <w:r>
        <w:rPr>
          <w:rFonts w:hint="default" w:ascii="宋体" w:hAnsi="宋体" w:cs="Times New Roman"/>
          <w:szCs w:val="21"/>
          <w:highlight w:val="none"/>
          <w:lang w:val="en" w:eastAsia="zh-CN"/>
        </w:rPr>
        <w:t>供应商的采购报价</w:t>
      </w:r>
      <w:r>
        <w:rPr>
          <w:rFonts w:hint="eastAsia" w:ascii="宋体" w:hAnsi="宋体" w:eastAsia="宋体" w:cs="Times New Roman"/>
          <w:szCs w:val="21"/>
          <w:highlight w:val="none"/>
          <w:lang w:val="en-US" w:eastAsia="zh-CN"/>
        </w:rPr>
        <w:t>，应是本项目</w:t>
      </w:r>
      <w:r>
        <w:rPr>
          <w:rFonts w:hint="eastAsia" w:ascii="宋体" w:hAnsi="宋体" w:cs="Times New Roman"/>
          <w:szCs w:val="21"/>
          <w:highlight w:val="none"/>
          <w:lang w:val="en-US" w:eastAsia="zh-CN"/>
        </w:rPr>
        <w:t>采购</w:t>
      </w:r>
      <w:r>
        <w:rPr>
          <w:rFonts w:hint="eastAsia" w:ascii="宋体" w:hAnsi="宋体" w:eastAsia="宋体" w:cs="Times New Roman"/>
          <w:szCs w:val="21"/>
          <w:highlight w:val="none"/>
          <w:lang w:val="en-US" w:eastAsia="zh-CN"/>
        </w:rPr>
        <w:t>范围和</w:t>
      </w:r>
      <w:r>
        <w:rPr>
          <w:rFonts w:hint="eastAsia" w:ascii="宋体" w:hAnsi="宋体" w:cs="Times New Roman"/>
          <w:szCs w:val="21"/>
          <w:highlight w:val="none"/>
          <w:lang w:val="en-US" w:eastAsia="zh-CN"/>
        </w:rPr>
        <w:t>采购</w:t>
      </w:r>
      <w:r>
        <w:rPr>
          <w:rFonts w:hint="eastAsia" w:ascii="宋体" w:hAnsi="宋体" w:eastAsia="宋体" w:cs="Times New Roman"/>
          <w:szCs w:val="21"/>
          <w:highlight w:val="none"/>
          <w:lang w:val="en-US" w:eastAsia="zh-CN"/>
        </w:rPr>
        <w:t>文件及合同条款上所列的各项内容中所述的全部，不得以任何理由予以重复，并以</w:t>
      </w:r>
      <w:r>
        <w:rPr>
          <w:rFonts w:hint="default" w:ascii="宋体" w:hAnsi="宋体" w:cs="Times New Roman"/>
          <w:szCs w:val="21"/>
          <w:highlight w:val="none"/>
          <w:lang w:val="en" w:eastAsia="zh-CN"/>
        </w:rPr>
        <w:t>采购报价人</w:t>
      </w:r>
      <w:r>
        <w:rPr>
          <w:rFonts w:hint="eastAsia" w:ascii="宋体" w:hAnsi="宋体" w:eastAsia="宋体" w:cs="Times New Roman"/>
          <w:szCs w:val="21"/>
          <w:highlight w:val="none"/>
          <w:lang w:val="en-US" w:eastAsia="zh-CN"/>
        </w:rPr>
        <w:t>在投标文件中提出的综合单价或总价为依据。</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7、</w:t>
      </w:r>
      <w:r>
        <w:rPr>
          <w:rFonts w:hint="default" w:ascii="宋体" w:hAnsi="宋体" w:cs="Times New Roman"/>
          <w:szCs w:val="21"/>
          <w:highlight w:val="none"/>
          <w:lang w:val="en" w:eastAsia="zh-CN"/>
        </w:rPr>
        <w:t>采购报价人</w:t>
      </w:r>
      <w:r>
        <w:rPr>
          <w:rFonts w:hint="eastAsia" w:ascii="宋体" w:hAnsi="宋体" w:eastAsia="宋体" w:cs="Times New Roman"/>
          <w:szCs w:val="21"/>
          <w:highlight w:val="none"/>
          <w:lang w:val="en-US" w:eastAsia="zh-CN"/>
        </w:rPr>
        <w:t>应充分了解项目的位置、情况、道路及任何其它足以影响投标报价的情况，任何因忽视或误解项目情况而导致的索赔或服务期限延长申请将不获批准。</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Times New Roman"/>
          <w:szCs w:val="21"/>
          <w:highlight w:val="none"/>
          <w:lang w:val="en-US" w:eastAsia="zh-CN"/>
        </w:rPr>
      </w:pPr>
      <w:r>
        <w:rPr>
          <w:rFonts w:hint="eastAsia" w:ascii="宋体" w:hAnsi="宋体" w:cs="Times New Roman"/>
          <w:szCs w:val="21"/>
          <w:highlight w:val="none"/>
          <w:lang w:val="en-US" w:eastAsia="zh-CN"/>
        </w:rPr>
        <w:t>8</w:t>
      </w:r>
      <w:r>
        <w:rPr>
          <w:rFonts w:hint="eastAsia" w:ascii="宋体" w:hAnsi="宋体" w:eastAsia="宋体" w:cs="Times New Roman"/>
          <w:szCs w:val="21"/>
          <w:highlight w:val="none"/>
          <w:lang w:val="en-US" w:eastAsia="zh-CN"/>
        </w:rPr>
        <w:t>、</w:t>
      </w:r>
      <w:r>
        <w:rPr>
          <w:rFonts w:hint="default" w:ascii="宋体" w:hAnsi="宋体" w:cs="Times New Roman"/>
          <w:szCs w:val="21"/>
          <w:highlight w:val="none"/>
          <w:lang w:val="en" w:eastAsia="zh-CN"/>
        </w:rPr>
        <w:t>采购报价人</w:t>
      </w:r>
      <w:r>
        <w:rPr>
          <w:rFonts w:hint="eastAsia" w:ascii="宋体" w:hAnsi="宋体" w:eastAsia="宋体" w:cs="Times New Roman"/>
          <w:szCs w:val="21"/>
          <w:highlight w:val="none"/>
          <w:lang w:val="en-US" w:eastAsia="zh-CN"/>
        </w:rPr>
        <w:t>不得期望通过索赔等方式获取补偿，否则，除可能遭到拒绝外，还可能将被作为不良行为记录在案，并可能影响其以后参加政府采购的项目投标。各</w:t>
      </w:r>
      <w:r>
        <w:rPr>
          <w:rFonts w:hint="default" w:ascii="宋体" w:hAnsi="宋体" w:cs="Times New Roman"/>
          <w:szCs w:val="21"/>
          <w:highlight w:val="none"/>
          <w:lang w:val="en" w:eastAsia="zh-CN"/>
        </w:rPr>
        <w:t>采购报价人</w:t>
      </w:r>
      <w:r>
        <w:rPr>
          <w:rFonts w:hint="eastAsia" w:ascii="宋体" w:hAnsi="宋体" w:eastAsia="宋体" w:cs="Times New Roman"/>
          <w:szCs w:val="21"/>
          <w:highlight w:val="none"/>
          <w:lang w:val="en-US" w:eastAsia="zh-CN"/>
        </w:rPr>
        <w:t>在投标报价时，应充分考虑投标报价的风险。</w:t>
      </w:r>
    </w:p>
    <w:p>
      <w:pPr>
        <w:keepNext w:val="0"/>
        <w:keepLines w:val="0"/>
        <w:pageBreakBefore w:val="0"/>
        <w:widowControl/>
        <w:kinsoku/>
        <w:wordWrap/>
        <w:overflowPunct/>
        <w:topLinePunct w:val="0"/>
        <w:autoSpaceDE/>
        <w:autoSpaceDN/>
        <w:bidi w:val="0"/>
        <w:adjustRightInd/>
        <w:snapToGrid/>
        <w:spacing w:line="360" w:lineRule="exact"/>
        <w:ind w:firstLine="422" w:firstLineChars="200"/>
        <w:jc w:val="left"/>
        <w:textAlignment w:val="auto"/>
        <w:outlineLvl w:val="1"/>
        <w:rPr>
          <w:rFonts w:hint="eastAsia" w:ascii="宋体" w:hAnsi="宋体" w:eastAsia="宋体" w:cs="Times New Roman"/>
          <w:b/>
          <w:bCs/>
          <w:szCs w:val="21"/>
          <w:highlight w:val="none"/>
          <w:lang w:val="en-US" w:eastAsia="zh-CN"/>
        </w:rPr>
      </w:pPr>
      <w:bookmarkStart w:id="0" w:name="_GoBack"/>
      <w:bookmarkEnd w:id="0"/>
      <w:r>
        <w:rPr>
          <w:rFonts w:hint="eastAsia" w:ascii="宋体" w:hAnsi="宋体" w:eastAsia="宋体" w:cs="Times New Roman"/>
          <w:b/>
          <w:bCs/>
          <w:szCs w:val="21"/>
          <w:highlight w:val="none"/>
          <w:lang w:val="en-US" w:eastAsia="zh-CN"/>
        </w:rPr>
        <w:t>十</w:t>
      </w:r>
      <w:r>
        <w:rPr>
          <w:rFonts w:hint="eastAsia" w:ascii="宋体" w:hAnsi="宋体" w:cs="Times New Roman"/>
          <w:b/>
          <w:bCs/>
          <w:szCs w:val="21"/>
          <w:highlight w:val="none"/>
          <w:lang w:val="en-US" w:eastAsia="zh-CN"/>
        </w:rPr>
        <w:t>一</w:t>
      </w:r>
      <w:r>
        <w:rPr>
          <w:rFonts w:hint="eastAsia" w:ascii="宋体" w:hAnsi="宋体" w:eastAsia="宋体" w:cs="Times New Roman"/>
          <w:b/>
          <w:bCs/>
          <w:szCs w:val="21"/>
          <w:highlight w:val="none"/>
          <w:lang w:val="en-US" w:eastAsia="zh-CN"/>
        </w:rPr>
        <w:t>、其他要求</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1、</w:t>
      </w:r>
      <w:r>
        <w:rPr>
          <w:rFonts w:hint="eastAsia" w:ascii="宋体" w:hAnsi="宋体" w:cs="Times New Roman"/>
          <w:szCs w:val="21"/>
          <w:highlight w:val="none"/>
          <w:lang w:val="en-US" w:eastAsia="zh-CN"/>
        </w:rPr>
        <w:t>成交供应商</w:t>
      </w:r>
      <w:r>
        <w:rPr>
          <w:rFonts w:hint="eastAsia" w:ascii="宋体" w:hAnsi="宋体" w:eastAsia="宋体" w:cs="Times New Roman"/>
          <w:szCs w:val="21"/>
          <w:highlight w:val="none"/>
          <w:lang w:val="en-US" w:eastAsia="zh-CN"/>
        </w:rPr>
        <w:t>对现有的愿意继续工作的工人需无条件接收，并且保证按</w:t>
      </w:r>
      <w:r>
        <w:rPr>
          <w:rFonts w:hint="eastAsia" w:ascii="宋体" w:hAnsi="宋体" w:cs="Times New Roman"/>
          <w:szCs w:val="21"/>
          <w:highlight w:val="none"/>
          <w:lang w:val="en-US" w:eastAsia="zh-CN"/>
        </w:rPr>
        <w:t>中华人民共和国劳动法</w:t>
      </w:r>
      <w:r>
        <w:rPr>
          <w:rFonts w:hint="eastAsia" w:ascii="宋体" w:hAnsi="宋体" w:eastAsia="宋体" w:cs="Times New Roman"/>
          <w:szCs w:val="21"/>
          <w:highlight w:val="none"/>
          <w:lang w:val="en-US" w:eastAsia="zh-CN"/>
        </w:rPr>
        <w:t>规定签订劳动合同。</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2、员工劳动保障要求：</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（1</w:t>
      </w:r>
      <w:r>
        <w:rPr>
          <w:rFonts w:hint="eastAsia" w:ascii="宋体" w:hAnsi="宋体" w:cs="Times New Roman"/>
          <w:szCs w:val="21"/>
          <w:highlight w:val="none"/>
          <w:lang w:val="en-US" w:eastAsia="zh-CN"/>
        </w:rPr>
        <w:t>）成交供应商</w:t>
      </w:r>
      <w:r>
        <w:rPr>
          <w:rFonts w:hint="eastAsia" w:ascii="宋体" w:hAnsi="宋体" w:eastAsia="宋体" w:cs="Times New Roman"/>
          <w:szCs w:val="21"/>
          <w:highlight w:val="none"/>
          <w:lang w:val="en-US" w:eastAsia="zh-CN"/>
        </w:rPr>
        <w:t>必须依法与员工签订书面劳动合同，并全部承担与劳动合同相关的责任和义务。</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（2</w:t>
      </w:r>
      <w:r>
        <w:rPr>
          <w:rFonts w:hint="eastAsia" w:ascii="宋体" w:hAnsi="宋体" w:cs="Times New Roman"/>
          <w:szCs w:val="21"/>
          <w:highlight w:val="none"/>
          <w:lang w:val="en-US" w:eastAsia="zh-CN"/>
        </w:rPr>
        <w:t>）</w:t>
      </w:r>
      <w:r>
        <w:rPr>
          <w:rFonts w:hint="eastAsia" w:ascii="宋体" w:hAnsi="宋体" w:eastAsia="宋体" w:cs="Times New Roman"/>
          <w:szCs w:val="21"/>
          <w:highlight w:val="none"/>
          <w:lang w:val="en-US" w:eastAsia="zh-CN"/>
        </w:rPr>
        <w:t>若当年深圳市最低工资标准发生变化的，</w:t>
      </w:r>
      <w:r>
        <w:rPr>
          <w:rFonts w:hint="eastAsia" w:ascii="宋体" w:hAnsi="宋体" w:cs="Times New Roman"/>
          <w:szCs w:val="21"/>
          <w:highlight w:val="none"/>
          <w:lang w:val="en-US" w:eastAsia="zh-CN"/>
        </w:rPr>
        <w:t>成交供应商</w:t>
      </w:r>
      <w:r>
        <w:rPr>
          <w:rFonts w:hint="eastAsia" w:ascii="宋体" w:hAnsi="宋体" w:eastAsia="宋体" w:cs="Times New Roman"/>
          <w:szCs w:val="21"/>
          <w:highlight w:val="none"/>
          <w:lang w:val="en-US" w:eastAsia="zh-CN"/>
        </w:rPr>
        <w:t>应作出相应调整。</w:t>
      </w:r>
      <w:r>
        <w:rPr>
          <w:rFonts w:hint="eastAsia" w:ascii="宋体" w:hAnsi="宋体" w:cs="Times New Roman"/>
          <w:szCs w:val="21"/>
          <w:highlight w:val="none"/>
          <w:lang w:val="en-US" w:eastAsia="zh-CN"/>
        </w:rPr>
        <w:t>成交供应商</w:t>
      </w:r>
      <w:r>
        <w:rPr>
          <w:rFonts w:hint="eastAsia" w:ascii="宋体" w:hAnsi="宋体" w:eastAsia="宋体" w:cs="Times New Roman"/>
          <w:szCs w:val="21"/>
          <w:highlight w:val="none"/>
          <w:lang w:val="en-US" w:eastAsia="zh-CN"/>
        </w:rPr>
        <w:t>不得拖欠员工工资（含加班工资及高温补贴等）。</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（3</w:t>
      </w:r>
      <w:r>
        <w:rPr>
          <w:rFonts w:hint="eastAsia" w:ascii="宋体" w:hAnsi="宋体" w:cs="Times New Roman"/>
          <w:szCs w:val="21"/>
          <w:highlight w:val="none"/>
          <w:lang w:val="en-US" w:eastAsia="zh-CN"/>
        </w:rPr>
        <w:t>）成交供应商</w:t>
      </w:r>
      <w:r>
        <w:rPr>
          <w:rFonts w:hint="eastAsia" w:ascii="宋体" w:hAnsi="宋体" w:eastAsia="宋体" w:cs="Times New Roman"/>
          <w:szCs w:val="21"/>
          <w:highlight w:val="none"/>
          <w:lang w:val="en-US" w:eastAsia="zh-CN"/>
        </w:rPr>
        <w:t>必须按规定比例为员工购买养老保险、医疗保险、生育险、工伤保险、失业保险、住房公积金等，并向采购单位提供相关证明材料备案。</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（4</w:t>
      </w:r>
      <w:r>
        <w:rPr>
          <w:rFonts w:hint="eastAsia" w:ascii="宋体" w:hAnsi="宋体" w:cs="Times New Roman"/>
          <w:szCs w:val="21"/>
          <w:highlight w:val="none"/>
          <w:lang w:val="en-US" w:eastAsia="zh-CN"/>
        </w:rPr>
        <w:t>）成交供应商</w:t>
      </w:r>
      <w:r>
        <w:rPr>
          <w:rFonts w:hint="eastAsia" w:ascii="宋体" w:hAnsi="宋体" w:eastAsia="宋体" w:cs="Times New Roman"/>
          <w:szCs w:val="21"/>
          <w:highlight w:val="none"/>
          <w:lang w:val="en-US" w:eastAsia="zh-CN"/>
        </w:rPr>
        <w:t>必须保障员工正常休息时间。</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（5</w:t>
      </w:r>
      <w:r>
        <w:rPr>
          <w:rFonts w:hint="eastAsia" w:ascii="宋体" w:hAnsi="宋体" w:cs="Times New Roman"/>
          <w:szCs w:val="21"/>
          <w:highlight w:val="none"/>
          <w:lang w:val="en-US" w:eastAsia="zh-CN"/>
        </w:rPr>
        <w:t>）成交供应商</w:t>
      </w:r>
      <w:r>
        <w:rPr>
          <w:rFonts w:hint="eastAsia" w:ascii="宋体" w:hAnsi="宋体" w:eastAsia="宋体" w:cs="Times New Roman"/>
          <w:szCs w:val="21"/>
          <w:highlight w:val="none"/>
          <w:lang w:val="en-US" w:eastAsia="zh-CN"/>
        </w:rPr>
        <w:t>须执行劳动管理等方面法律、法规、规章和其它规范性文件规定的有关员工保障的其他规定。</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3、必须无条件协助坪山区环卫主管部门做好环境卫生应急服务工作。</w:t>
      </w:r>
    </w:p>
    <w:p>
      <w:pPr>
        <w:keepNext w:val="0"/>
        <w:keepLines w:val="0"/>
        <w:pageBreakBefore w:val="0"/>
        <w:widowControl/>
        <w:kinsoku/>
        <w:wordWrap/>
        <w:overflowPunct/>
        <w:topLinePunct w:val="0"/>
        <w:autoSpaceDE/>
        <w:autoSpaceDN/>
        <w:bidi w:val="0"/>
        <w:adjustRightInd/>
        <w:snapToGrid/>
        <w:spacing w:after="0" w:line="360" w:lineRule="exact"/>
        <w:ind w:firstLine="420" w:firstLineChars="200"/>
        <w:jc w:val="left"/>
        <w:textAlignment w:val="auto"/>
        <w:rPr>
          <w:rFonts w:hint="default"/>
          <w:lang w:val="en-US"/>
        </w:rPr>
      </w:pPr>
      <w:r>
        <w:rPr>
          <w:rFonts w:hint="eastAsia" w:ascii="宋体" w:hAnsi="宋体" w:eastAsia="宋体" w:cs="Times New Roman"/>
          <w:szCs w:val="21"/>
          <w:highlight w:val="none"/>
          <w:lang w:val="en-US" w:eastAsia="zh-CN"/>
        </w:rPr>
        <w:t>4、</w:t>
      </w:r>
      <w:r>
        <w:rPr>
          <w:rFonts w:hint="eastAsia" w:ascii="宋体" w:hAnsi="宋体" w:cs="Times New Roman"/>
          <w:szCs w:val="21"/>
          <w:highlight w:val="none"/>
          <w:lang w:val="en-US" w:eastAsia="zh-CN"/>
        </w:rPr>
        <w:t>成交供应商</w:t>
      </w:r>
      <w:r>
        <w:rPr>
          <w:rFonts w:hint="eastAsia" w:ascii="宋体" w:hAnsi="宋体" w:eastAsia="宋体" w:cs="Times New Roman"/>
          <w:szCs w:val="21"/>
          <w:highlight w:val="none"/>
          <w:lang w:val="en-US" w:eastAsia="zh-CN"/>
        </w:rPr>
        <w:t>负责处理在履行本合同服务期间发生的一切生产、交通、安全事故并承担因此产生的所有法律责任和费用，采购方不承担任何责任和费</w:t>
      </w:r>
      <w:r>
        <w:rPr>
          <w:rFonts w:hint="eastAsia" w:ascii="宋体" w:hAnsi="宋体" w:cs="Times New Roman"/>
          <w:szCs w:val="21"/>
          <w:highlight w:val="none"/>
          <w:lang w:val="en-US" w:eastAsia="zh-CN"/>
        </w:rPr>
        <w:t>用。</w:t>
      </w:r>
    </w:p>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Times New Roman" w:hAnsi="Times New Roman" w:eastAsia="宋体" w:cs="Times New Roman"/>
        <w:kern w:val="2"/>
        <w:sz w:val="18"/>
        <w:szCs w:val="18"/>
        <w:lang w:val="en-US" w:eastAsia="zh-CN" w:bidi="ar-SA"/>
      </w:rPr>
    </w:pPr>
  </w:p>
  <w:p>
    <w:pPr>
      <w:widowControl w:val="0"/>
      <w:tabs>
        <w:tab w:val="center" w:pos="4153"/>
        <w:tab w:val="right" w:pos="8306"/>
      </w:tabs>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tabs>
                              <w:tab w:val="center" w:pos="4153"/>
                              <w:tab w:val="right" w:pos="8306"/>
                            </w:tabs>
                            <w:snapToGrid w:val="0"/>
                            <w:jc w:val="left"/>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fldChar w:fldCharType="begin"/>
                          </w:r>
                          <w:r>
                            <w:rPr>
                              <w:rFonts w:hint="eastAsia" w:ascii="Times New Roman" w:hAnsi="Times New Roman" w:eastAsia="宋体" w:cs="Times New Roman"/>
                              <w:kern w:val="2"/>
                              <w:sz w:val="18"/>
                              <w:szCs w:val="18"/>
                              <w:lang w:val="en-US" w:eastAsia="zh-CN" w:bidi="ar-SA"/>
                            </w:rPr>
                            <w:instrText xml:space="preserve"> PAGE  \* MERGEFORMAT </w:instrText>
                          </w:r>
                          <w:r>
                            <w:rPr>
                              <w:rFonts w:hint="eastAsia" w:ascii="Times New Roman" w:hAnsi="Times New Roman" w:eastAsia="宋体" w:cs="Times New Roman"/>
                              <w:kern w:val="2"/>
                              <w:sz w:val="18"/>
                              <w:szCs w:val="18"/>
                              <w:lang w:val="en-US" w:eastAsia="zh-CN" w:bidi="ar-SA"/>
                            </w:rPr>
                            <w:fldChar w:fldCharType="separate"/>
                          </w:r>
                          <w:r>
                            <w:rPr>
                              <w:rFonts w:hint="eastAsia" w:ascii="Times New Roman" w:hAnsi="Times New Roman" w:eastAsia="宋体" w:cs="Times New Roman"/>
                              <w:kern w:val="2"/>
                              <w:sz w:val="18"/>
                              <w:szCs w:val="18"/>
                              <w:lang w:val="en-US" w:eastAsia="zh-CN" w:bidi="ar-SA"/>
                            </w:rPr>
                            <w:t>2</w:t>
                          </w:r>
                          <w:r>
                            <w:rPr>
                              <w:rFonts w:hint="eastAsia" w:ascii="Times New Roman" w:hAnsi="Times New Roman" w:eastAsia="宋体" w:cs="Times New Roman"/>
                              <w:kern w:val="2"/>
                              <w:sz w:val="18"/>
                              <w:szCs w:val="18"/>
                              <w:lang w:val="en-US" w:eastAsia="zh-CN" w:bidi="ar-S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widowControl w:val="0"/>
                      <w:tabs>
                        <w:tab w:val="center" w:pos="4153"/>
                        <w:tab w:val="right" w:pos="8306"/>
                      </w:tabs>
                      <w:snapToGrid w:val="0"/>
                      <w:jc w:val="left"/>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fldChar w:fldCharType="begin"/>
                    </w:r>
                    <w:r>
                      <w:rPr>
                        <w:rFonts w:hint="eastAsia" w:ascii="Times New Roman" w:hAnsi="Times New Roman" w:eastAsia="宋体" w:cs="Times New Roman"/>
                        <w:kern w:val="2"/>
                        <w:sz w:val="18"/>
                        <w:szCs w:val="18"/>
                        <w:lang w:val="en-US" w:eastAsia="zh-CN" w:bidi="ar-SA"/>
                      </w:rPr>
                      <w:instrText xml:space="preserve"> PAGE  \* MERGEFORMAT </w:instrText>
                    </w:r>
                    <w:r>
                      <w:rPr>
                        <w:rFonts w:hint="eastAsia" w:ascii="Times New Roman" w:hAnsi="Times New Roman" w:eastAsia="宋体" w:cs="Times New Roman"/>
                        <w:kern w:val="2"/>
                        <w:sz w:val="18"/>
                        <w:szCs w:val="18"/>
                        <w:lang w:val="en-US" w:eastAsia="zh-CN" w:bidi="ar-SA"/>
                      </w:rPr>
                      <w:fldChar w:fldCharType="separate"/>
                    </w:r>
                    <w:r>
                      <w:rPr>
                        <w:rFonts w:hint="eastAsia" w:ascii="Times New Roman" w:hAnsi="Times New Roman" w:eastAsia="宋体" w:cs="Times New Roman"/>
                        <w:kern w:val="2"/>
                        <w:sz w:val="18"/>
                        <w:szCs w:val="18"/>
                        <w:lang w:val="en-US" w:eastAsia="zh-CN" w:bidi="ar-SA"/>
                      </w:rPr>
                      <w:t>2</w:t>
                    </w:r>
                    <w:r>
                      <w:rPr>
                        <w:rFonts w:hint="eastAsia" w:ascii="Times New Roman" w:hAnsi="Times New Roman" w:eastAsia="宋体" w:cs="Times New Roman"/>
                        <w:kern w:val="2"/>
                        <w:sz w:val="18"/>
                        <w:szCs w:val="18"/>
                        <w:lang w:val="en-US" w:eastAsia="zh-CN" w:bidi="ar-S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67B13A"/>
    <w:multiLevelType w:val="singleLevel"/>
    <w:tmpl w:val="BC67B13A"/>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xYTAxZDQwMjEzOWQ3ZmViNjAyNmZmZWM5NDE0YTUifQ=="/>
  </w:docVars>
  <w:rsids>
    <w:rsidRoot w:val="00000000"/>
    <w:rsid w:val="03002DD9"/>
    <w:rsid w:val="04CE4A87"/>
    <w:rsid w:val="06B2587B"/>
    <w:rsid w:val="0B7F02AB"/>
    <w:rsid w:val="0B882E7B"/>
    <w:rsid w:val="0FDF793C"/>
    <w:rsid w:val="10387702"/>
    <w:rsid w:val="11E073D9"/>
    <w:rsid w:val="11FD1053"/>
    <w:rsid w:val="121215E0"/>
    <w:rsid w:val="12850D8B"/>
    <w:rsid w:val="15963D94"/>
    <w:rsid w:val="1A9F10E8"/>
    <w:rsid w:val="1AB75577"/>
    <w:rsid w:val="202607B8"/>
    <w:rsid w:val="215D5D5A"/>
    <w:rsid w:val="234C4EBA"/>
    <w:rsid w:val="247C4FA9"/>
    <w:rsid w:val="24BF3F90"/>
    <w:rsid w:val="252C2672"/>
    <w:rsid w:val="25C759E3"/>
    <w:rsid w:val="2AC46EA9"/>
    <w:rsid w:val="2B1D6254"/>
    <w:rsid w:val="2D053278"/>
    <w:rsid w:val="2F454D5C"/>
    <w:rsid w:val="2FE54300"/>
    <w:rsid w:val="2FFBEBC4"/>
    <w:rsid w:val="31275951"/>
    <w:rsid w:val="314321F1"/>
    <w:rsid w:val="3395682A"/>
    <w:rsid w:val="33EC5B10"/>
    <w:rsid w:val="399D0116"/>
    <w:rsid w:val="3C6E4D25"/>
    <w:rsid w:val="3CF11D7F"/>
    <w:rsid w:val="3DA66684"/>
    <w:rsid w:val="3F6D730E"/>
    <w:rsid w:val="3F7F6486"/>
    <w:rsid w:val="3FE51616"/>
    <w:rsid w:val="42C56EEB"/>
    <w:rsid w:val="446E20B8"/>
    <w:rsid w:val="45001D3C"/>
    <w:rsid w:val="483A1758"/>
    <w:rsid w:val="486930A6"/>
    <w:rsid w:val="48FF352F"/>
    <w:rsid w:val="4AE54AD8"/>
    <w:rsid w:val="4B287429"/>
    <w:rsid w:val="4D094EC3"/>
    <w:rsid w:val="4EB71D1F"/>
    <w:rsid w:val="4EF56C2C"/>
    <w:rsid w:val="4FFE15A1"/>
    <w:rsid w:val="53CB69DD"/>
    <w:rsid w:val="53EF2C9C"/>
    <w:rsid w:val="54A63A44"/>
    <w:rsid w:val="54A96458"/>
    <w:rsid w:val="54E32B82"/>
    <w:rsid w:val="54F4C423"/>
    <w:rsid w:val="5731364F"/>
    <w:rsid w:val="582F3FD1"/>
    <w:rsid w:val="583B7EFB"/>
    <w:rsid w:val="58D81BED"/>
    <w:rsid w:val="58D92788"/>
    <w:rsid w:val="5AF78050"/>
    <w:rsid w:val="5D8C4262"/>
    <w:rsid w:val="60221280"/>
    <w:rsid w:val="60244C3F"/>
    <w:rsid w:val="620E1DED"/>
    <w:rsid w:val="697E0D45"/>
    <w:rsid w:val="6B113932"/>
    <w:rsid w:val="6C203CD4"/>
    <w:rsid w:val="6EDFB32D"/>
    <w:rsid w:val="6F056543"/>
    <w:rsid w:val="712771C2"/>
    <w:rsid w:val="71B798F8"/>
    <w:rsid w:val="735D4757"/>
    <w:rsid w:val="74957907"/>
    <w:rsid w:val="776E402D"/>
    <w:rsid w:val="7B123489"/>
    <w:rsid w:val="7BDD297F"/>
    <w:rsid w:val="7BEFAF58"/>
    <w:rsid w:val="7D5766A3"/>
    <w:rsid w:val="7DB44766"/>
    <w:rsid w:val="7DDE7696"/>
    <w:rsid w:val="7EBF5AA9"/>
    <w:rsid w:val="7EFFF9BE"/>
    <w:rsid w:val="7FBA734C"/>
    <w:rsid w:val="7FFB03A1"/>
    <w:rsid w:val="7FFB38FD"/>
    <w:rsid w:val="7FFD5BF6"/>
    <w:rsid w:val="9DFF73FE"/>
    <w:rsid w:val="9FB36C44"/>
    <w:rsid w:val="A7BFEB3D"/>
    <w:rsid w:val="D7FF2302"/>
    <w:rsid w:val="DFFB1462"/>
    <w:rsid w:val="DFFFCF5E"/>
    <w:rsid w:val="EDEFBD0B"/>
    <w:rsid w:val="EE9FABBA"/>
    <w:rsid w:val="EFFB70E1"/>
    <w:rsid w:val="F7260576"/>
    <w:rsid w:val="FBEF9812"/>
    <w:rsid w:val="FF2F3692"/>
    <w:rsid w:val="FF636110"/>
    <w:rsid w:val="FFBF291F"/>
    <w:rsid w:val="FFF258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autoRedefine/>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4">
    <w:name w:val="Body Text"/>
    <w:basedOn w:val="1"/>
    <w:next w:val="5"/>
    <w:autoRedefine/>
    <w:qFormat/>
    <w:uiPriority w:val="0"/>
    <w:pPr>
      <w:spacing w:after="120"/>
    </w:pPr>
  </w:style>
  <w:style w:type="paragraph" w:styleId="5">
    <w:name w:val="Quote"/>
    <w:next w:val="1"/>
    <w:autoRedefine/>
    <w:qFormat/>
    <w:uiPriority w:val="99"/>
    <w:pPr>
      <w:widowControl w:val="0"/>
      <w:jc w:val="both"/>
    </w:pPr>
    <w:rPr>
      <w:rFonts w:ascii="Calibri" w:hAnsi="Calibri" w:cs="Calibri" w:eastAsiaTheme="minorEastAsia"/>
      <w:i/>
      <w:iCs/>
      <w:color w:val="000000"/>
      <w:kern w:val="2"/>
      <w:sz w:val="22"/>
      <w:szCs w:val="22"/>
      <w:lang w:val="en-US" w:eastAsia="zh-CN" w:bidi="ar-SA"/>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character" w:styleId="9">
    <w:name w:val="Emphasis"/>
    <w:basedOn w:val="8"/>
    <w:autoRedefine/>
    <w:qFormat/>
    <w:uiPriority w:val="0"/>
    <w:rPr>
      <w:i/>
    </w:rPr>
  </w:style>
  <w:style w:type="character" w:styleId="10">
    <w:name w:val="Hyperlink"/>
    <w:basedOn w:val="8"/>
    <w:autoRedefine/>
    <w:qFormat/>
    <w:uiPriority w:val="0"/>
    <w:rPr>
      <w:color w:val="0000FF"/>
      <w:u w:val="single"/>
    </w:rPr>
  </w:style>
  <w:style w:type="paragraph" w:customStyle="1" w:styleId="11">
    <w:name w:val="Table Paragraph"/>
    <w:basedOn w:val="1"/>
    <w:autoRedefine/>
    <w:qFormat/>
    <w:uiPriority w:val="1"/>
    <w:rPr>
      <w:rFonts w:ascii="宋体" w:hAnsi="宋体" w:eastAsia="宋体" w:cs="宋体"/>
      <w:lang w:val="en-US" w:eastAsia="zh-CN" w:bidi="ar-SA"/>
    </w:rPr>
  </w:style>
  <w:style w:type="character" w:customStyle="1" w:styleId="12">
    <w:name w:val="font01"/>
    <w:basedOn w:val="8"/>
    <w:autoRedefine/>
    <w:qFormat/>
    <w:uiPriority w:val="0"/>
    <w:rPr>
      <w:rFonts w:hint="eastAsia" w:ascii="宋体" w:hAnsi="宋体" w:eastAsia="宋体" w:cs="宋体"/>
      <w:color w:val="000000"/>
      <w:sz w:val="21"/>
      <w:szCs w:val="21"/>
      <w:u w:val="none"/>
      <w:vertAlign w:val="superscript"/>
    </w:rPr>
  </w:style>
  <w:style w:type="character" w:customStyle="1" w:styleId="13">
    <w:name w:val="font11"/>
    <w:basedOn w:val="8"/>
    <w:autoRedefine/>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0</Words>
  <Characters>0</Characters>
  <Lines>0</Lines>
  <Paragraphs>0</Paragraphs>
  <TotalTime>16</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2014-11-02T20:08:00Z</dcterms:created>
  <dc:creator>DELL</dc:creator>
  <cp:lastModifiedBy>小鱼儿Jurry</cp:lastModifiedBy>
  <dcterms:modified xsi:type="dcterms:W3CDTF">2024-04-22T09:00:15Z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7EA3067A43A24506977FEC944385416B_12</vt:lpwstr>
  </property>
</Properties>
</file>