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2"/>
        </w:rPr>
      </w:pP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关于深圳自然博物馆周边道路（红花路）项目房屋征收评估机构名录的公告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因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</w:rPr>
        <w:t>深圳自然博物馆周边道路（红花路）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项目征收范围内被征收房屋、构筑（附属）物等评估需要，我局于202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月26日发布报名公告，经审核，选定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家评估机构，形成深圳自然博物馆周边道路（红花路）项目房屋征收评估机构名录。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鉴于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bidi="ar-SA"/>
        </w:rPr>
        <w:t>深圳市文集土地房地产评估工程咨询有限公司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 w:bidi="ar-SA"/>
        </w:rPr>
        <w:t>自动申请放弃本次摇号的权利，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现将房屋征收评估机构名录公示如下（排名不分先后）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：</w:t>
      </w:r>
    </w:p>
    <w:tbl>
      <w:tblPr>
        <w:tblStyle w:val="5"/>
        <w:tblW w:w="8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625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大成国际资产评估土地房地产估价（深圳）有限公司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广东国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诚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土地房地产评估有限公司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广东省大周行房地产土地资产评估有限公司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国众联资产评估土地房地产估价有限公司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深圳和达房地产土地资产评估咨询有限公司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深圳诚成土地房地产资产评估咨询有限公司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深圳市格衡土地房地产资产评估咨询有限公司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深圳市广衡房地产土地资产评估顾问有限公司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深圳市国策房地产土地资产评估有限公司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深圳市国量行资产评估土地房地产估价顾问有限公司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深圳市国潼联土地房地产资产评估顾问有限公司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深圳市国咨土地房地产资产评估有限公司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深圳市国资源土地房地产资产评估有限公司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深圳市凯基源房地产土地评估有限公司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深圳市鹏建土地房地产资产评估咨询有限公司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深圳市鹏信资产评估土地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eastAsia="zh-CN" w:bidi="ar-SA"/>
              </w:rPr>
              <w:t>房地产估价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  <w:t>深圳市鹏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 w:bidi="ar-SA"/>
              </w:rPr>
              <w:t>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  <w:t>房地产土地资产评估有限公司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深圳市深信资产评估土地房地产估价有限公司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深圳市懿元百年房地产土地咨询评估有限公司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深圳市中项资产评估房地产土地估价有限公司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bidi="ar-SA"/>
              </w:rPr>
              <w:t>深圳市尊量行土地房地产估价资产评估有限公司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壹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级</w:t>
            </w:r>
          </w:p>
        </w:tc>
      </w:tr>
    </w:tbl>
    <w:p>
      <w:pPr>
        <w:widowControl/>
        <w:shd w:val="clear"/>
        <w:wordWrap/>
        <w:spacing w:after="0"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特此公告。</w:t>
      </w:r>
    </w:p>
    <w:p>
      <w:pPr>
        <w:widowControl/>
        <w:shd w:val="clear"/>
        <w:wordWrap/>
        <w:spacing w:after="0" w:line="560" w:lineRule="exact"/>
        <w:ind w:firstLine="0"/>
        <w:jc w:val="righ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</w:p>
    <w:p>
      <w:pPr>
        <w:widowControl/>
        <w:shd w:val="clear"/>
        <w:wordWrap/>
        <w:spacing w:after="0" w:line="560" w:lineRule="exact"/>
        <w:ind w:firstLine="0" w:firstLineChars="0"/>
        <w:jc w:val="righ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深圳市坪山区城市更新和土地整备局</w:t>
      </w:r>
    </w:p>
    <w:p>
      <w:pPr>
        <w:widowControl/>
        <w:shd w:val="clear"/>
        <w:wordWrap/>
        <w:spacing w:after="0" w:line="560" w:lineRule="exact"/>
        <w:ind w:firstLine="0" w:firstLineChars="0"/>
        <w:jc w:val="right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年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/>
        </w:rPr>
        <w:t>2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/>
        </w:rPr>
        <w:t>月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/>
        </w:rPr>
        <w:t>23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日</w:t>
      </w:r>
    </w:p>
    <w:p/>
    <w:p/>
    <w:p/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1"/>
    <w:rsid w:val="001537AE"/>
    <w:rsid w:val="00354FD3"/>
    <w:rsid w:val="005153CB"/>
    <w:rsid w:val="00635D03"/>
    <w:rsid w:val="00691891"/>
    <w:rsid w:val="009B5E5C"/>
    <w:rsid w:val="009F7AE6"/>
    <w:rsid w:val="00B972C1"/>
    <w:rsid w:val="00BD2D43"/>
    <w:rsid w:val="00D92420"/>
    <w:rsid w:val="00E75761"/>
    <w:rsid w:val="058A4240"/>
    <w:rsid w:val="23EF3057"/>
    <w:rsid w:val="24EACD0B"/>
    <w:rsid w:val="2D4B73F7"/>
    <w:rsid w:val="36A87A44"/>
    <w:rsid w:val="3DCFD0D7"/>
    <w:rsid w:val="3FFADC0A"/>
    <w:rsid w:val="40F67405"/>
    <w:rsid w:val="55986F1A"/>
    <w:rsid w:val="57BB5CEE"/>
    <w:rsid w:val="63EE1696"/>
    <w:rsid w:val="6D7F1193"/>
    <w:rsid w:val="70AD6A46"/>
    <w:rsid w:val="77FBA006"/>
    <w:rsid w:val="7BBA4671"/>
    <w:rsid w:val="7C6F3623"/>
    <w:rsid w:val="7EF7882E"/>
    <w:rsid w:val="BD98107F"/>
    <w:rsid w:val="CADF2481"/>
    <w:rsid w:val="E5FFC1FD"/>
    <w:rsid w:val="E7F0BEC2"/>
    <w:rsid w:val="EAFB7DFC"/>
    <w:rsid w:val="FA610E99"/>
    <w:rsid w:val="FBF37846"/>
    <w:rsid w:val="FDD5BEC5"/>
    <w:rsid w:val="FFE7F45C"/>
    <w:rsid w:val="FF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6</TotalTime>
  <ScaleCrop>false</ScaleCrop>
  <LinksUpToDate>false</LinksUpToDate>
  <CharactersWithSpaces>527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2021-05-31T09:24:00Z</dcterms:created>
  <dc:creator>黎彩凤</dc:creator>
  <cp:lastModifiedBy>liujia</cp:lastModifiedBy>
  <dcterms:modified xsi:type="dcterms:W3CDTF">2024-04-11T11:04:45Z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