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imes New Roman" w:hAnsi="Times New Roman" w:eastAsia="方正小标宋简体" w:cs="Times New Roman"/>
          <w:sz w:val="44"/>
          <w:szCs w:val="44"/>
        </w:rPr>
      </w:pPr>
    </w:p>
    <w:p>
      <w:pPr>
        <w:spacing w:line="360" w:lineRule="auto"/>
        <w:jc w:val="center"/>
        <w:rPr>
          <w:rFonts w:ascii="Times New Roman" w:hAnsi="Times New Roman" w:eastAsia="方正小标宋简体" w:cs="Times New Roman"/>
          <w:sz w:val="44"/>
          <w:szCs w:val="44"/>
        </w:rPr>
      </w:pPr>
    </w:p>
    <w:p>
      <w:pPr>
        <w:pStyle w:val="2"/>
        <w:rPr>
          <w:rFonts w:ascii="Times New Roman" w:hAnsi="Times New Roman" w:eastAsia="方正小标宋简体" w:cs="Times New Roman"/>
          <w:sz w:val="44"/>
          <w:szCs w:val="44"/>
        </w:rPr>
      </w:pPr>
    </w:p>
    <w:p>
      <w:pPr>
        <w:pStyle w:val="3"/>
      </w:pPr>
    </w:p>
    <w:p>
      <w:pPr>
        <w:spacing w:line="560" w:lineRule="exact"/>
        <w:jc w:val="center"/>
        <w:outlineLvl w:val="0"/>
        <w:rPr>
          <w:rFonts w:ascii="方正小标宋_GBK" w:hAnsi="Times New Roman" w:eastAsia="方正小标宋_GBK" w:cs="Times New Roman"/>
          <w:sz w:val="44"/>
          <w:szCs w:val="44"/>
        </w:rPr>
      </w:pPr>
      <w:bookmarkStart w:id="0" w:name="_Toc1429106686"/>
      <w:bookmarkStart w:id="1" w:name="_Toc200838273"/>
      <w:bookmarkStart w:id="2" w:name="_Toc1904515393"/>
      <w:r>
        <w:rPr>
          <w:rFonts w:hint="eastAsia" w:ascii="方正小标宋_GBK" w:hAnsi="Times New Roman" w:eastAsia="方正小标宋_GBK" w:cs="Times New Roman"/>
          <w:sz w:val="44"/>
          <w:szCs w:val="44"/>
        </w:rPr>
        <w:t>深圳市坪山区民政局2022年部门整体预算绩效评价报告</w:t>
      </w:r>
      <w:bookmarkEnd w:id="0"/>
      <w:bookmarkEnd w:id="1"/>
      <w:bookmarkEnd w:id="2"/>
    </w:p>
    <w:p>
      <w:pPr>
        <w:pStyle w:val="3"/>
        <w:spacing w:line="600" w:lineRule="exact"/>
        <w:jc w:val="both"/>
        <w:rPr>
          <w:rFonts w:ascii="仿宋_GB2312" w:hAnsi="仿宋_GB2312" w:eastAsia="仿宋_GB2312" w:cs="Times New Roman"/>
          <w:kern w:val="2"/>
          <w:sz w:val="28"/>
          <w:szCs w:val="28"/>
          <w:lang w:val="en-US" w:bidi="ar-SA"/>
        </w:rPr>
      </w:pPr>
    </w:p>
    <w:p>
      <w:pPr>
        <w:pStyle w:val="3"/>
        <w:spacing w:line="600" w:lineRule="exact"/>
        <w:jc w:val="both"/>
        <w:rPr>
          <w:rFonts w:ascii="仿宋_GB2312" w:hAnsi="仿宋_GB2312" w:eastAsia="仿宋_GB2312" w:cs="Times New Roman"/>
          <w:kern w:val="2"/>
          <w:sz w:val="28"/>
          <w:szCs w:val="28"/>
          <w:lang w:val="en-US" w:bidi="ar-SA"/>
        </w:rPr>
      </w:pPr>
    </w:p>
    <w:p>
      <w:pPr>
        <w:pStyle w:val="3"/>
        <w:spacing w:line="600" w:lineRule="exact"/>
        <w:jc w:val="both"/>
        <w:rPr>
          <w:rFonts w:ascii="仿宋_GB2312" w:hAnsi="仿宋_GB2312" w:eastAsia="仿宋_GB2312" w:cs="Times New Roman"/>
          <w:kern w:val="2"/>
          <w:sz w:val="28"/>
          <w:szCs w:val="28"/>
          <w:lang w:val="en-US" w:bidi="ar-SA"/>
        </w:rPr>
      </w:pPr>
    </w:p>
    <w:p>
      <w:pPr>
        <w:pStyle w:val="3"/>
        <w:spacing w:line="600" w:lineRule="exact"/>
        <w:jc w:val="both"/>
        <w:rPr>
          <w:rFonts w:ascii="仿宋_GB2312" w:hAnsi="仿宋_GB2312" w:eastAsia="仿宋_GB2312" w:cs="Times New Roman"/>
          <w:kern w:val="2"/>
          <w:sz w:val="28"/>
          <w:szCs w:val="28"/>
          <w:lang w:val="en-US" w:bidi="ar-SA"/>
        </w:rPr>
      </w:pPr>
    </w:p>
    <w:p>
      <w:pPr>
        <w:pStyle w:val="3"/>
        <w:spacing w:line="600" w:lineRule="exact"/>
        <w:jc w:val="both"/>
        <w:rPr>
          <w:rFonts w:ascii="仿宋_GB2312" w:hAnsi="仿宋_GB2312" w:eastAsia="仿宋_GB2312" w:cs="Times New Roman"/>
          <w:kern w:val="2"/>
          <w:sz w:val="28"/>
          <w:szCs w:val="28"/>
          <w:lang w:val="en-US" w:bidi="ar-SA"/>
        </w:rPr>
      </w:pPr>
      <w:r>
        <w:rPr>
          <w:rFonts w:hint="eastAsia" w:ascii="仿宋_GB2312" w:hAnsi="仿宋_GB2312" w:eastAsia="仿宋_GB2312" w:cs="Times New Roman"/>
          <w:kern w:val="2"/>
          <w:lang w:val="en-US" w:bidi="ar-SA"/>
        </w:rPr>
        <w:t xml:space="preserve"> </w:t>
      </w:r>
    </w:p>
    <w:p>
      <w:pPr>
        <w:pStyle w:val="3"/>
        <w:spacing w:line="600" w:lineRule="exact"/>
        <w:jc w:val="both"/>
        <w:rPr>
          <w:rFonts w:ascii="仿宋_GB2312" w:hAnsi="仿宋_GB2312" w:eastAsia="仿宋_GB2312" w:cs="Times New Roman"/>
          <w:kern w:val="2"/>
          <w:sz w:val="28"/>
          <w:szCs w:val="28"/>
          <w:lang w:val="en-US" w:bidi="ar-SA"/>
        </w:rPr>
      </w:pPr>
    </w:p>
    <w:p>
      <w:pPr>
        <w:pStyle w:val="3"/>
        <w:spacing w:line="600" w:lineRule="exact"/>
        <w:jc w:val="both"/>
        <w:rPr>
          <w:rFonts w:ascii="仿宋_GB2312" w:hAnsi="仿宋_GB2312" w:eastAsia="仿宋_GB2312" w:cs="Times New Roman"/>
          <w:kern w:val="2"/>
          <w:sz w:val="28"/>
          <w:szCs w:val="28"/>
          <w:lang w:val="en-US" w:bidi="ar-SA"/>
        </w:rPr>
      </w:pPr>
    </w:p>
    <w:p>
      <w:pPr>
        <w:pStyle w:val="3"/>
        <w:spacing w:line="600" w:lineRule="exact"/>
        <w:jc w:val="both"/>
        <w:rPr>
          <w:rFonts w:ascii="仿宋_GB2312" w:hAnsi="仿宋_GB2312" w:eastAsia="仿宋_GB2312" w:cs="Times New Roman"/>
          <w:b/>
          <w:bCs/>
          <w:kern w:val="2"/>
          <w:lang w:val="en-US" w:bidi="ar-SA"/>
        </w:rPr>
      </w:pPr>
    </w:p>
    <w:p>
      <w:pPr>
        <w:pStyle w:val="3"/>
        <w:spacing w:line="600" w:lineRule="exact"/>
        <w:ind w:firstLine="642" w:firstLineChars="200"/>
        <w:jc w:val="both"/>
        <w:rPr>
          <w:rFonts w:ascii="仿宋_GB2312" w:hAnsi="仿宋_GB2312" w:eastAsia="仿宋_GB2312" w:cs="Times New Roman"/>
          <w:b/>
          <w:bCs/>
          <w:kern w:val="2"/>
          <w:lang w:val="en-US" w:bidi="ar-SA"/>
        </w:rPr>
      </w:pPr>
    </w:p>
    <w:p>
      <w:pPr>
        <w:pStyle w:val="3"/>
        <w:spacing w:line="600" w:lineRule="exact"/>
        <w:ind w:firstLine="642" w:firstLineChars="200"/>
        <w:jc w:val="both"/>
        <w:rPr>
          <w:rFonts w:ascii="仿宋_GB2312" w:hAnsi="仿宋_GB2312" w:eastAsia="仿宋_GB2312" w:cs="Times New Roman"/>
          <w:b/>
          <w:bCs/>
          <w:kern w:val="2"/>
          <w:lang w:val="en-US" w:bidi="ar-SA"/>
        </w:rPr>
      </w:pPr>
    </w:p>
    <w:p>
      <w:pPr>
        <w:pStyle w:val="3"/>
        <w:spacing w:line="600" w:lineRule="exact"/>
        <w:ind w:firstLine="642" w:firstLineChars="200"/>
        <w:jc w:val="both"/>
        <w:rPr>
          <w:rFonts w:ascii="仿宋_GB2312" w:hAnsi="仿宋_GB2312" w:eastAsia="仿宋_GB2312" w:cs="Times New Roman"/>
          <w:kern w:val="2"/>
          <w:lang w:val="en-US" w:bidi="ar-SA"/>
        </w:rPr>
      </w:pPr>
      <w:r>
        <w:rPr>
          <w:rFonts w:hint="eastAsia" w:ascii="仿宋_GB2312" w:hAnsi="仿宋_GB2312" w:eastAsia="仿宋_GB2312" w:cs="Times New Roman"/>
          <w:b/>
          <w:bCs/>
          <w:kern w:val="2"/>
          <w:lang w:val="en-US" w:bidi="ar-SA"/>
        </w:rPr>
        <w:t>项目名称：</w:t>
      </w:r>
      <w:r>
        <w:rPr>
          <w:rFonts w:hint="eastAsia" w:ascii="仿宋_GB2312" w:hAnsi="仿宋_GB2312" w:eastAsia="仿宋_GB2312" w:cs="Times New Roman"/>
          <w:kern w:val="2"/>
          <w:lang w:val="en-US" w:bidi="ar-SA"/>
        </w:rPr>
        <w:t>民政局2022年整体预算绩效评价</w:t>
      </w:r>
    </w:p>
    <w:p>
      <w:pPr>
        <w:widowControl/>
        <w:spacing w:line="560" w:lineRule="exact"/>
        <w:ind w:firstLine="642" w:firstLineChars="200"/>
        <w:jc w:val="left"/>
        <w:rPr>
          <w:rFonts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bidi="ar"/>
        </w:rPr>
        <w:t>项目主管部门：</w:t>
      </w:r>
      <w:r>
        <w:rPr>
          <w:rFonts w:hint="eastAsia" w:ascii="仿宋_GB2312" w:hAnsi="仿宋_GB2312" w:eastAsia="仿宋_GB2312" w:cs="仿宋_GB2312"/>
          <w:color w:val="000000"/>
          <w:kern w:val="0"/>
          <w:sz w:val="32"/>
          <w:szCs w:val="32"/>
          <w:lang w:bidi="ar"/>
        </w:rPr>
        <w:t>深圳市坪山区民政局</w:t>
      </w:r>
    </w:p>
    <w:p>
      <w:pPr>
        <w:widowControl/>
        <w:spacing w:line="560" w:lineRule="exact"/>
        <w:ind w:firstLine="642" w:firstLineChars="200"/>
        <w:jc w:val="left"/>
        <w:rPr>
          <w:rFonts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bidi="ar"/>
        </w:rPr>
        <w:t>项目实施单位：</w:t>
      </w:r>
      <w:r>
        <w:rPr>
          <w:rFonts w:hint="eastAsia" w:ascii="仿宋_GB2312" w:hAnsi="仿宋_GB2312" w:eastAsia="仿宋_GB2312" w:cs="仿宋_GB2312"/>
          <w:color w:val="000000"/>
          <w:kern w:val="0"/>
          <w:sz w:val="32"/>
          <w:szCs w:val="32"/>
          <w:lang w:bidi="ar"/>
        </w:rPr>
        <w:t>深圳市坪山区民政局</w:t>
      </w:r>
    </w:p>
    <w:p>
      <w:pPr>
        <w:widowControl/>
        <w:spacing w:line="560" w:lineRule="exact"/>
        <w:ind w:firstLine="642" w:firstLineChars="200"/>
        <w:jc w:val="left"/>
        <w:rPr>
          <w:rFonts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bidi="ar"/>
        </w:rPr>
        <w:t>评价组织单位：</w:t>
      </w:r>
      <w:r>
        <w:rPr>
          <w:rFonts w:hint="eastAsia" w:ascii="仿宋_GB2312" w:hAnsi="仿宋_GB2312" w:eastAsia="仿宋_GB2312" w:cs="仿宋_GB2312"/>
          <w:color w:val="000000"/>
          <w:kern w:val="0"/>
          <w:sz w:val="32"/>
          <w:szCs w:val="32"/>
          <w:lang w:bidi="ar"/>
        </w:rPr>
        <w:t>深圳市坪山区财政局</w:t>
      </w:r>
    </w:p>
    <w:p>
      <w:pPr>
        <w:pStyle w:val="3"/>
        <w:spacing w:line="600" w:lineRule="exact"/>
        <w:ind w:firstLine="642" w:firstLineChars="200"/>
        <w:jc w:val="both"/>
        <w:rPr>
          <w:rFonts w:ascii="仿宋_GB2312" w:hAnsi="仿宋_GB2312" w:eastAsia="仿宋_GB2312" w:cs="Times New Roman"/>
          <w:kern w:val="2"/>
          <w:sz w:val="28"/>
          <w:szCs w:val="28"/>
          <w:lang w:val="en-US" w:bidi="ar-SA"/>
        </w:rPr>
      </w:pPr>
      <w:r>
        <w:rPr>
          <w:rFonts w:hint="eastAsia" w:ascii="仿宋_GB2312" w:hAnsi="仿宋_GB2312" w:eastAsia="仿宋_GB2312" w:cs="仿宋_GB2312"/>
          <w:b/>
          <w:bCs/>
          <w:color w:val="000000"/>
          <w:lang w:bidi="ar"/>
        </w:rPr>
        <w:t>评价时间：</w:t>
      </w:r>
      <w:r>
        <w:rPr>
          <w:rFonts w:hint="eastAsia" w:ascii="仿宋_GB2312" w:hAnsi="仿宋_GB2312" w:eastAsia="仿宋_GB2312" w:cs="仿宋_GB2312"/>
          <w:color w:val="000000"/>
          <w:lang w:bidi="ar"/>
        </w:rPr>
        <w:t>2023年</w:t>
      </w:r>
      <w:r>
        <w:rPr>
          <w:rFonts w:hint="eastAsia" w:ascii="仿宋_GB2312" w:hAnsi="仿宋_GB2312" w:eastAsia="仿宋_GB2312" w:cs="仿宋_GB2312"/>
          <w:color w:val="000000"/>
          <w:lang w:val="en-US" w:bidi="ar"/>
        </w:rPr>
        <w:t>7月-2023年</w:t>
      </w:r>
      <w:r>
        <w:rPr>
          <w:rFonts w:hint="eastAsia" w:ascii="仿宋_GB2312" w:hAnsi="仿宋_GB2312" w:eastAsia="仿宋_GB2312" w:cs="仿宋_GB2312"/>
          <w:color w:val="000000"/>
          <w:lang w:bidi="ar"/>
        </w:rPr>
        <w:t>1</w:t>
      </w:r>
      <w:r>
        <w:rPr>
          <w:rFonts w:hint="eastAsia" w:ascii="仿宋_GB2312" w:hAnsi="仿宋_GB2312" w:eastAsia="仿宋_GB2312" w:cs="仿宋_GB2312"/>
          <w:color w:val="000000"/>
          <w:lang w:val="en-US" w:bidi="ar"/>
        </w:rPr>
        <w:t>1</w:t>
      </w:r>
      <w:r>
        <w:rPr>
          <w:rFonts w:hint="eastAsia" w:ascii="仿宋_GB2312" w:hAnsi="仿宋_GB2312" w:eastAsia="仿宋_GB2312" w:cs="仿宋_GB2312"/>
          <w:color w:val="000000"/>
          <w:lang w:eastAsia="zh-Hans" w:bidi="ar"/>
        </w:rPr>
        <w:t>月</w:t>
      </w:r>
    </w:p>
    <w:p>
      <w:pPr>
        <w:pStyle w:val="4"/>
        <w:rPr>
          <w:lang w:eastAsia="zh-Hans"/>
        </w:rPr>
        <w:sectPr>
          <w:headerReference r:id="rId3" w:type="default"/>
          <w:footerReference r:id="rId4" w:type="default"/>
          <w:endnotePr>
            <w:numFmt w:val="decimal"/>
          </w:endnotePr>
          <w:pgSz w:w="11906" w:h="16838"/>
          <w:pgMar w:top="1440" w:right="1800" w:bottom="1440" w:left="1800" w:header="851" w:footer="992" w:gutter="0"/>
          <w:cols w:space="425" w:num="1"/>
          <w:titlePg/>
          <w:docGrid w:type="lines" w:linePitch="312" w:charSpace="0"/>
        </w:sectPr>
      </w:pPr>
    </w:p>
    <w:p>
      <w:pPr>
        <w:pStyle w:val="4"/>
        <w:rPr>
          <w:lang w:eastAsia="zh-Hans"/>
        </w:rPr>
      </w:pPr>
    </w:p>
    <w:p>
      <w:pPr>
        <w:pStyle w:val="4"/>
        <w:jc w:val="center"/>
        <w:rPr>
          <w:rFonts w:ascii="黑体" w:hAnsi="黑体" w:eastAsia="黑体" w:cs="黑体"/>
          <w:sz w:val="32"/>
          <w:szCs w:val="32"/>
        </w:rPr>
      </w:pPr>
    </w:p>
    <w:p>
      <w:pPr>
        <w:pStyle w:val="4"/>
        <w:jc w:val="center"/>
        <w:rPr>
          <w:rFonts w:ascii="黑体" w:hAnsi="黑体" w:eastAsia="黑体" w:cs="黑体"/>
          <w:sz w:val="32"/>
          <w:szCs w:val="32"/>
        </w:rPr>
        <w:sectPr>
          <w:footerReference r:id="rId5" w:type="default"/>
          <w:footnotePr>
            <w:numFmt w:val="decimalEnclosedCircleChinese"/>
          </w:footnotePr>
          <w:endnotePr>
            <w:numFmt w:val="decimal"/>
          </w:endnotePr>
          <w:type w:val="continuous"/>
          <w:pgSz w:w="11906" w:h="16838"/>
          <w:pgMar w:top="2098" w:right="1474" w:bottom="1984" w:left="1587" w:header="851" w:footer="992" w:gutter="0"/>
          <w:pgNumType w:fmt="upperRoman" w:start="1"/>
          <w:cols w:space="0" w:num="1"/>
          <w:docGrid w:type="lines" w:linePitch="319" w:charSpace="0"/>
        </w:sectPr>
      </w:pPr>
    </w:p>
    <w:p>
      <w:pPr>
        <w:pStyle w:val="4"/>
        <w:jc w:val="center"/>
        <w:rPr>
          <w:rFonts w:ascii="黑体" w:hAnsi="黑体" w:eastAsia="黑体" w:cs="黑体"/>
          <w:sz w:val="32"/>
          <w:szCs w:val="32"/>
        </w:rPr>
      </w:pPr>
    </w:p>
    <w:p>
      <w:pPr>
        <w:pStyle w:val="4"/>
        <w:jc w:val="center"/>
        <w:rPr>
          <w:rFonts w:ascii="黑体" w:hAnsi="黑体" w:eastAsia="黑体" w:cs="黑体"/>
          <w:sz w:val="32"/>
          <w:szCs w:val="32"/>
        </w:rPr>
        <w:sectPr>
          <w:footerReference r:id="rId6" w:type="default"/>
          <w:footnotePr>
            <w:numFmt w:val="decimalEnclosedCircleChinese"/>
          </w:footnotePr>
          <w:endnotePr>
            <w:numFmt w:val="decimal"/>
          </w:endnotePr>
          <w:pgSz w:w="11906" w:h="16838"/>
          <w:pgMar w:top="2098" w:right="1474" w:bottom="1984" w:left="1587" w:header="851" w:footer="992" w:gutter="0"/>
          <w:pgNumType w:fmt="upperRoman" w:start="1"/>
          <w:cols w:space="0" w:num="1"/>
          <w:docGrid w:type="lines" w:linePitch="319" w:charSpace="0"/>
        </w:sectPr>
      </w:pPr>
    </w:p>
    <w:p>
      <w:pPr>
        <w:pStyle w:val="3"/>
        <w:adjustRightInd w:val="0"/>
        <w:snapToGrid w:val="0"/>
        <w:spacing w:line="560" w:lineRule="exact"/>
        <w:ind w:firstLine="640" w:firstLineChars="200"/>
        <w:jc w:val="both"/>
        <w:rPr>
          <w:rFonts w:ascii="仿宋_GB2312" w:hAnsi="仿宋_GB2312" w:eastAsia="仿宋_GB2312" w:cs="仿宋_GB2312"/>
          <w:kern w:val="2"/>
          <w:lang w:val="en-US" w:bidi="ar-SA"/>
        </w:rPr>
      </w:pPr>
      <w:bookmarkStart w:id="3" w:name="_Toc26970288"/>
      <w:bookmarkStart w:id="4" w:name="_Toc16026"/>
      <w:bookmarkStart w:id="5" w:name="_Toc2423"/>
      <w:bookmarkStart w:id="6" w:name="_Toc21969120"/>
      <w:bookmarkStart w:id="7" w:name="_Toc22584897"/>
      <w:bookmarkStart w:id="8" w:name="_Toc20936"/>
      <w:bookmarkStart w:id="9" w:name="_Toc16946"/>
      <w:r>
        <w:rPr>
          <w:rFonts w:hint="eastAsia" w:ascii="仿宋_GB2312" w:hAnsi="仿宋_GB2312" w:eastAsia="仿宋_GB2312" w:cs="仿宋_GB2312"/>
          <w:kern w:val="2"/>
          <w:lang w:val="en-US" w:bidi="ar-SA"/>
        </w:rPr>
        <w:t>为深入贯彻落实《中共中央 国务院关于全面实施预算绩效管理的意见》（中发〔2018〕34号）精神和《关于贯彻落实全面实施预算绩效管理有关事项的通知》（深财绩〔2019〕5号）要求，推进坪山区全面实施绩效管理，落实预算执行和绩效管理主体责任，提高财政资金使用效益，深圳市坪山区财政局组建绩效评价小组，于2023年7月至11月对深圳市坪山区民政局（以下简称“区民政局”）2022年部门整体预算执行情况开展了绩效评价。</w:t>
      </w:r>
    </w:p>
    <w:p>
      <w:pPr>
        <w:pStyle w:val="5"/>
        <w:tabs>
          <w:tab w:val="clear" w:pos="0"/>
        </w:tabs>
        <w:adjustRightInd w:val="0"/>
        <w:snapToGrid w:val="0"/>
        <w:spacing w:before="0" w:after="0" w:line="560" w:lineRule="exact"/>
        <w:ind w:firstLine="640" w:firstLineChars="200"/>
        <w:jc w:val="both"/>
        <w:rPr>
          <w:rFonts w:eastAsia="黑体"/>
          <w:b w:val="0"/>
          <w:bCs w:val="0"/>
          <w:szCs w:val="32"/>
          <w:lang w:eastAsia="zh-CN"/>
        </w:rPr>
      </w:pPr>
      <w:bookmarkStart w:id="10" w:name="_Toc946451616"/>
      <w:bookmarkStart w:id="11" w:name="_Toc149655091"/>
      <w:bookmarkStart w:id="12" w:name="_Toc1792044874"/>
      <w:bookmarkStart w:id="13" w:name="_Toc1538963554"/>
      <w:bookmarkStart w:id="14" w:name="_Toc1829648200"/>
      <w:bookmarkStart w:id="15" w:name="_Toc1417991752"/>
      <w:r>
        <w:rPr>
          <w:rFonts w:eastAsia="黑体"/>
          <w:b w:val="0"/>
          <w:bCs w:val="0"/>
          <w:szCs w:val="32"/>
          <w:lang w:eastAsia="zh-CN"/>
        </w:rPr>
        <w:t>一、部门基本情况</w:t>
      </w:r>
      <w:bookmarkEnd w:id="3"/>
      <w:bookmarkEnd w:id="4"/>
      <w:bookmarkEnd w:id="5"/>
      <w:bookmarkEnd w:id="6"/>
      <w:bookmarkEnd w:id="7"/>
      <w:bookmarkEnd w:id="8"/>
      <w:bookmarkEnd w:id="9"/>
      <w:bookmarkEnd w:id="10"/>
      <w:bookmarkEnd w:id="11"/>
      <w:bookmarkEnd w:id="12"/>
      <w:bookmarkEnd w:id="13"/>
      <w:bookmarkEnd w:id="14"/>
      <w:bookmarkEnd w:id="15"/>
    </w:p>
    <w:p>
      <w:pPr>
        <w:pStyle w:val="37"/>
        <w:numPr>
          <w:ilvl w:val="255"/>
          <w:numId w:val="0"/>
        </w:numPr>
        <w:adjustRightInd w:val="0"/>
        <w:snapToGrid w:val="0"/>
        <w:spacing w:line="560" w:lineRule="exact"/>
        <w:ind w:firstLine="640" w:firstLineChars="200"/>
        <w:outlineLvl w:val="1"/>
        <w:rPr>
          <w:rFonts w:ascii="Times New Roman" w:hAnsi="Times New Roman" w:eastAsia="楷体_GB2312" w:cs="Times New Roman"/>
          <w:sz w:val="32"/>
          <w:szCs w:val="32"/>
        </w:rPr>
      </w:pPr>
      <w:bookmarkStart w:id="16" w:name="_Toc440048143"/>
      <w:bookmarkStart w:id="17" w:name="_Toc1067407610"/>
      <w:bookmarkStart w:id="18" w:name="_Toc600936783"/>
      <w:bookmarkStart w:id="19" w:name="_Toc1078956007"/>
      <w:bookmarkStart w:id="20" w:name="_Toc1561345105"/>
      <w:bookmarkStart w:id="21" w:name="_Toc149655092"/>
      <w:r>
        <w:rPr>
          <w:rFonts w:ascii="Times New Roman" w:hAnsi="Times New Roman" w:eastAsia="楷体_GB2312" w:cs="Times New Roman"/>
          <w:sz w:val="32"/>
          <w:szCs w:val="32"/>
        </w:rPr>
        <w:t>（一）部门职能</w:t>
      </w:r>
      <w:bookmarkEnd w:id="16"/>
      <w:bookmarkEnd w:id="17"/>
      <w:bookmarkEnd w:id="18"/>
      <w:bookmarkEnd w:id="19"/>
      <w:bookmarkEnd w:id="20"/>
      <w:bookmarkEnd w:id="21"/>
    </w:p>
    <w:p>
      <w:pPr>
        <w:pStyle w:val="64"/>
        <w:spacing w:line="560" w:lineRule="exact"/>
        <w:ind w:firstLine="643"/>
        <w:outlineLvl w:val="2"/>
        <w:rPr>
          <w:rFonts w:hAnsi="仿宋_GB2312"/>
          <w:b/>
          <w:bCs/>
        </w:rPr>
      </w:pPr>
      <w:r>
        <w:rPr>
          <w:rFonts w:hint="eastAsia" w:hAnsi="仿宋_GB2312"/>
          <w:b/>
          <w:bCs/>
        </w:rPr>
        <w:t>1.主要职能</w:t>
      </w:r>
    </w:p>
    <w:p>
      <w:pPr>
        <w:pStyle w:val="3"/>
        <w:adjustRightInd w:val="0"/>
        <w:snapToGrid w:val="0"/>
        <w:spacing w:line="560" w:lineRule="exact"/>
        <w:ind w:firstLine="640" w:firstLineChars="200"/>
        <w:jc w:val="both"/>
        <w:rPr>
          <w:rFonts w:ascii="仿宋_GB2312" w:hAnsi="仿宋_GB2312" w:eastAsia="仿宋_GB2312" w:cs="仿宋_GB2312"/>
          <w:kern w:val="2"/>
          <w:lang w:val="en-US" w:bidi="ar-SA"/>
        </w:rPr>
      </w:pPr>
      <w:r>
        <w:rPr>
          <w:rFonts w:hint="eastAsia" w:ascii="仿宋_GB2312" w:hAnsi="仿宋_GB2312" w:eastAsia="仿宋_GB2312" w:cs="仿宋_GB2312"/>
          <w:kern w:val="2"/>
          <w:lang w:val="en-US" w:bidi="ar-SA"/>
        </w:rPr>
        <w:t>执行上级单位关于民政、残疾人、社会福利等工作方针政策，负责社会福利机构、社会团体及民办非企业单位登记、管理，行政区划、社区建设等工作，组织实施居民最低生活保障、临时救助，完善社会救助体系，协调残疾人无障碍设施建设工作。统筹规划政府购买社工服务项目，对社工机构进行业务指导，推进社会工作人才队伍建设、居务公开、站务公开，总结推广社区工作经验，推动社区基层民主政治建设。负责社会福利工作，负责救助服务及婚姻登记事务性工作，联系和协调区残疾人联合会工作。</w:t>
      </w:r>
    </w:p>
    <w:p>
      <w:pPr>
        <w:pStyle w:val="64"/>
        <w:spacing w:line="560" w:lineRule="exact"/>
        <w:ind w:firstLine="643"/>
        <w:outlineLvl w:val="2"/>
        <w:rPr>
          <w:rFonts w:hAnsi="仿宋_GB2312"/>
          <w:b/>
          <w:bCs/>
        </w:rPr>
      </w:pPr>
      <w:r>
        <w:rPr>
          <w:rFonts w:hint="eastAsia" w:hAnsi="仿宋_GB2312"/>
          <w:b/>
          <w:bCs/>
        </w:rPr>
        <w:t>2.机构设置及人员情况</w:t>
      </w:r>
    </w:p>
    <w:p>
      <w:pPr>
        <w:pStyle w:val="3"/>
        <w:adjustRightInd w:val="0"/>
        <w:snapToGrid w:val="0"/>
        <w:spacing w:line="560" w:lineRule="exact"/>
        <w:ind w:firstLine="640" w:firstLineChars="200"/>
        <w:jc w:val="both"/>
        <w:rPr>
          <w:rFonts w:ascii="仿宋_GB2312" w:hAnsi="仿宋_GB2312" w:eastAsia="仿宋_GB2312" w:cs="仿宋_GB2312"/>
          <w:kern w:val="2"/>
          <w:lang w:val="en-US" w:bidi="ar-SA"/>
        </w:rPr>
      </w:pPr>
      <w:r>
        <w:rPr>
          <w:rFonts w:hint="eastAsia" w:ascii="仿宋_GB2312" w:hAnsi="仿宋_GB2312" w:eastAsia="仿宋_GB2312" w:cs="仿宋_GB2312"/>
          <w:kern w:val="2"/>
          <w:lang w:val="en-US" w:bidi="ar-SA"/>
        </w:rPr>
        <w:t>区民政局本级共设置4个科室，分别是办公室（审批科），残联事务科，社会组织管理科，社区建设和社会工作科。民政局下属事业单位坪山区社会福利中心共设置3个部门，分别为婚姻事务部、社会救助和社会事务部、养老服务和儿童福利部。</w:t>
      </w:r>
    </w:p>
    <w:p>
      <w:pPr>
        <w:pStyle w:val="3"/>
        <w:adjustRightInd w:val="0"/>
        <w:snapToGrid w:val="0"/>
        <w:spacing w:line="560" w:lineRule="exact"/>
        <w:ind w:firstLine="640" w:firstLineChars="200"/>
        <w:jc w:val="both"/>
        <w:rPr>
          <w:rFonts w:ascii="仿宋_GB2312" w:hAnsi="仿宋_GB2312" w:eastAsia="仿宋_GB2312" w:cs="仿宋_GB2312"/>
          <w:kern w:val="2"/>
          <w:lang w:val="en-US" w:bidi="ar-SA"/>
        </w:rPr>
      </w:pPr>
      <w:r>
        <w:rPr>
          <w:rFonts w:hint="eastAsia" w:ascii="仿宋_GB2312" w:hAnsi="仿宋_GB2312" w:eastAsia="仿宋_GB2312" w:cs="仿宋_GB2312"/>
          <w:kern w:val="2"/>
          <w:lang w:val="en-US" w:bidi="ar-SA"/>
        </w:rPr>
        <w:t>2022年，深圳市坪山区民政局本级及下属单位深圳市坪山区社会福利中心核定编制数总计22名，实际在编人数为20名。其中本级行政编制数12人，实有在编人数10人；下属单位事业编制数10人，实有在编人数10人。</w:t>
      </w:r>
    </w:p>
    <w:p>
      <w:pPr>
        <w:pStyle w:val="37"/>
        <w:numPr>
          <w:ilvl w:val="255"/>
          <w:numId w:val="0"/>
        </w:numPr>
        <w:adjustRightInd w:val="0"/>
        <w:snapToGrid w:val="0"/>
        <w:spacing w:line="560" w:lineRule="exact"/>
        <w:ind w:firstLine="640" w:firstLineChars="200"/>
        <w:outlineLvl w:val="1"/>
        <w:rPr>
          <w:rFonts w:ascii="Times New Roman" w:hAnsi="Times New Roman" w:eastAsia="楷体_GB2312" w:cs="Times New Roman"/>
          <w:sz w:val="32"/>
          <w:szCs w:val="32"/>
        </w:rPr>
      </w:pPr>
      <w:bookmarkStart w:id="22" w:name="_Toc328920040"/>
      <w:bookmarkStart w:id="23" w:name="_Toc1424497042"/>
      <w:bookmarkStart w:id="24" w:name="_Toc2102942780"/>
      <w:bookmarkStart w:id="25" w:name="_Toc1988797879"/>
      <w:bookmarkStart w:id="26" w:name="_Toc149655093"/>
      <w:bookmarkStart w:id="27" w:name="_Toc661694381"/>
      <w:bookmarkStart w:id="28" w:name="_Toc26970290"/>
      <w:bookmarkStart w:id="29" w:name="_Toc15973"/>
      <w:bookmarkStart w:id="30" w:name="_Toc21969122"/>
      <w:bookmarkStart w:id="31" w:name="_Toc25341"/>
      <w:bookmarkStart w:id="32" w:name="_Toc22584899"/>
      <w:bookmarkStart w:id="33" w:name="_Toc20295"/>
      <w:bookmarkStart w:id="34" w:name="_Toc3317"/>
      <w:r>
        <w:rPr>
          <w:rFonts w:ascii="Times New Roman" w:hAnsi="Times New Roman" w:eastAsia="楷体_GB2312" w:cs="Times New Roman"/>
          <w:sz w:val="32"/>
          <w:szCs w:val="32"/>
        </w:rPr>
        <w:t>（二）部门管理</w:t>
      </w:r>
      <w:bookmarkEnd w:id="22"/>
      <w:bookmarkEnd w:id="23"/>
      <w:bookmarkEnd w:id="24"/>
      <w:bookmarkEnd w:id="25"/>
      <w:bookmarkEnd w:id="26"/>
      <w:bookmarkEnd w:id="27"/>
      <w:bookmarkEnd w:id="28"/>
    </w:p>
    <w:p>
      <w:pPr>
        <w:pStyle w:val="64"/>
        <w:spacing w:line="560" w:lineRule="exact"/>
        <w:ind w:firstLine="643"/>
        <w:rPr>
          <w:rFonts w:hAnsi="仿宋_GB2312"/>
        </w:rPr>
      </w:pPr>
      <w:r>
        <w:rPr>
          <w:rFonts w:hint="eastAsia" w:hAnsi="仿宋_GB2312"/>
          <w:b w:val="0"/>
          <w:bCs w:val="0"/>
        </w:rPr>
        <w:t>在重大事项决策方面，</w:t>
      </w:r>
      <w:r>
        <w:rPr>
          <w:rFonts w:hint="eastAsia" w:hAnsi="仿宋_GB2312"/>
        </w:rPr>
        <w:t>对于区民政局发展战略、规划、改革；领导成员及部门分工与调整；有关人员的录（聘）用、推荐、考核、调整、奖惩、辞退等问题；投资较大的项目，金额较大的固定资产投入及财务开支问题；重要制度的制定和修改等重大问题，均采取领导集体研究决策的形式，通过召开局</w:t>
      </w:r>
      <w:r>
        <w:rPr>
          <w:rFonts w:hint="eastAsia" w:hAnsi="仿宋_GB2312"/>
          <w:lang w:eastAsia="zh-CN"/>
        </w:rPr>
        <w:t>党组</w:t>
      </w:r>
      <w:r>
        <w:rPr>
          <w:rFonts w:hint="eastAsia" w:hAnsi="仿宋_GB2312"/>
        </w:rPr>
        <w:t>会议，经讨论、逐项表决做出最终决策。</w:t>
      </w:r>
      <w:r>
        <w:rPr>
          <w:rFonts w:hint="eastAsia" w:hAnsi="仿宋_GB2312"/>
          <w:b w:val="0"/>
          <w:bCs w:val="0"/>
        </w:rPr>
        <w:t>在目标设定方面</w:t>
      </w:r>
      <w:r>
        <w:rPr>
          <w:rFonts w:hint="eastAsia" w:hAnsi="仿宋_GB2312"/>
        </w:rPr>
        <w:t>，区民政局基于</w:t>
      </w:r>
      <w:r>
        <w:rPr>
          <w:rFonts w:hint="default" w:hAnsi="仿宋_GB2312"/>
          <w:lang w:val="en"/>
        </w:rPr>
        <w:t>“</w:t>
      </w:r>
      <w:r>
        <w:rPr>
          <w:rFonts w:hint="eastAsia" w:hAnsi="仿宋_GB2312"/>
        </w:rPr>
        <w:t>三定</w:t>
      </w:r>
      <w:r>
        <w:rPr>
          <w:rFonts w:hint="default" w:hAnsi="仿宋_GB2312"/>
          <w:lang w:val="en"/>
        </w:rPr>
        <w:t>”</w:t>
      </w:r>
      <w:r>
        <w:rPr>
          <w:rFonts w:hint="eastAsia" w:hAnsi="仿宋_GB2312"/>
        </w:rPr>
        <w:t>方案和上级任务，制定年度计划，各项任务分解、落实到各责任科室。</w:t>
      </w:r>
      <w:r>
        <w:rPr>
          <w:rFonts w:hint="eastAsia" w:hAnsi="仿宋_GB2312"/>
          <w:b w:val="0"/>
          <w:bCs w:val="0"/>
        </w:rPr>
        <w:t>在预算编制方面</w:t>
      </w:r>
      <w:r>
        <w:rPr>
          <w:rFonts w:hint="eastAsia" w:hAnsi="仿宋_GB2312"/>
        </w:rPr>
        <w:t>，</w:t>
      </w:r>
      <w:r>
        <w:rPr>
          <w:rFonts w:hint="eastAsia" w:hAnsi="仿宋_GB2312"/>
          <w:w w:val="105"/>
        </w:rPr>
        <w:t>根据2022年度工作重点在不同项目、不同用途之间进行了分配，基本符合财政部门关</w:t>
      </w:r>
      <w:bookmarkStart w:id="207" w:name="_GoBack"/>
      <w:bookmarkEnd w:id="207"/>
      <w:r>
        <w:rPr>
          <w:rFonts w:hint="eastAsia" w:hAnsi="仿宋_GB2312"/>
          <w:w w:val="105"/>
        </w:rPr>
        <w:t>于2022年度预算编制的各项原则和要求</w:t>
      </w:r>
      <w:r>
        <w:rPr>
          <w:rFonts w:hint="eastAsia" w:hAnsi="仿宋_GB2312"/>
        </w:rPr>
        <w:t>，综合各科室申报项目的轻重缓急程度进行审定。</w:t>
      </w:r>
    </w:p>
    <w:p>
      <w:pPr>
        <w:pStyle w:val="37"/>
        <w:numPr>
          <w:ilvl w:val="255"/>
          <w:numId w:val="0"/>
        </w:numPr>
        <w:adjustRightInd w:val="0"/>
        <w:snapToGrid w:val="0"/>
        <w:spacing w:line="560" w:lineRule="exact"/>
        <w:ind w:firstLine="640" w:firstLineChars="200"/>
        <w:outlineLvl w:val="1"/>
        <w:rPr>
          <w:rFonts w:ascii="Times New Roman" w:hAnsi="Times New Roman" w:eastAsia="楷体_GB2312" w:cs="Times New Roman"/>
          <w:sz w:val="32"/>
          <w:szCs w:val="32"/>
        </w:rPr>
      </w:pPr>
      <w:bookmarkStart w:id="35" w:name="_Toc536204902"/>
      <w:bookmarkStart w:id="36" w:name="_Toc1427137301"/>
      <w:bookmarkStart w:id="37" w:name="_Toc26970291"/>
      <w:bookmarkStart w:id="38" w:name="_Toc1374088138"/>
      <w:bookmarkStart w:id="39" w:name="_Toc873441134"/>
      <w:bookmarkStart w:id="40" w:name="_Toc149655094"/>
      <w:bookmarkStart w:id="41" w:name="_Toc142986798"/>
      <w:r>
        <w:rPr>
          <w:rFonts w:ascii="Times New Roman" w:hAnsi="Times New Roman" w:eastAsia="楷体_GB2312" w:cs="Times New Roman"/>
          <w:sz w:val="32"/>
          <w:szCs w:val="32"/>
        </w:rPr>
        <w:t>（三）部门整体绩效目标</w:t>
      </w:r>
      <w:bookmarkEnd w:id="29"/>
      <w:bookmarkEnd w:id="30"/>
      <w:bookmarkEnd w:id="31"/>
      <w:bookmarkEnd w:id="32"/>
      <w:bookmarkEnd w:id="33"/>
      <w:bookmarkEnd w:id="34"/>
      <w:r>
        <w:rPr>
          <w:rFonts w:ascii="Times New Roman" w:hAnsi="Times New Roman" w:eastAsia="楷体_GB2312" w:cs="Times New Roman"/>
          <w:sz w:val="32"/>
          <w:szCs w:val="32"/>
        </w:rPr>
        <w:t>及指标完成情况</w:t>
      </w:r>
      <w:bookmarkEnd w:id="35"/>
      <w:bookmarkEnd w:id="36"/>
      <w:bookmarkEnd w:id="37"/>
      <w:bookmarkEnd w:id="38"/>
      <w:bookmarkEnd w:id="39"/>
      <w:bookmarkEnd w:id="40"/>
      <w:bookmarkEnd w:id="41"/>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2022年区民政局部门整体支出绩效目标：贯彻执行国家、省、市关于养老、残疾人、社会福利等工作方针、政策和法规，深入贯彻</w:t>
      </w:r>
      <w:r>
        <w:rPr>
          <w:rFonts w:hint="eastAsia" w:ascii="仿宋_GB2312" w:hAnsi="仿宋_GB2312" w:eastAsia="仿宋_GB2312" w:cs="仿宋_GB2312"/>
          <w:sz w:val="32"/>
          <w:szCs w:val="32"/>
          <w:lang w:eastAsia="zh-CN"/>
        </w:rPr>
        <w:t>习近平</w:t>
      </w:r>
      <w:r>
        <w:rPr>
          <w:rFonts w:hint="eastAsia" w:ascii="仿宋_GB2312" w:hAnsi="仿宋_GB2312" w:eastAsia="仿宋_GB2312" w:cs="仿宋_GB2312"/>
          <w:sz w:val="32"/>
          <w:szCs w:val="32"/>
        </w:rPr>
        <w:t>总书记关于民政工作重要指示批示精神，落实区委</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区政府各项决策部署，紧扣全市民政工作会议要求，抓重点，创亮点，以扎实落实“六稳”“六保”任务为主线，全力谋划民政工作“创新点”，打造民生“幸福点”，提升群众幸福感、获得感，推进民政系统疫情防控和民生保障发展目标双胜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2022年区民政局部门整体绩效指标完成情况良好。</w:t>
      </w:r>
    </w:p>
    <w:p>
      <w:pPr>
        <w:pStyle w:val="37"/>
        <w:numPr>
          <w:ilvl w:val="255"/>
          <w:numId w:val="0"/>
        </w:numPr>
        <w:adjustRightInd w:val="0"/>
        <w:snapToGrid w:val="0"/>
        <w:spacing w:line="560" w:lineRule="exact"/>
        <w:ind w:firstLine="640" w:firstLineChars="200"/>
        <w:outlineLvl w:val="1"/>
        <w:rPr>
          <w:rFonts w:ascii="Times New Roman" w:hAnsi="Times New Roman" w:eastAsia="楷体_GB2312" w:cs="Times New Roman"/>
          <w:sz w:val="32"/>
          <w:szCs w:val="32"/>
        </w:rPr>
      </w:pPr>
      <w:bookmarkStart w:id="42" w:name="_Toc31874"/>
      <w:bookmarkStart w:id="43" w:name="_Toc21969123"/>
      <w:bookmarkStart w:id="44" w:name="_Toc31565"/>
      <w:bookmarkStart w:id="45" w:name="_Toc6638"/>
      <w:bookmarkStart w:id="46" w:name="_Toc29450"/>
      <w:bookmarkStart w:id="47" w:name="_Toc22584900"/>
      <w:bookmarkStart w:id="48" w:name="_Toc651764564"/>
      <w:bookmarkStart w:id="49" w:name="_Toc1874411893"/>
      <w:bookmarkStart w:id="50" w:name="_Toc1154405102"/>
      <w:bookmarkStart w:id="51" w:name="_Toc144912993"/>
      <w:bookmarkStart w:id="52" w:name="_Toc260195528"/>
      <w:bookmarkStart w:id="53" w:name="_Toc149655095"/>
      <w:bookmarkStart w:id="54" w:name="_Toc26970292"/>
      <w:r>
        <w:rPr>
          <w:rFonts w:ascii="Times New Roman" w:hAnsi="Times New Roman" w:eastAsia="楷体_GB2312" w:cs="Times New Roman"/>
          <w:sz w:val="32"/>
          <w:szCs w:val="32"/>
        </w:rPr>
        <w:t>（</w:t>
      </w:r>
      <w:bookmarkEnd w:id="42"/>
      <w:bookmarkEnd w:id="43"/>
      <w:bookmarkEnd w:id="44"/>
      <w:bookmarkEnd w:id="45"/>
      <w:bookmarkEnd w:id="46"/>
      <w:bookmarkEnd w:id="47"/>
      <w:r>
        <w:rPr>
          <w:rFonts w:ascii="Times New Roman" w:hAnsi="Times New Roman" w:eastAsia="楷体_GB2312" w:cs="Times New Roman"/>
          <w:sz w:val="32"/>
          <w:szCs w:val="32"/>
        </w:rPr>
        <w:t>四）部门整体收支情况</w:t>
      </w:r>
      <w:bookmarkEnd w:id="48"/>
      <w:bookmarkEnd w:id="49"/>
      <w:bookmarkEnd w:id="50"/>
      <w:bookmarkEnd w:id="51"/>
      <w:bookmarkEnd w:id="52"/>
      <w:bookmarkEnd w:id="53"/>
      <w:bookmarkEnd w:id="54"/>
    </w:p>
    <w:p>
      <w:pPr>
        <w:pStyle w:val="64"/>
        <w:spacing w:line="560" w:lineRule="exact"/>
        <w:ind w:firstLine="643"/>
        <w:outlineLvl w:val="2"/>
        <w:rPr>
          <w:rFonts w:hAnsi="仿宋_GB2312"/>
          <w:b/>
          <w:bCs/>
        </w:rPr>
      </w:pPr>
      <w:r>
        <w:rPr>
          <w:rFonts w:hint="eastAsia" w:hAnsi="仿宋_GB2312"/>
          <w:b/>
          <w:bCs/>
        </w:rPr>
        <w:t>1.收入情况</w:t>
      </w:r>
    </w:p>
    <w:p>
      <w:pPr>
        <w:adjustRightInd w:val="0"/>
        <w:snapToGrid w:val="0"/>
        <w:spacing w:line="560" w:lineRule="exact"/>
        <w:ind w:firstLine="672" w:firstLineChars="200"/>
        <w:rPr>
          <w:rFonts w:ascii="仿宋_GB2312" w:hAnsi="仿宋_GB2312" w:eastAsia="仿宋_GB2312" w:cs="仿宋_GB2312"/>
          <w:w w:val="105"/>
          <w:sz w:val="32"/>
          <w:szCs w:val="32"/>
          <w:lang w:eastAsia="zh-Hans"/>
        </w:rPr>
      </w:pPr>
      <w:r>
        <w:rPr>
          <w:rFonts w:hint="eastAsia" w:ascii="仿宋_GB2312" w:hAnsi="仿宋_GB2312" w:eastAsia="仿宋_GB2312" w:cs="仿宋_GB2312"/>
          <w:w w:val="105"/>
          <w:sz w:val="32"/>
          <w:szCs w:val="32"/>
          <w:lang w:eastAsia="zh-Hans"/>
        </w:rPr>
        <w:t>202</w:t>
      </w:r>
      <w:r>
        <w:rPr>
          <w:rFonts w:hint="eastAsia" w:ascii="仿宋_GB2312" w:hAnsi="仿宋_GB2312" w:eastAsia="仿宋_GB2312" w:cs="仿宋_GB2312"/>
          <w:w w:val="105"/>
          <w:sz w:val="32"/>
          <w:szCs w:val="32"/>
        </w:rPr>
        <w:t>2</w:t>
      </w:r>
      <w:r>
        <w:rPr>
          <w:rFonts w:hint="eastAsia" w:ascii="仿宋_GB2312" w:hAnsi="仿宋_GB2312" w:eastAsia="仿宋_GB2312" w:cs="仿宋_GB2312"/>
          <w:w w:val="105"/>
          <w:sz w:val="32"/>
          <w:szCs w:val="32"/>
          <w:lang w:eastAsia="zh-Hans"/>
        </w:rPr>
        <w:t>年区民政局年初部门预算总收入4</w:t>
      </w:r>
      <w:r>
        <w:rPr>
          <w:rFonts w:hint="eastAsia" w:ascii="仿宋_GB2312" w:hAnsi="仿宋_GB2312" w:eastAsia="仿宋_GB2312" w:cs="仿宋_GB2312"/>
          <w:w w:val="105"/>
          <w:sz w:val="32"/>
          <w:szCs w:val="32"/>
        </w:rPr>
        <w:t>,</w:t>
      </w:r>
      <w:r>
        <w:rPr>
          <w:rFonts w:hint="eastAsia" w:ascii="仿宋_GB2312" w:hAnsi="仿宋_GB2312" w:eastAsia="仿宋_GB2312" w:cs="仿宋_GB2312"/>
          <w:w w:val="105"/>
          <w:sz w:val="32"/>
          <w:szCs w:val="32"/>
          <w:lang w:eastAsia="zh-Hans"/>
        </w:rPr>
        <w:t>425</w:t>
      </w:r>
      <w:r>
        <w:rPr>
          <w:rFonts w:hint="eastAsia" w:ascii="仿宋_GB2312" w:hAnsi="仿宋_GB2312" w:eastAsia="仿宋_GB2312" w:cs="仿宋_GB2312"/>
          <w:w w:val="105"/>
          <w:sz w:val="32"/>
          <w:szCs w:val="32"/>
        </w:rPr>
        <w:t>.</w:t>
      </w:r>
      <w:r>
        <w:rPr>
          <w:rFonts w:hint="eastAsia" w:ascii="仿宋_GB2312" w:hAnsi="仿宋_GB2312" w:eastAsia="仿宋_GB2312" w:cs="仿宋_GB2312"/>
          <w:w w:val="105"/>
          <w:sz w:val="32"/>
          <w:szCs w:val="32"/>
          <w:lang w:eastAsia="zh-Hans"/>
        </w:rPr>
        <w:t>59万元，其中：一般公共预算财政拨款收入3</w:t>
      </w:r>
      <w:r>
        <w:rPr>
          <w:rFonts w:hint="eastAsia" w:ascii="仿宋_GB2312" w:hAnsi="仿宋_GB2312" w:eastAsia="仿宋_GB2312" w:cs="仿宋_GB2312"/>
          <w:w w:val="105"/>
          <w:sz w:val="32"/>
          <w:szCs w:val="32"/>
        </w:rPr>
        <w:t>,</w:t>
      </w:r>
      <w:r>
        <w:rPr>
          <w:rFonts w:hint="eastAsia" w:ascii="仿宋_GB2312" w:hAnsi="仿宋_GB2312" w:eastAsia="仿宋_GB2312" w:cs="仿宋_GB2312"/>
          <w:w w:val="105"/>
          <w:sz w:val="32"/>
          <w:szCs w:val="32"/>
          <w:lang w:eastAsia="zh-Hans"/>
        </w:rPr>
        <w:t>807</w:t>
      </w:r>
      <w:r>
        <w:rPr>
          <w:rFonts w:hint="eastAsia" w:ascii="仿宋_GB2312" w:hAnsi="仿宋_GB2312" w:eastAsia="仿宋_GB2312" w:cs="仿宋_GB2312"/>
          <w:w w:val="105"/>
          <w:sz w:val="32"/>
          <w:szCs w:val="32"/>
        </w:rPr>
        <w:t>.</w:t>
      </w:r>
      <w:r>
        <w:rPr>
          <w:rFonts w:hint="eastAsia" w:ascii="仿宋_GB2312" w:hAnsi="仿宋_GB2312" w:eastAsia="仿宋_GB2312" w:cs="仿宋_GB2312"/>
          <w:w w:val="105"/>
          <w:sz w:val="32"/>
          <w:szCs w:val="32"/>
          <w:lang w:eastAsia="zh-Hans"/>
        </w:rPr>
        <w:t>86万元</w:t>
      </w:r>
      <w:r>
        <w:rPr>
          <w:rFonts w:hint="eastAsia" w:ascii="仿宋_GB2312" w:hAnsi="仿宋_GB2312" w:eastAsia="仿宋_GB2312" w:cs="仿宋_GB2312"/>
          <w:w w:val="105"/>
          <w:sz w:val="32"/>
          <w:szCs w:val="32"/>
        </w:rPr>
        <w:t>，政府性基金预算财政拨款收入617.73万元</w:t>
      </w:r>
      <w:r>
        <w:rPr>
          <w:rFonts w:hint="eastAsia" w:ascii="仿宋_GB2312" w:hAnsi="仿宋_GB2312" w:eastAsia="仿宋_GB2312" w:cs="仿宋_GB2312"/>
          <w:w w:val="105"/>
          <w:sz w:val="32"/>
          <w:szCs w:val="32"/>
          <w:lang w:eastAsia="zh-Hans"/>
        </w:rPr>
        <w:t>。202</w:t>
      </w:r>
      <w:r>
        <w:rPr>
          <w:rFonts w:hint="eastAsia" w:ascii="仿宋_GB2312" w:hAnsi="仿宋_GB2312" w:eastAsia="仿宋_GB2312" w:cs="仿宋_GB2312"/>
          <w:w w:val="105"/>
          <w:sz w:val="32"/>
          <w:szCs w:val="32"/>
        </w:rPr>
        <w:t>2</w:t>
      </w:r>
      <w:r>
        <w:rPr>
          <w:rFonts w:hint="eastAsia" w:ascii="仿宋_GB2312" w:hAnsi="仿宋_GB2312" w:eastAsia="仿宋_GB2312" w:cs="仿宋_GB2312"/>
          <w:w w:val="105"/>
          <w:sz w:val="32"/>
          <w:szCs w:val="32"/>
          <w:lang w:eastAsia="zh-Hans"/>
        </w:rPr>
        <w:t>年度调整后预算总收入为4</w:t>
      </w:r>
      <w:r>
        <w:rPr>
          <w:rFonts w:hint="eastAsia" w:ascii="仿宋_GB2312" w:hAnsi="仿宋_GB2312" w:eastAsia="仿宋_GB2312" w:cs="仿宋_GB2312"/>
          <w:w w:val="105"/>
          <w:sz w:val="32"/>
          <w:szCs w:val="32"/>
        </w:rPr>
        <w:t>,</w:t>
      </w:r>
      <w:r>
        <w:rPr>
          <w:rFonts w:hint="eastAsia" w:ascii="仿宋_GB2312" w:hAnsi="仿宋_GB2312" w:eastAsia="仿宋_GB2312" w:cs="仿宋_GB2312"/>
          <w:w w:val="105"/>
          <w:sz w:val="32"/>
          <w:szCs w:val="32"/>
          <w:lang w:eastAsia="zh-Hans"/>
        </w:rPr>
        <w:t>354</w:t>
      </w:r>
      <w:r>
        <w:rPr>
          <w:rFonts w:hint="eastAsia" w:ascii="仿宋_GB2312" w:hAnsi="仿宋_GB2312" w:eastAsia="仿宋_GB2312" w:cs="仿宋_GB2312"/>
          <w:w w:val="105"/>
          <w:sz w:val="32"/>
          <w:szCs w:val="32"/>
        </w:rPr>
        <w:t>.</w:t>
      </w:r>
      <w:r>
        <w:rPr>
          <w:rFonts w:hint="eastAsia" w:ascii="仿宋_GB2312" w:hAnsi="仿宋_GB2312" w:eastAsia="仿宋_GB2312" w:cs="仿宋_GB2312"/>
          <w:w w:val="105"/>
          <w:sz w:val="32"/>
          <w:szCs w:val="32"/>
          <w:lang w:eastAsia="zh-Hans"/>
        </w:rPr>
        <w:t>4</w:t>
      </w:r>
      <w:r>
        <w:rPr>
          <w:rFonts w:hint="eastAsia" w:ascii="仿宋_GB2312" w:hAnsi="仿宋_GB2312" w:eastAsia="仿宋_GB2312" w:cs="仿宋_GB2312"/>
          <w:w w:val="105"/>
          <w:sz w:val="32"/>
          <w:szCs w:val="32"/>
        </w:rPr>
        <w:t>1</w:t>
      </w:r>
      <w:r>
        <w:rPr>
          <w:rFonts w:hint="eastAsia" w:ascii="仿宋_GB2312" w:hAnsi="仿宋_GB2312" w:eastAsia="仿宋_GB2312" w:cs="仿宋_GB2312"/>
          <w:w w:val="105"/>
          <w:sz w:val="32"/>
          <w:szCs w:val="32"/>
          <w:lang w:eastAsia="zh-Hans"/>
        </w:rPr>
        <w:t>万元，其中：一般公共预算财政拨款收入3</w:t>
      </w:r>
      <w:r>
        <w:rPr>
          <w:rFonts w:hint="eastAsia" w:ascii="仿宋_GB2312" w:hAnsi="仿宋_GB2312" w:eastAsia="仿宋_GB2312" w:cs="仿宋_GB2312"/>
          <w:w w:val="105"/>
          <w:sz w:val="32"/>
          <w:szCs w:val="32"/>
        </w:rPr>
        <w:t>,</w:t>
      </w:r>
      <w:r>
        <w:rPr>
          <w:rFonts w:hint="eastAsia" w:ascii="仿宋_GB2312" w:hAnsi="仿宋_GB2312" w:eastAsia="仿宋_GB2312" w:cs="仿宋_GB2312"/>
          <w:w w:val="105"/>
          <w:sz w:val="32"/>
          <w:szCs w:val="32"/>
          <w:lang w:eastAsia="zh-Hans"/>
        </w:rPr>
        <w:t>668</w:t>
      </w:r>
      <w:r>
        <w:rPr>
          <w:rFonts w:hint="eastAsia" w:ascii="仿宋_GB2312" w:hAnsi="仿宋_GB2312" w:eastAsia="仿宋_GB2312" w:cs="仿宋_GB2312"/>
          <w:w w:val="105"/>
          <w:sz w:val="32"/>
          <w:szCs w:val="32"/>
        </w:rPr>
        <w:t>.</w:t>
      </w:r>
      <w:r>
        <w:rPr>
          <w:rFonts w:hint="eastAsia" w:ascii="仿宋_GB2312" w:hAnsi="仿宋_GB2312" w:eastAsia="仿宋_GB2312" w:cs="仿宋_GB2312"/>
          <w:w w:val="105"/>
          <w:sz w:val="32"/>
          <w:szCs w:val="32"/>
          <w:lang w:eastAsia="zh-Hans"/>
        </w:rPr>
        <w:t>73万元</w:t>
      </w:r>
      <w:r>
        <w:rPr>
          <w:rFonts w:hint="eastAsia" w:ascii="仿宋_GB2312" w:hAnsi="仿宋_GB2312" w:eastAsia="仿宋_GB2312" w:cs="仿宋_GB2312"/>
          <w:w w:val="105"/>
          <w:sz w:val="32"/>
          <w:szCs w:val="32"/>
        </w:rPr>
        <w:t>，政府性基金预算财政拨款收入685.68万元</w:t>
      </w:r>
      <w:r>
        <w:rPr>
          <w:rFonts w:hint="eastAsia" w:ascii="仿宋_GB2312" w:hAnsi="仿宋_GB2312" w:eastAsia="仿宋_GB2312" w:cs="仿宋_GB2312"/>
          <w:w w:val="105"/>
          <w:sz w:val="32"/>
          <w:szCs w:val="32"/>
          <w:lang w:eastAsia="zh-Hans"/>
        </w:rPr>
        <w:t>。202</w:t>
      </w:r>
      <w:r>
        <w:rPr>
          <w:rFonts w:hint="eastAsia" w:ascii="仿宋_GB2312" w:hAnsi="仿宋_GB2312" w:eastAsia="仿宋_GB2312" w:cs="仿宋_GB2312"/>
          <w:w w:val="105"/>
          <w:sz w:val="32"/>
          <w:szCs w:val="32"/>
        </w:rPr>
        <w:t>2</w:t>
      </w:r>
      <w:r>
        <w:rPr>
          <w:rFonts w:hint="eastAsia" w:ascii="仿宋_GB2312" w:hAnsi="仿宋_GB2312" w:eastAsia="仿宋_GB2312" w:cs="仿宋_GB2312"/>
          <w:w w:val="105"/>
          <w:sz w:val="32"/>
          <w:szCs w:val="32"/>
          <w:lang w:eastAsia="zh-Hans"/>
        </w:rPr>
        <w:t>年度决算总收入为4</w:t>
      </w:r>
      <w:r>
        <w:rPr>
          <w:rFonts w:hint="eastAsia" w:ascii="仿宋_GB2312" w:hAnsi="仿宋_GB2312" w:eastAsia="仿宋_GB2312" w:cs="仿宋_GB2312"/>
          <w:w w:val="105"/>
          <w:sz w:val="32"/>
          <w:szCs w:val="32"/>
        </w:rPr>
        <w:t>,</w:t>
      </w:r>
      <w:r>
        <w:rPr>
          <w:rFonts w:hint="eastAsia" w:ascii="仿宋_GB2312" w:hAnsi="仿宋_GB2312" w:eastAsia="仿宋_GB2312" w:cs="仿宋_GB2312"/>
          <w:w w:val="105"/>
          <w:sz w:val="32"/>
          <w:szCs w:val="32"/>
          <w:lang w:eastAsia="zh-Hans"/>
        </w:rPr>
        <w:t>098</w:t>
      </w:r>
      <w:r>
        <w:rPr>
          <w:rFonts w:hint="eastAsia" w:ascii="仿宋_GB2312" w:hAnsi="仿宋_GB2312" w:eastAsia="仿宋_GB2312" w:cs="仿宋_GB2312"/>
          <w:w w:val="105"/>
          <w:sz w:val="32"/>
          <w:szCs w:val="32"/>
        </w:rPr>
        <w:t>.</w:t>
      </w:r>
      <w:r>
        <w:rPr>
          <w:rFonts w:hint="eastAsia" w:ascii="仿宋_GB2312" w:hAnsi="仿宋_GB2312" w:eastAsia="仿宋_GB2312" w:cs="仿宋_GB2312"/>
          <w:w w:val="105"/>
          <w:sz w:val="32"/>
          <w:szCs w:val="32"/>
          <w:lang w:eastAsia="zh-Hans"/>
        </w:rPr>
        <w:t>7</w:t>
      </w:r>
      <w:r>
        <w:rPr>
          <w:rFonts w:hint="eastAsia" w:ascii="仿宋_GB2312" w:hAnsi="仿宋_GB2312" w:eastAsia="仿宋_GB2312" w:cs="仿宋_GB2312"/>
          <w:w w:val="105"/>
          <w:sz w:val="32"/>
          <w:szCs w:val="32"/>
        </w:rPr>
        <w:t>8</w:t>
      </w:r>
      <w:r>
        <w:rPr>
          <w:rFonts w:hint="eastAsia" w:ascii="仿宋_GB2312" w:hAnsi="仿宋_GB2312" w:eastAsia="仿宋_GB2312" w:cs="仿宋_GB2312"/>
          <w:w w:val="105"/>
          <w:sz w:val="32"/>
          <w:szCs w:val="32"/>
          <w:lang w:eastAsia="zh-Hans"/>
        </w:rPr>
        <w:t>万元，其中：一般公共预算财政拨款收入3</w:t>
      </w:r>
      <w:r>
        <w:rPr>
          <w:rFonts w:hint="eastAsia" w:ascii="仿宋_GB2312" w:hAnsi="仿宋_GB2312" w:eastAsia="仿宋_GB2312" w:cs="仿宋_GB2312"/>
          <w:w w:val="105"/>
          <w:sz w:val="32"/>
          <w:szCs w:val="32"/>
        </w:rPr>
        <w:t>,</w:t>
      </w:r>
      <w:r>
        <w:rPr>
          <w:rFonts w:hint="eastAsia" w:ascii="仿宋_GB2312" w:hAnsi="仿宋_GB2312" w:eastAsia="仿宋_GB2312" w:cs="仿宋_GB2312"/>
          <w:w w:val="105"/>
          <w:sz w:val="32"/>
          <w:szCs w:val="32"/>
          <w:lang w:eastAsia="zh-Hans"/>
        </w:rPr>
        <w:t>413</w:t>
      </w:r>
      <w:r>
        <w:rPr>
          <w:rFonts w:hint="eastAsia" w:ascii="仿宋_GB2312" w:hAnsi="仿宋_GB2312" w:eastAsia="仿宋_GB2312" w:cs="仿宋_GB2312"/>
          <w:w w:val="105"/>
          <w:sz w:val="32"/>
          <w:szCs w:val="32"/>
        </w:rPr>
        <w:t>.20</w:t>
      </w:r>
      <w:r>
        <w:rPr>
          <w:rFonts w:hint="eastAsia" w:ascii="仿宋_GB2312" w:hAnsi="仿宋_GB2312" w:eastAsia="仿宋_GB2312" w:cs="仿宋_GB2312"/>
          <w:w w:val="105"/>
          <w:sz w:val="32"/>
          <w:szCs w:val="32"/>
          <w:lang w:eastAsia="zh-Hans"/>
        </w:rPr>
        <w:t>万元</w:t>
      </w:r>
      <w:r>
        <w:rPr>
          <w:rFonts w:hint="eastAsia" w:ascii="仿宋_GB2312" w:hAnsi="仿宋_GB2312" w:eastAsia="仿宋_GB2312" w:cs="仿宋_GB2312"/>
          <w:w w:val="105"/>
          <w:sz w:val="32"/>
          <w:szCs w:val="32"/>
        </w:rPr>
        <w:t>，政府性基金预算财政拨款收入685.58万元</w:t>
      </w:r>
      <w:r>
        <w:rPr>
          <w:rFonts w:hint="eastAsia" w:ascii="仿宋_GB2312" w:hAnsi="仿宋_GB2312" w:eastAsia="仿宋_GB2312" w:cs="仿宋_GB2312"/>
          <w:w w:val="105"/>
          <w:sz w:val="32"/>
          <w:szCs w:val="32"/>
          <w:lang w:eastAsia="zh-Hans"/>
        </w:rPr>
        <w:t>。</w:t>
      </w:r>
    </w:p>
    <w:p>
      <w:pPr>
        <w:pStyle w:val="64"/>
        <w:keepNext/>
        <w:spacing w:line="560" w:lineRule="exact"/>
        <w:ind w:firstLine="643"/>
        <w:outlineLvl w:val="2"/>
        <w:rPr>
          <w:rFonts w:hAnsi="仿宋_GB2312"/>
          <w:b/>
          <w:bCs/>
        </w:rPr>
      </w:pPr>
      <w:r>
        <w:rPr>
          <w:rFonts w:hint="eastAsia" w:hAnsi="仿宋_GB2312"/>
          <w:b/>
          <w:bCs/>
        </w:rPr>
        <w:t>2.支出情况</w:t>
      </w:r>
    </w:p>
    <w:p>
      <w:pPr>
        <w:adjustRightInd w:val="0"/>
        <w:snapToGrid w:val="0"/>
        <w:spacing w:line="560" w:lineRule="exact"/>
        <w:ind w:firstLine="672" w:firstLineChars="200"/>
        <w:rPr>
          <w:rFonts w:ascii="仿宋_GB2312" w:hAnsi="仿宋_GB2312" w:eastAsia="仿宋_GB2312" w:cs="仿宋_GB2312"/>
          <w:w w:val="105"/>
          <w:sz w:val="32"/>
          <w:szCs w:val="32"/>
          <w:lang w:eastAsia="zh-Hans"/>
        </w:rPr>
      </w:pPr>
      <w:r>
        <w:rPr>
          <w:rFonts w:hint="eastAsia" w:ascii="仿宋_GB2312" w:hAnsi="仿宋_GB2312" w:eastAsia="仿宋_GB2312" w:cs="仿宋_GB2312"/>
          <w:w w:val="105"/>
          <w:sz w:val="32"/>
          <w:szCs w:val="32"/>
          <w:lang w:eastAsia="zh-Hans"/>
        </w:rPr>
        <w:t>202</w:t>
      </w:r>
      <w:r>
        <w:rPr>
          <w:rFonts w:hint="eastAsia" w:ascii="仿宋_GB2312" w:hAnsi="仿宋_GB2312" w:eastAsia="仿宋_GB2312" w:cs="仿宋_GB2312"/>
          <w:w w:val="105"/>
          <w:sz w:val="32"/>
          <w:szCs w:val="32"/>
        </w:rPr>
        <w:t>2</w:t>
      </w:r>
      <w:r>
        <w:rPr>
          <w:rFonts w:hint="eastAsia" w:ascii="仿宋_GB2312" w:hAnsi="仿宋_GB2312" w:eastAsia="仿宋_GB2312" w:cs="仿宋_GB2312"/>
          <w:w w:val="105"/>
          <w:sz w:val="32"/>
          <w:szCs w:val="32"/>
          <w:lang w:eastAsia="zh-Hans"/>
        </w:rPr>
        <w:t>年区民政局年初预算总支出4</w:t>
      </w:r>
      <w:r>
        <w:rPr>
          <w:rFonts w:hint="eastAsia" w:ascii="仿宋_GB2312" w:hAnsi="仿宋_GB2312" w:eastAsia="仿宋_GB2312" w:cs="仿宋_GB2312"/>
          <w:w w:val="105"/>
          <w:sz w:val="32"/>
          <w:szCs w:val="32"/>
        </w:rPr>
        <w:t>,</w:t>
      </w:r>
      <w:r>
        <w:rPr>
          <w:rFonts w:hint="eastAsia" w:ascii="仿宋_GB2312" w:hAnsi="仿宋_GB2312" w:eastAsia="仿宋_GB2312" w:cs="仿宋_GB2312"/>
          <w:w w:val="105"/>
          <w:sz w:val="32"/>
          <w:szCs w:val="32"/>
          <w:lang w:eastAsia="zh-Hans"/>
        </w:rPr>
        <w:t>425</w:t>
      </w:r>
      <w:r>
        <w:rPr>
          <w:rFonts w:hint="eastAsia" w:ascii="仿宋_GB2312" w:hAnsi="仿宋_GB2312" w:eastAsia="仿宋_GB2312" w:cs="仿宋_GB2312"/>
          <w:w w:val="105"/>
          <w:sz w:val="32"/>
          <w:szCs w:val="32"/>
        </w:rPr>
        <w:t>.</w:t>
      </w:r>
      <w:r>
        <w:rPr>
          <w:rFonts w:hint="eastAsia" w:ascii="仿宋_GB2312" w:hAnsi="仿宋_GB2312" w:eastAsia="仿宋_GB2312" w:cs="仿宋_GB2312"/>
          <w:w w:val="105"/>
          <w:sz w:val="32"/>
          <w:szCs w:val="32"/>
          <w:lang w:eastAsia="zh-Hans"/>
        </w:rPr>
        <w:t>59万元，调整后预算总支出4</w:t>
      </w:r>
      <w:r>
        <w:rPr>
          <w:rFonts w:hint="eastAsia" w:ascii="仿宋_GB2312" w:hAnsi="仿宋_GB2312" w:eastAsia="仿宋_GB2312" w:cs="仿宋_GB2312"/>
          <w:w w:val="105"/>
          <w:sz w:val="32"/>
          <w:szCs w:val="32"/>
        </w:rPr>
        <w:t>,</w:t>
      </w:r>
      <w:r>
        <w:rPr>
          <w:rFonts w:hint="eastAsia" w:ascii="仿宋_GB2312" w:hAnsi="仿宋_GB2312" w:eastAsia="仿宋_GB2312" w:cs="仿宋_GB2312"/>
          <w:w w:val="105"/>
          <w:sz w:val="32"/>
          <w:szCs w:val="32"/>
          <w:lang w:eastAsia="zh-Hans"/>
        </w:rPr>
        <w:t>354</w:t>
      </w:r>
      <w:r>
        <w:rPr>
          <w:rFonts w:hint="eastAsia" w:ascii="仿宋_GB2312" w:hAnsi="仿宋_GB2312" w:eastAsia="仿宋_GB2312" w:cs="仿宋_GB2312"/>
          <w:w w:val="105"/>
          <w:sz w:val="32"/>
          <w:szCs w:val="32"/>
        </w:rPr>
        <w:t>.</w:t>
      </w:r>
      <w:r>
        <w:rPr>
          <w:rFonts w:hint="eastAsia" w:ascii="仿宋_GB2312" w:hAnsi="仿宋_GB2312" w:eastAsia="仿宋_GB2312" w:cs="仿宋_GB2312"/>
          <w:w w:val="105"/>
          <w:sz w:val="32"/>
          <w:szCs w:val="32"/>
          <w:lang w:eastAsia="zh-Hans"/>
        </w:rPr>
        <w:t>4</w:t>
      </w:r>
      <w:r>
        <w:rPr>
          <w:rFonts w:hint="eastAsia" w:ascii="仿宋_GB2312" w:hAnsi="仿宋_GB2312" w:eastAsia="仿宋_GB2312" w:cs="仿宋_GB2312"/>
          <w:w w:val="105"/>
          <w:sz w:val="32"/>
          <w:szCs w:val="32"/>
        </w:rPr>
        <w:t>1</w:t>
      </w:r>
      <w:r>
        <w:rPr>
          <w:rFonts w:hint="eastAsia" w:ascii="仿宋_GB2312" w:hAnsi="仿宋_GB2312" w:eastAsia="仿宋_GB2312" w:cs="仿宋_GB2312"/>
          <w:w w:val="105"/>
          <w:sz w:val="32"/>
          <w:szCs w:val="32"/>
          <w:lang w:eastAsia="zh-Hans"/>
        </w:rPr>
        <w:t>万元，决算总支出4</w:t>
      </w:r>
      <w:r>
        <w:rPr>
          <w:rFonts w:hint="eastAsia" w:ascii="仿宋_GB2312" w:hAnsi="仿宋_GB2312" w:eastAsia="仿宋_GB2312" w:cs="仿宋_GB2312"/>
          <w:w w:val="105"/>
          <w:sz w:val="32"/>
          <w:szCs w:val="32"/>
        </w:rPr>
        <w:t>,</w:t>
      </w:r>
      <w:r>
        <w:rPr>
          <w:rFonts w:hint="eastAsia" w:ascii="仿宋_GB2312" w:hAnsi="仿宋_GB2312" w:eastAsia="仿宋_GB2312" w:cs="仿宋_GB2312"/>
          <w:w w:val="105"/>
          <w:sz w:val="32"/>
          <w:szCs w:val="32"/>
          <w:lang w:eastAsia="zh-Hans"/>
        </w:rPr>
        <w:t>098</w:t>
      </w:r>
      <w:r>
        <w:rPr>
          <w:rFonts w:hint="eastAsia" w:ascii="仿宋_GB2312" w:hAnsi="仿宋_GB2312" w:eastAsia="仿宋_GB2312" w:cs="仿宋_GB2312"/>
          <w:w w:val="105"/>
          <w:sz w:val="32"/>
          <w:szCs w:val="32"/>
        </w:rPr>
        <w:t>.</w:t>
      </w:r>
      <w:r>
        <w:rPr>
          <w:rFonts w:hint="eastAsia" w:ascii="仿宋_GB2312" w:hAnsi="仿宋_GB2312" w:eastAsia="仿宋_GB2312" w:cs="仿宋_GB2312"/>
          <w:w w:val="105"/>
          <w:sz w:val="32"/>
          <w:szCs w:val="32"/>
          <w:lang w:eastAsia="zh-Hans"/>
        </w:rPr>
        <w:t>7</w:t>
      </w:r>
      <w:r>
        <w:rPr>
          <w:rFonts w:hint="eastAsia" w:ascii="仿宋_GB2312" w:hAnsi="仿宋_GB2312" w:eastAsia="仿宋_GB2312" w:cs="仿宋_GB2312"/>
          <w:w w:val="105"/>
          <w:sz w:val="32"/>
          <w:szCs w:val="32"/>
        </w:rPr>
        <w:t>8</w:t>
      </w:r>
      <w:r>
        <w:rPr>
          <w:rFonts w:hint="eastAsia" w:ascii="仿宋_GB2312" w:hAnsi="仿宋_GB2312" w:eastAsia="仿宋_GB2312" w:cs="仿宋_GB2312"/>
          <w:w w:val="105"/>
          <w:sz w:val="32"/>
          <w:szCs w:val="32"/>
          <w:lang w:eastAsia="zh-Hans"/>
        </w:rPr>
        <w:t>万元。区民政局部门整体预算执行率</w:t>
      </w:r>
      <w:r>
        <w:rPr>
          <w:rFonts w:hint="eastAsia" w:ascii="仿宋_GB2312" w:hAnsi="仿宋_GB2312" w:eastAsia="仿宋_GB2312" w:cs="仿宋_GB2312"/>
          <w:w w:val="105"/>
          <w:sz w:val="32"/>
          <w:szCs w:val="32"/>
        </w:rPr>
        <w:t>94.13</w:t>
      </w:r>
      <w:r>
        <w:rPr>
          <w:rFonts w:hint="eastAsia" w:ascii="仿宋_GB2312" w:hAnsi="仿宋_GB2312" w:eastAsia="仿宋_GB2312" w:cs="仿宋_GB2312"/>
          <w:w w:val="105"/>
          <w:sz w:val="32"/>
          <w:szCs w:val="32"/>
          <w:lang w:eastAsia="zh-Hans"/>
        </w:rPr>
        <w:t>%。按支出用途划分，基本支出1</w:t>
      </w:r>
      <w:r>
        <w:rPr>
          <w:rFonts w:hint="eastAsia" w:ascii="仿宋_GB2312" w:hAnsi="仿宋_GB2312" w:eastAsia="仿宋_GB2312" w:cs="仿宋_GB2312"/>
          <w:w w:val="105"/>
          <w:sz w:val="32"/>
          <w:szCs w:val="32"/>
        </w:rPr>
        <w:t>,</w:t>
      </w:r>
      <w:r>
        <w:rPr>
          <w:rFonts w:hint="eastAsia" w:ascii="仿宋_GB2312" w:hAnsi="仿宋_GB2312" w:eastAsia="仿宋_GB2312" w:cs="仿宋_GB2312"/>
          <w:w w:val="105"/>
          <w:sz w:val="32"/>
          <w:szCs w:val="32"/>
          <w:lang w:eastAsia="zh-Hans"/>
        </w:rPr>
        <w:t>010</w:t>
      </w:r>
      <w:r>
        <w:rPr>
          <w:rFonts w:hint="eastAsia" w:ascii="仿宋_GB2312" w:hAnsi="仿宋_GB2312" w:eastAsia="仿宋_GB2312" w:cs="仿宋_GB2312"/>
          <w:w w:val="105"/>
          <w:sz w:val="32"/>
          <w:szCs w:val="32"/>
        </w:rPr>
        <w:t>.50</w:t>
      </w:r>
      <w:r>
        <w:rPr>
          <w:rFonts w:hint="eastAsia" w:ascii="仿宋_GB2312" w:hAnsi="仿宋_GB2312" w:eastAsia="仿宋_GB2312" w:cs="仿宋_GB2312"/>
          <w:w w:val="105"/>
          <w:sz w:val="32"/>
          <w:szCs w:val="32"/>
          <w:lang w:eastAsia="zh-Hans"/>
        </w:rPr>
        <w:t>万元，占总支出的</w:t>
      </w:r>
      <w:r>
        <w:rPr>
          <w:rFonts w:hint="eastAsia" w:ascii="仿宋_GB2312" w:hAnsi="仿宋_GB2312" w:eastAsia="仿宋_GB2312" w:cs="仿宋_GB2312"/>
          <w:w w:val="105"/>
          <w:sz w:val="32"/>
          <w:szCs w:val="32"/>
        </w:rPr>
        <w:t>24.65</w:t>
      </w:r>
      <w:r>
        <w:rPr>
          <w:rFonts w:hint="eastAsia" w:ascii="仿宋_GB2312" w:hAnsi="仿宋_GB2312" w:eastAsia="仿宋_GB2312" w:cs="仿宋_GB2312"/>
          <w:w w:val="105"/>
          <w:sz w:val="32"/>
          <w:szCs w:val="32"/>
          <w:lang w:eastAsia="zh-Hans"/>
        </w:rPr>
        <w:t>%；项目支出3</w:t>
      </w:r>
      <w:r>
        <w:rPr>
          <w:rFonts w:hint="eastAsia" w:ascii="仿宋_GB2312" w:hAnsi="仿宋_GB2312" w:eastAsia="仿宋_GB2312" w:cs="仿宋_GB2312"/>
          <w:w w:val="105"/>
          <w:sz w:val="32"/>
          <w:szCs w:val="32"/>
        </w:rPr>
        <w:t>,</w:t>
      </w:r>
      <w:r>
        <w:rPr>
          <w:rFonts w:hint="eastAsia" w:ascii="仿宋_GB2312" w:hAnsi="仿宋_GB2312" w:eastAsia="仿宋_GB2312" w:cs="仿宋_GB2312"/>
          <w:w w:val="105"/>
          <w:sz w:val="32"/>
          <w:szCs w:val="32"/>
          <w:lang w:eastAsia="zh-Hans"/>
        </w:rPr>
        <w:t>088</w:t>
      </w:r>
      <w:r>
        <w:rPr>
          <w:rFonts w:hint="eastAsia" w:ascii="仿宋_GB2312" w:hAnsi="仿宋_GB2312" w:eastAsia="仿宋_GB2312" w:cs="仿宋_GB2312"/>
          <w:w w:val="105"/>
          <w:sz w:val="32"/>
          <w:szCs w:val="32"/>
        </w:rPr>
        <w:t>.</w:t>
      </w:r>
      <w:r>
        <w:rPr>
          <w:rFonts w:hint="eastAsia" w:ascii="仿宋_GB2312" w:hAnsi="仿宋_GB2312" w:eastAsia="仿宋_GB2312" w:cs="仿宋_GB2312"/>
          <w:w w:val="105"/>
          <w:sz w:val="32"/>
          <w:szCs w:val="32"/>
          <w:lang w:eastAsia="zh-Hans"/>
        </w:rPr>
        <w:t>2</w:t>
      </w:r>
      <w:r>
        <w:rPr>
          <w:rFonts w:hint="eastAsia" w:ascii="仿宋_GB2312" w:hAnsi="仿宋_GB2312" w:eastAsia="仿宋_GB2312" w:cs="仿宋_GB2312"/>
          <w:w w:val="105"/>
          <w:sz w:val="32"/>
          <w:szCs w:val="32"/>
        </w:rPr>
        <w:t>8</w:t>
      </w:r>
      <w:r>
        <w:rPr>
          <w:rFonts w:hint="eastAsia" w:ascii="仿宋_GB2312" w:hAnsi="仿宋_GB2312" w:eastAsia="仿宋_GB2312" w:cs="仿宋_GB2312"/>
          <w:w w:val="105"/>
          <w:sz w:val="32"/>
          <w:szCs w:val="32"/>
          <w:lang w:eastAsia="zh-Hans"/>
        </w:rPr>
        <w:t>万元，占总支出的</w:t>
      </w:r>
      <w:r>
        <w:rPr>
          <w:rFonts w:hint="eastAsia" w:ascii="仿宋_GB2312" w:hAnsi="仿宋_GB2312" w:eastAsia="仿宋_GB2312" w:cs="仿宋_GB2312"/>
          <w:w w:val="105"/>
          <w:sz w:val="32"/>
          <w:szCs w:val="32"/>
        </w:rPr>
        <w:t>75.35</w:t>
      </w:r>
      <w:r>
        <w:rPr>
          <w:rFonts w:hint="eastAsia" w:ascii="仿宋_GB2312" w:hAnsi="仿宋_GB2312" w:eastAsia="仿宋_GB2312" w:cs="仿宋_GB2312"/>
          <w:w w:val="105"/>
          <w:sz w:val="32"/>
          <w:szCs w:val="32"/>
          <w:lang w:eastAsia="zh-Hans"/>
        </w:rPr>
        <w:t>%。</w:t>
      </w:r>
    </w:p>
    <w:p>
      <w:pPr>
        <w:adjustRightInd w:val="0"/>
        <w:snapToGrid w:val="0"/>
        <w:spacing w:line="560" w:lineRule="exact"/>
        <w:ind w:firstLine="642" w:firstLineChars="200"/>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rPr>
        <w:t>3.政府采购执行情</w:t>
      </w:r>
      <w:r>
        <w:rPr>
          <w:rFonts w:hint="eastAsia" w:ascii="仿宋_GB2312" w:hAnsi="仿宋_GB2312" w:eastAsia="仿宋_GB2312" w:cs="仿宋_GB2312"/>
          <w:b/>
          <w:sz w:val="32"/>
          <w:szCs w:val="32"/>
          <w:lang w:eastAsia="zh-CN"/>
        </w:rPr>
        <w:t>况</w:t>
      </w:r>
    </w:p>
    <w:p>
      <w:pPr>
        <w:adjustRightInd w:val="0"/>
        <w:snapToGrid w:val="0"/>
        <w:spacing w:before="0" w:line="560" w:lineRule="exact"/>
        <w:ind w:firstLine="672" w:firstLineChars="200"/>
        <w:jc w:val="left"/>
        <w:rPr>
          <w:rFonts w:ascii="仿宋_GB2312" w:hAnsi="仿宋_GB2312" w:eastAsia="仿宋_GB2312" w:cs="仿宋_GB2312"/>
          <w:b/>
          <w:bCs/>
          <w:sz w:val="24"/>
          <w:szCs w:val="24"/>
        </w:rPr>
      </w:pPr>
      <w:r>
        <w:rPr>
          <w:rFonts w:hint="eastAsia" w:ascii="仿宋_GB2312" w:hAnsi="仿宋_GB2312" w:eastAsia="仿宋_GB2312" w:cs="仿宋_GB2312"/>
          <w:w w:val="105"/>
          <w:sz w:val="32"/>
          <w:szCs w:val="32"/>
          <w:lang w:eastAsia="zh-Hans"/>
        </w:rPr>
        <w:t>根据202</w:t>
      </w:r>
      <w:r>
        <w:rPr>
          <w:rFonts w:hint="eastAsia" w:ascii="仿宋_GB2312" w:hAnsi="仿宋_GB2312" w:eastAsia="仿宋_GB2312" w:cs="仿宋_GB2312"/>
          <w:w w:val="105"/>
          <w:sz w:val="32"/>
          <w:szCs w:val="32"/>
        </w:rPr>
        <w:t>2</w:t>
      </w:r>
      <w:r>
        <w:rPr>
          <w:rFonts w:hint="eastAsia" w:ascii="仿宋_GB2312" w:hAnsi="仿宋_GB2312" w:eastAsia="仿宋_GB2312" w:cs="仿宋_GB2312"/>
          <w:w w:val="105"/>
          <w:sz w:val="32"/>
          <w:szCs w:val="32"/>
          <w:lang w:eastAsia="zh-Hans"/>
        </w:rPr>
        <w:t>年政府采购预算执行情况表，</w:t>
      </w:r>
      <w:r>
        <w:rPr>
          <w:rFonts w:hint="eastAsia" w:ascii="仿宋_GB2312" w:hAnsi="仿宋_GB2312" w:eastAsia="仿宋_GB2312" w:cs="仿宋_GB2312"/>
          <w:w w:val="105"/>
          <w:sz w:val="32"/>
          <w:szCs w:val="32"/>
        </w:rPr>
        <w:t>采购</w:t>
      </w:r>
      <w:r>
        <w:rPr>
          <w:rFonts w:hint="eastAsia" w:ascii="仿宋_GB2312" w:hAnsi="仿宋_GB2312" w:eastAsia="仿宋_GB2312" w:cs="仿宋_GB2312"/>
          <w:w w:val="105"/>
          <w:sz w:val="32"/>
          <w:szCs w:val="32"/>
          <w:lang w:eastAsia="zh-Hans"/>
        </w:rPr>
        <w:t>计划金额</w:t>
      </w:r>
      <w:r>
        <w:rPr>
          <w:rFonts w:hint="eastAsia" w:ascii="仿宋_GB2312" w:hAnsi="仿宋_GB2312" w:eastAsia="仿宋_GB2312" w:cs="仿宋_GB2312"/>
          <w:w w:val="105"/>
          <w:sz w:val="32"/>
          <w:szCs w:val="32"/>
        </w:rPr>
        <w:t>120.86</w:t>
      </w:r>
      <w:r>
        <w:rPr>
          <w:rFonts w:hint="eastAsia" w:ascii="仿宋_GB2312" w:hAnsi="仿宋_GB2312" w:eastAsia="仿宋_GB2312" w:cs="仿宋_GB2312"/>
          <w:w w:val="105"/>
          <w:sz w:val="32"/>
          <w:szCs w:val="32"/>
          <w:lang w:eastAsia="zh-Hans"/>
        </w:rPr>
        <w:t>万元，实际采购金额为</w:t>
      </w:r>
      <w:r>
        <w:rPr>
          <w:rFonts w:hint="eastAsia" w:ascii="仿宋_GB2312" w:hAnsi="仿宋_GB2312" w:eastAsia="仿宋_GB2312" w:cs="仿宋_GB2312"/>
          <w:w w:val="105"/>
          <w:sz w:val="32"/>
          <w:szCs w:val="32"/>
        </w:rPr>
        <w:t>120.24</w:t>
      </w:r>
      <w:r>
        <w:rPr>
          <w:rFonts w:hint="eastAsia" w:ascii="仿宋_GB2312" w:hAnsi="仿宋_GB2312" w:eastAsia="仿宋_GB2312" w:cs="仿宋_GB2312"/>
          <w:w w:val="105"/>
          <w:sz w:val="32"/>
          <w:szCs w:val="32"/>
          <w:lang w:eastAsia="zh-Hans"/>
        </w:rPr>
        <w:t>万元，政府采购执行率为</w:t>
      </w:r>
      <w:r>
        <w:rPr>
          <w:rFonts w:hint="eastAsia" w:ascii="仿宋_GB2312" w:hAnsi="仿宋_GB2312" w:eastAsia="仿宋_GB2312" w:cs="仿宋_GB2312"/>
          <w:w w:val="105"/>
          <w:sz w:val="32"/>
          <w:szCs w:val="32"/>
        </w:rPr>
        <w:t>99.48</w:t>
      </w:r>
      <w:r>
        <w:rPr>
          <w:rFonts w:hint="eastAsia" w:ascii="仿宋_GB2312" w:hAnsi="仿宋_GB2312" w:eastAsia="仿宋_GB2312" w:cs="仿宋_GB2312"/>
          <w:w w:val="105"/>
          <w:sz w:val="32"/>
          <w:szCs w:val="32"/>
          <w:lang w:eastAsia="zh-Hans"/>
        </w:rPr>
        <w:t>%。</w:t>
      </w:r>
    </w:p>
    <w:p>
      <w:pPr>
        <w:pStyle w:val="5"/>
        <w:tabs>
          <w:tab w:val="clear" w:pos="0"/>
        </w:tabs>
        <w:adjustRightInd w:val="0"/>
        <w:snapToGrid w:val="0"/>
        <w:spacing w:before="0" w:after="0" w:line="560" w:lineRule="exact"/>
        <w:ind w:firstLine="640" w:firstLineChars="200"/>
        <w:jc w:val="both"/>
        <w:rPr>
          <w:rFonts w:eastAsia="黑体"/>
          <w:b w:val="0"/>
          <w:bCs w:val="0"/>
          <w:szCs w:val="32"/>
          <w:lang w:eastAsia="zh-CN"/>
        </w:rPr>
      </w:pPr>
      <w:bookmarkStart w:id="55" w:name="_Toc1803067808"/>
      <w:bookmarkStart w:id="56" w:name="_Toc306217653"/>
      <w:bookmarkStart w:id="57" w:name="_Toc829533804"/>
      <w:bookmarkStart w:id="58" w:name="_Toc26970293"/>
      <w:bookmarkStart w:id="59" w:name="_Toc1719282316"/>
      <w:bookmarkStart w:id="60" w:name="_Toc149655096"/>
      <w:bookmarkStart w:id="61" w:name="_Toc2040427448"/>
      <w:bookmarkStart w:id="62" w:name="_Toc24285"/>
      <w:bookmarkStart w:id="63" w:name="_Toc7126"/>
      <w:bookmarkStart w:id="64" w:name="_Toc22584901"/>
      <w:bookmarkStart w:id="65" w:name="_Toc28513"/>
      <w:bookmarkStart w:id="66" w:name="_Toc21969126"/>
      <w:bookmarkStart w:id="67" w:name="_Toc12241"/>
      <w:r>
        <w:rPr>
          <w:rFonts w:eastAsia="黑体"/>
          <w:b w:val="0"/>
          <w:bCs w:val="0"/>
          <w:szCs w:val="32"/>
          <w:lang w:eastAsia="zh-CN"/>
        </w:rPr>
        <w:t>二、绩效评价及结果分析</w:t>
      </w:r>
      <w:bookmarkEnd w:id="55"/>
      <w:bookmarkEnd w:id="56"/>
      <w:bookmarkEnd w:id="57"/>
      <w:bookmarkEnd w:id="58"/>
      <w:bookmarkEnd w:id="59"/>
      <w:bookmarkEnd w:id="60"/>
      <w:bookmarkEnd w:id="61"/>
    </w:p>
    <w:bookmarkEnd w:id="62"/>
    <w:bookmarkEnd w:id="63"/>
    <w:bookmarkEnd w:id="64"/>
    <w:bookmarkEnd w:id="65"/>
    <w:bookmarkEnd w:id="66"/>
    <w:bookmarkEnd w:id="67"/>
    <w:p>
      <w:pPr>
        <w:pStyle w:val="5"/>
        <w:tabs>
          <w:tab w:val="clear" w:pos="0"/>
        </w:tabs>
        <w:adjustRightInd w:val="0"/>
        <w:snapToGrid w:val="0"/>
        <w:spacing w:before="0" w:after="0" w:line="560" w:lineRule="exact"/>
        <w:ind w:firstLine="640" w:firstLineChars="200"/>
        <w:jc w:val="both"/>
        <w:rPr>
          <w:rFonts w:hint="eastAsia" w:ascii="仿宋_GB2312" w:hAnsi="仿宋_GB2312" w:eastAsia="仿宋_GB2312" w:cs="仿宋_GB2312"/>
          <w:b w:val="0"/>
          <w:bCs w:val="0"/>
          <w:sz w:val="32"/>
          <w:szCs w:val="32"/>
          <w:lang w:val="zh-CN"/>
        </w:rPr>
      </w:pPr>
      <w:bookmarkStart w:id="68" w:name="_Toc31948"/>
      <w:bookmarkStart w:id="69" w:name="_Toc21969132"/>
      <w:bookmarkStart w:id="70" w:name="_Toc4383"/>
      <w:bookmarkStart w:id="71" w:name="_Toc27163"/>
      <w:bookmarkStart w:id="72" w:name="_Toc26970296"/>
      <w:bookmarkStart w:id="73" w:name="_Toc22584905"/>
      <w:bookmarkStart w:id="74" w:name="_Toc20561"/>
      <w:r>
        <w:rPr>
          <w:rFonts w:hint="eastAsia" w:ascii="仿宋_GB2312" w:hAnsi="仿宋_GB2312" w:eastAsia="仿宋_GB2312" w:cs="仿宋_GB2312"/>
          <w:b w:val="0"/>
          <w:bCs w:val="0"/>
          <w:sz w:val="32"/>
          <w:szCs w:val="32"/>
        </w:rPr>
        <w:t>根据财政部《项目支出绩效评价管理办法》(财预〔2020〕10 号),本次绩效评价采取评分和评级相结合的方式,将绩效评价结果按级划分为四档:90(含)-100 分为优、80(含)-90 分为良、60(含)-80 分为中、60 分以下为差。区民政局2022年度部门整体支出绩效评价综合得分8</w:t>
      </w:r>
      <w:r>
        <w:rPr>
          <w:rFonts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rPr>
        <w:t>.35分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综合绩效评定结论为“良”</w:t>
      </w:r>
      <w:r>
        <w:rPr>
          <w:rFonts w:hint="eastAsia" w:ascii="仿宋_GB2312" w:hAnsi="仿宋_GB2312" w:eastAsia="仿宋_GB2312" w:cs="仿宋_GB2312"/>
          <w:b w:val="0"/>
          <w:bCs w:val="0"/>
          <w:sz w:val="32"/>
          <w:szCs w:val="32"/>
          <w:lang w:val="zh-CN"/>
        </w:rPr>
        <w:t>。</w:t>
      </w:r>
      <w:bookmarkStart w:id="75" w:name="_Toc7156080"/>
      <w:bookmarkStart w:id="76" w:name="_Toc766376533"/>
      <w:bookmarkStart w:id="77" w:name="_Toc698797472"/>
      <w:bookmarkStart w:id="78" w:name="_Toc149655099"/>
      <w:bookmarkStart w:id="79" w:name="_Toc522035113"/>
      <w:bookmarkStart w:id="80" w:name="_Toc561844871"/>
    </w:p>
    <w:p>
      <w:pPr>
        <w:pStyle w:val="5"/>
        <w:tabs>
          <w:tab w:val="clear" w:pos="0"/>
        </w:tabs>
        <w:adjustRightInd w:val="0"/>
        <w:snapToGrid w:val="0"/>
        <w:spacing w:before="0" w:after="0" w:line="560" w:lineRule="exact"/>
        <w:ind w:firstLine="640" w:firstLineChars="200"/>
        <w:jc w:val="both"/>
        <w:rPr>
          <w:rFonts w:eastAsia="黑体"/>
          <w:b w:val="0"/>
          <w:bCs w:val="0"/>
          <w:szCs w:val="32"/>
          <w:lang w:eastAsia="zh-CN"/>
        </w:rPr>
      </w:pPr>
      <w:r>
        <w:rPr>
          <w:rFonts w:eastAsia="黑体"/>
          <w:b w:val="0"/>
          <w:bCs w:val="0"/>
          <w:szCs w:val="32"/>
          <w:lang w:eastAsia="zh-CN"/>
        </w:rPr>
        <w:t>三、</w:t>
      </w:r>
      <w:bookmarkEnd w:id="68"/>
      <w:bookmarkEnd w:id="69"/>
      <w:bookmarkEnd w:id="70"/>
      <w:bookmarkEnd w:id="71"/>
      <w:bookmarkEnd w:id="72"/>
      <w:bookmarkEnd w:id="73"/>
      <w:bookmarkEnd w:id="74"/>
      <w:r>
        <w:rPr>
          <w:rFonts w:eastAsia="黑体"/>
          <w:b w:val="0"/>
          <w:bCs w:val="0"/>
          <w:szCs w:val="32"/>
          <w:lang w:eastAsia="zh-CN"/>
        </w:rPr>
        <w:t>取得的主要成效</w:t>
      </w:r>
      <w:bookmarkEnd w:id="75"/>
      <w:bookmarkEnd w:id="76"/>
      <w:bookmarkEnd w:id="77"/>
      <w:bookmarkEnd w:id="78"/>
      <w:bookmarkEnd w:id="79"/>
      <w:bookmarkEnd w:id="80"/>
    </w:p>
    <w:p>
      <w:pPr>
        <w:pStyle w:val="37"/>
        <w:numPr>
          <w:ilvl w:val="255"/>
          <w:numId w:val="0"/>
        </w:numPr>
        <w:adjustRightInd w:val="0"/>
        <w:snapToGrid w:val="0"/>
        <w:spacing w:line="560" w:lineRule="exact"/>
        <w:ind w:firstLine="640" w:firstLineChars="200"/>
        <w:outlineLvl w:val="1"/>
        <w:rPr>
          <w:rFonts w:ascii="Times New Roman" w:hAnsi="Times New Roman" w:eastAsia="楷体_GB2312" w:cs="Times New Roman"/>
          <w:sz w:val="32"/>
          <w:szCs w:val="32"/>
        </w:rPr>
      </w:pPr>
      <w:bookmarkStart w:id="81" w:name="_Toc7895"/>
      <w:bookmarkStart w:id="82" w:name="_Toc22584906"/>
      <w:bookmarkStart w:id="83" w:name="_Toc9374"/>
      <w:bookmarkStart w:id="84" w:name="_Toc26970297"/>
      <w:bookmarkStart w:id="85" w:name="_Toc149655100"/>
      <w:bookmarkStart w:id="86" w:name="_Toc1373446196"/>
      <w:bookmarkStart w:id="87" w:name="_Toc441151038"/>
      <w:bookmarkStart w:id="88" w:name="_Toc13152328"/>
      <w:bookmarkStart w:id="89" w:name="_Toc2030959072"/>
      <w:bookmarkStart w:id="90" w:name="_Toc101046461"/>
      <w:bookmarkStart w:id="91" w:name="_Toc5093"/>
      <w:bookmarkStart w:id="92" w:name="_Toc23604"/>
      <w:bookmarkStart w:id="93" w:name="_Toc21969133"/>
      <w:r>
        <w:rPr>
          <w:rFonts w:ascii="Times New Roman" w:hAnsi="Times New Roman" w:eastAsia="楷体_GB2312" w:cs="Times New Roman"/>
          <w:sz w:val="32"/>
          <w:szCs w:val="32"/>
        </w:rPr>
        <w:t>（一）</w:t>
      </w:r>
      <w:bookmarkEnd w:id="81"/>
      <w:bookmarkEnd w:id="82"/>
      <w:bookmarkEnd w:id="83"/>
      <w:r>
        <w:rPr>
          <w:rFonts w:ascii="Times New Roman" w:hAnsi="Times New Roman" w:eastAsia="楷体_GB2312" w:cs="Times New Roman"/>
          <w:sz w:val="32"/>
          <w:szCs w:val="32"/>
        </w:rPr>
        <w:t>辖区社会救助水平</w:t>
      </w:r>
      <w:bookmarkEnd w:id="84"/>
      <w:bookmarkEnd w:id="85"/>
      <w:r>
        <w:rPr>
          <w:rFonts w:hint="eastAsia" w:ascii="Times New Roman" w:hAnsi="Times New Roman" w:eastAsia="楷体_GB2312" w:cs="Times New Roman"/>
          <w:sz w:val="32"/>
          <w:szCs w:val="32"/>
        </w:rPr>
        <w:t>保持平稳</w:t>
      </w:r>
      <w:bookmarkEnd w:id="86"/>
      <w:bookmarkEnd w:id="87"/>
      <w:bookmarkEnd w:id="88"/>
      <w:bookmarkEnd w:id="89"/>
      <w:bookmarkEnd w:id="90"/>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已基本解决原有的核查申请人状况不够精准的问题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税务、银行等部门关键信息的接入，以及各街道和社区严格落实审核机制，2022年落实了户籍困难居民、困难家庭救助和居民小组社保补助的管理和审批，并定期对救助情况进行分析评估。</w:t>
      </w:r>
    </w:p>
    <w:p>
      <w:pPr>
        <w:pStyle w:val="37"/>
        <w:numPr>
          <w:ilvl w:val="255"/>
          <w:numId w:val="0"/>
        </w:numPr>
        <w:adjustRightInd w:val="0"/>
        <w:snapToGrid w:val="0"/>
        <w:spacing w:line="560" w:lineRule="exact"/>
        <w:ind w:firstLine="640" w:firstLineChars="200"/>
        <w:outlineLvl w:val="1"/>
        <w:rPr>
          <w:rFonts w:ascii="Times New Roman" w:hAnsi="Times New Roman" w:eastAsia="楷体_GB2312" w:cs="Times New Roman"/>
          <w:sz w:val="32"/>
          <w:szCs w:val="32"/>
        </w:rPr>
      </w:pPr>
      <w:bookmarkStart w:id="94" w:name="_Toc26970298"/>
      <w:bookmarkStart w:id="95" w:name="_Toc17851"/>
      <w:bookmarkStart w:id="96" w:name="_Toc28459"/>
      <w:bookmarkStart w:id="97" w:name="_Toc22584907"/>
      <w:bookmarkStart w:id="98" w:name="_Toc1775788897"/>
      <w:bookmarkStart w:id="99" w:name="_Toc149655101"/>
      <w:bookmarkStart w:id="100" w:name="_Toc208494569"/>
      <w:bookmarkStart w:id="101" w:name="_Toc2007844702"/>
      <w:bookmarkStart w:id="102" w:name="_Toc76554039"/>
      <w:bookmarkStart w:id="103" w:name="_Toc1311946222"/>
      <w:r>
        <w:rPr>
          <w:rFonts w:ascii="Times New Roman" w:hAnsi="Times New Roman" w:eastAsia="楷体_GB2312" w:cs="Times New Roman"/>
          <w:sz w:val="32"/>
          <w:szCs w:val="32"/>
        </w:rPr>
        <w:t>（二）</w:t>
      </w:r>
      <w:bookmarkEnd w:id="94"/>
      <w:bookmarkEnd w:id="95"/>
      <w:bookmarkEnd w:id="96"/>
      <w:bookmarkEnd w:id="97"/>
      <w:r>
        <w:rPr>
          <w:rFonts w:ascii="Times New Roman" w:hAnsi="Times New Roman" w:eastAsia="楷体_GB2312" w:cs="Times New Roman"/>
          <w:sz w:val="32"/>
          <w:szCs w:val="32"/>
        </w:rPr>
        <w:t>养老服务体系发展</w:t>
      </w:r>
      <w:r>
        <w:rPr>
          <w:rFonts w:hint="eastAsia" w:ascii="Times New Roman" w:hAnsi="Times New Roman" w:eastAsia="楷体_GB2312" w:cs="Times New Roman"/>
          <w:sz w:val="32"/>
          <w:szCs w:val="32"/>
        </w:rPr>
        <w:t>初见规模</w:t>
      </w:r>
      <w:bookmarkEnd w:id="98"/>
      <w:bookmarkEnd w:id="99"/>
      <w:bookmarkEnd w:id="100"/>
      <w:bookmarkEnd w:id="101"/>
      <w:bookmarkEnd w:id="102"/>
      <w:bookmarkEnd w:id="103"/>
    </w:p>
    <w:p>
      <w:pPr>
        <w:pStyle w:val="3"/>
        <w:adjustRightInd w:val="0"/>
        <w:snapToGrid w:val="0"/>
        <w:spacing w:line="560" w:lineRule="exact"/>
        <w:ind w:firstLine="640" w:firstLineChars="200"/>
        <w:jc w:val="both"/>
        <w:rPr>
          <w:rFonts w:ascii="仿宋_GB2312" w:hAnsi="仿宋_GB2312" w:eastAsia="仿宋_GB2312" w:cs="仿宋_GB2312"/>
          <w:kern w:val="2"/>
          <w:lang w:val="en-US" w:bidi="ar-SA"/>
        </w:rPr>
      </w:pPr>
      <w:r>
        <w:rPr>
          <w:rFonts w:hint="eastAsia" w:ascii="仿宋_GB2312" w:hAnsi="仿宋_GB2312" w:eastAsia="仿宋_GB2312" w:cs="仿宋_GB2312"/>
          <w:b w:val="0"/>
          <w:bCs w:val="0"/>
          <w:kern w:val="2"/>
          <w:lang w:val="en-US" w:bidi="ar-SA"/>
        </w:rPr>
        <w:t>一是落实养老机构督管、养老设施建设服务。</w:t>
      </w:r>
      <w:r>
        <w:rPr>
          <w:rFonts w:hint="eastAsia" w:ascii="仿宋_GB2312" w:hAnsi="仿宋_GB2312" w:eastAsia="仿宋_GB2312" w:cs="仿宋_GB2312"/>
          <w:kern w:val="2"/>
          <w:lang w:val="en-US" w:bidi="ar-SA"/>
        </w:rPr>
        <w:t>坪山区敬老院已竣工并通过验收，计划与坪山区残疾人综合服务中心合体社会化运营，发挥公建民营养老机构的保障作用。</w:t>
      </w:r>
      <w:r>
        <w:rPr>
          <w:rFonts w:hint="eastAsia" w:ascii="仿宋_GB2312" w:hAnsi="仿宋_GB2312" w:eastAsia="仿宋_GB2312" w:cs="仿宋_GB2312"/>
          <w:b w:val="0"/>
          <w:bCs w:val="0"/>
          <w:kern w:val="2"/>
          <w:lang w:val="en-US" w:bidi="ar-SA"/>
        </w:rPr>
        <w:t>二是扩大社区养老服务设施布局和建设范围。</w:t>
      </w:r>
      <w:r>
        <w:rPr>
          <w:rFonts w:hint="eastAsia" w:ascii="仿宋_GB2312" w:hAnsi="仿宋_GB2312" w:eastAsia="仿宋_GB2312" w:cs="仿宋_GB2312"/>
          <w:kern w:val="2"/>
          <w:lang w:val="en-US" w:bidi="ar-SA"/>
        </w:rPr>
        <w:t>新增2家街道长者服务中心（分别位于龙田</w:t>
      </w:r>
      <w:r>
        <w:rPr>
          <w:rFonts w:hint="eastAsia" w:ascii="仿宋_GB2312" w:hAnsi="仿宋_GB2312" w:eastAsia="仿宋_GB2312" w:cs="仿宋_GB2312"/>
          <w:kern w:val="2"/>
          <w:lang w:val="en-US" w:eastAsia="zh-CN" w:bidi="ar-SA"/>
        </w:rPr>
        <w:t>街道</w:t>
      </w:r>
      <w:r>
        <w:rPr>
          <w:rFonts w:hint="eastAsia" w:ascii="仿宋_GB2312" w:hAnsi="仿宋_GB2312" w:eastAsia="仿宋_GB2312" w:cs="仿宋_GB2312"/>
          <w:kern w:val="2"/>
          <w:lang w:val="en-US" w:bidi="ar-SA"/>
        </w:rPr>
        <w:t>、碧岭街道），马峦街道长者服务中心打造为集“康、养、乐、居”功能于一体的社区养老服务设施综合体，满足社区老年人需求。</w:t>
      </w:r>
      <w:r>
        <w:rPr>
          <w:rFonts w:hint="eastAsia" w:ascii="仿宋_GB2312" w:hAnsi="仿宋_GB2312" w:eastAsia="仿宋_GB2312" w:cs="仿宋_GB2312"/>
          <w:b w:val="0"/>
          <w:bCs w:val="0"/>
          <w:kern w:val="2"/>
          <w:lang w:val="en-US" w:bidi="ar-SA"/>
        </w:rPr>
        <w:t>三是保障居家养老服务需求。</w:t>
      </w:r>
      <w:r>
        <w:rPr>
          <w:rFonts w:hint="eastAsia" w:ascii="仿宋_GB2312" w:hAnsi="仿宋_GB2312" w:eastAsia="仿宋_GB2312" w:cs="仿宋_GB2312"/>
          <w:kern w:val="2"/>
          <w:lang w:val="en-US" w:bidi="ar-SA"/>
        </w:rPr>
        <w:t>支持高龄、失能和困难老年人开展居家适老化改造，进一步提升涉老领域服务人员的专业技能和综合素质。</w:t>
      </w:r>
    </w:p>
    <w:p>
      <w:pPr>
        <w:pStyle w:val="37"/>
        <w:numPr>
          <w:ilvl w:val="255"/>
          <w:numId w:val="0"/>
        </w:numPr>
        <w:adjustRightInd w:val="0"/>
        <w:snapToGrid w:val="0"/>
        <w:spacing w:line="560" w:lineRule="exact"/>
        <w:ind w:firstLine="640" w:firstLineChars="200"/>
        <w:outlineLvl w:val="1"/>
        <w:rPr>
          <w:rFonts w:ascii="Times New Roman" w:hAnsi="Times New Roman" w:eastAsia="楷体_GB2312" w:cs="Times New Roman"/>
          <w:sz w:val="32"/>
          <w:szCs w:val="32"/>
        </w:rPr>
      </w:pPr>
      <w:bookmarkStart w:id="104" w:name="_Toc22584908"/>
      <w:bookmarkStart w:id="105" w:name="_Toc11414"/>
      <w:bookmarkStart w:id="106" w:name="_Toc3136"/>
      <w:bookmarkStart w:id="107" w:name="_Toc26970299"/>
      <w:bookmarkStart w:id="108" w:name="_Toc301028920"/>
      <w:bookmarkStart w:id="109" w:name="_Toc149655102"/>
      <w:bookmarkStart w:id="110" w:name="_Toc2103749520"/>
      <w:bookmarkStart w:id="111" w:name="_Toc1622392926"/>
      <w:bookmarkStart w:id="112" w:name="_Toc1665549405"/>
      <w:bookmarkStart w:id="113" w:name="_Toc287877556"/>
      <w:r>
        <w:rPr>
          <w:rFonts w:ascii="Times New Roman" w:hAnsi="Times New Roman" w:eastAsia="楷体_GB2312" w:cs="Times New Roman"/>
          <w:sz w:val="32"/>
          <w:szCs w:val="32"/>
        </w:rPr>
        <w:t>（三</w:t>
      </w:r>
      <w:bookmarkEnd w:id="104"/>
      <w:bookmarkEnd w:id="105"/>
      <w:bookmarkEnd w:id="106"/>
      <w:bookmarkEnd w:id="107"/>
      <w:r>
        <w:rPr>
          <w:rFonts w:hint="eastAsia" w:ascii="Times New Roman" w:hAnsi="Times New Roman" w:eastAsia="楷体_GB2312" w:cs="Times New Roman"/>
          <w:sz w:val="32"/>
          <w:szCs w:val="32"/>
        </w:rPr>
        <w:t>）多类型残疾人</w:t>
      </w:r>
      <w:r>
        <w:rPr>
          <w:rFonts w:ascii="Times New Roman" w:hAnsi="Times New Roman" w:eastAsia="楷体_GB2312" w:cs="Times New Roman"/>
          <w:sz w:val="32"/>
          <w:szCs w:val="32"/>
        </w:rPr>
        <w:t>服务</w:t>
      </w:r>
      <w:r>
        <w:rPr>
          <w:rFonts w:hint="eastAsia" w:ascii="Times New Roman" w:hAnsi="Times New Roman" w:eastAsia="楷体_GB2312" w:cs="Times New Roman"/>
          <w:sz w:val="32"/>
          <w:szCs w:val="32"/>
        </w:rPr>
        <w:t>有效推行</w:t>
      </w:r>
      <w:bookmarkEnd w:id="108"/>
      <w:bookmarkEnd w:id="109"/>
      <w:bookmarkEnd w:id="110"/>
      <w:bookmarkEnd w:id="111"/>
      <w:bookmarkEnd w:id="112"/>
      <w:bookmarkEnd w:id="113"/>
    </w:p>
    <w:p>
      <w:pPr>
        <w:pStyle w:val="64"/>
        <w:spacing w:line="560" w:lineRule="exact"/>
        <w:ind w:firstLine="643"/>
        <w:rPr>
          <w:rFonts w:hAnsi="仿宋_GB2312"/>
        </w:rPr>
      </w:pPr>
      <w:r>
        <w:rPr>
          <w:rFonts w:hint="eastAsia" w:hAnsi="仿宋_GB2312"/>
          <w:b w:val="0"/>
          <w:bCs w:val="0"/>
        </w:rPr>
        <w:t>一是推动残疾人服务设施建设。</w:t>
      </w:r>
      <w:r>
        <w:rPr>
          <w:rFonts w:hint="eastAsia" w:hAnsi="仿宋_GB2312"/>
        </w:rPr>
        <w:t>对辖区40个公共场所进行无障碍设施测评，稳步推进公园、学校等</w:t>
      </w:r>
      <w:r>
        <w:rPr>
          <w:rFonts w:hint="eastAsia" w:hAnsi="仿宋_GB2312"/>
          <w:lang w:eastAsia="zh-CN"/>
        </w:rPr>
        <w:t>场所</w:t>
      </w:r>
      <w:r>
        <w:rPr>
          <w:rFonts w:hint="eastAsia" w:hAnsi="仿宋_GB2312"/>
        </w:rPr>
        <w:t>无障碍建设，助力无障碍城区创建。</w:t>
      </w:r>
      <w:r>
        <w:rPr>
          <w:rFonts w:hint="eastAsia" w:hAnsi="仿宋_GB2312"/>
          <w:b w:val="0"/>
          <w:bCs w:val="0"/>
        </w:rPr>
        <w:t>二是鼓励残疾人就业创业。</w:t>
      </w:r>
      <w:r>
        <w:rPr>
          <w:rFonts w:hint="eastAsia" w:hAnsi="仿宋_GB2312"/>
        </w:rPr>
        <w:t>利用信息化手段，有效匹配需求与岗位供给，为残疾人提供精准服务。</w:t>
      </w:r>
      <w:r>
        <w:rPr>
          <w:rFonts w:hint="eastAsia" w:hAnsi="仿宋_GB2312"/>
          <w:b w:val="0"/>
          <w:bCs w:val="0"/>
        </w:rPr>
        <w:t>三是深化康复服务。</w:t>
      </w:r>
      <w:r>
        <w:rPr>
          <w:rFonts w:hint="eastAsia" w:hAnsi="仿宋_GB2312"/>
        </w:rPr>
        <w:t>优化残疾人心理健康服务</w:t>
      </w:r>
      <w:r>
        <w:rPr>
          <w:rFonts w:hint="eastAsia" w:hAnsi="仿宋_GB2312"/>
          <w:lang w:eastAsia="zh-CN"/>
        </w:rPr>
        <w:t>，</w:t>
      </w:r>
      <w:r>
        <w:rPr>
          <w:rFonts w:hint="eastAsia" w:hAnsi="仿宋_GB2312"/>
        </w:rPr>
        <w:t>为</w:t>
      </w:r>
      <w:r>
        <w:rPr>
          <w:rFonts w:hAnsi="仿宋_GB2312"/>
        </w:rPr>
        <w:t>226</w:t>
      </w:r>
      <w:r>
        <w:rPr>
          <w:rFonts w:hint="eastAsia" w:hAnsi="仿宋_GB2312"/>
        </w:rPr>
        <w:t>名残疾儿童提供康复训练服务，为7</w:t>
      </w:r>
      <w:r>
        <w:rPr>
          <w:rFonts w:hAnsi="仿宋_GB2312"/>
        </w:rPr>
        <w:t>1</w:t>
      </w:r>
      <w:r>
        <w:rPr>
          <w:rFonts w:hint="eastAsia" w:hAnsi="仿宋_GB2312"/>
        </w:rPr>
        <w:t>名已入读普通幼儿园的残疾儿童提供学前融合教育补贴、7名听力残疾儿童提供人工耳蜗植入及配套服务。</w:t>
      </w:r>
    </w:p>
    <w:p>
      <w:pPr>
        <w:pStyle w:val="37"/>
        <w:numPr>
          <w:ilvl w:val="255"/>
          <w:numId w:val="0"/>
        </w:numPr>
        <w:adjustRightInd w:val="0"/>
        <w:snapToGrid w:val="0"/>
        <w:spacing w:line="560" w:lineRule="exact"/>
        <w:ind w:firstLine="640" w:firstLineChars="200"/>
        <w:outlineLvl w:val="1"/>
        <w:rPr>
          <w:rFonts w:ascii="Times New Roman" w:hAnsi="Times New Roman" w:eastAsia="楷体_GB2312" w:cs="Times New Roman"/>
          <w:sz w:val="32"/>
          <w:szCs w:val="32"/>
        </w:rPr>
      </w:pPr>
      <w:bookmarkStart w:id="114" w:name="_Toc26970300"/>
      <w:bookmarkStart w:id="115" w:name="_Toc22584909"/>
      <w:bookmarkStart w:id="116" w:name="_Toc7580"/>
      <w:bookmarkStart w:id="117" w:name="_Toc15811"/>
      <w:bookmarkStart w:id="118" w:name="_Toc1547418432"/>
      <w:bookmarkStart w:id="119" w:name="_Toc958041323"/>
      <w:bookmarkStart w:id="120" w:name="_Toc2069069755"/>
      <w:bookmarkStart w:id="121" w:name="_Toc439511190"/>
      <w:bookmarkStart w:id="122" w:name="_Toc149655103"/>
      <w:bookmarkStart w:id="123" w:name="_Toc77427001"/>
      <w:r>
        <w:rPr>
          <w:rFonts w:ascii="Times New Roman" w:hAnsi="Times New Roman" w:eastAsia="楷体_GB2312" w:cs="Times New Roman"/>
          <w:sz w:val="32"/>
          <w:szCs w:val="32"/>
        </w:rPr>
        <w:t>（四）</w:t>
      </w:r>
      <w:bookmarkEnd w:id="114"/>
      <w:bookmarkEnd w:id="115"/>
      <w:bookmarkEnd w:id="116"/>
      <w:bookmarkEnd w:id="117"/>
      <w:r>
        <w:rPr>
          <w:rFonts w:ascii="Times New Roman" w:hAnsi="Times New Roman" w:eastAsia="楷体_GB2312" w:cs="Times New Roman"/>
          <w:sz w:val="32"/>
          <w:szCs w:val="32"/>
        </w:rPr>
        <w:t>社区治理</w:t>
      </w:r>
      <w:r>
        <w:rPr>
          <w:rFonts w:hint="eastAsia" w:ascii="Times New Roman" w:hAnsi="Times New Roman" w:eastAsia="楷体_GB2312" w:cs="Times New Roman"/>
          <w:sz w:val="32"/>
          <w:szCs w:val="32"/>
        </w:rPr>
        <w:t>和服务趋向</w:t>
      </w:r>
      <w:r>
        <w:rPr>
          <w:rFonts w:ascii="Times New Roman" w:hAnsi="Times New Roman" w:eastAsia="楷体_GB2312" w:cs="Times New Roman"/>
          <w:sz w:val="32"/>
          <w:szCs w:val="32"/>
        </w:rPr>
        <w:t>精细</w:t>
      </w:r>
      <w:r>
        <w:rPr>
          <w:rFonts w:hint="eastAsia" w:ascii="Times New Roman" w:hAnsi="Times New Roman" w:eastAsia="楷体_GB2312" w:cs="Times New Roman"/>
          <w:sz w:val="32"/>
          <w:szCs w:val="32"/>
        </w:rPr>
        <w:t>化</w:t>
      </w:r>
      <w:bookmarkEnd w:id="118"/>
      <w:bookmarkEnd w:id="119"/>
      <w:bookmarkEnd w:id="120"/>
      <w:bookmarkEnd w:id="121"/>
      <w:bookmarkEnd w:id="122"/>
      <w:bookmarkEnd w:id="123"/>
    </w:p>
    <w:p>
      <w:pPr>
        <w:pStyle w:val="64"/>
        <w:spacing w:line="560" w:lineRule="exact"/>
        <w:rPr>
          <w:rFonts w:hAnsi="仿宋_GB2312"/>
        </w:rPr>
      </w:pPr>
      <w:r>
        <w:rPr>
          <w:rFonts w:hint="eastAsia" w:hAnsi="仿宋_GB2312"/>
        </w:rPr>
        <w:t>一是深化社区治理现代化。制定《坪山区社区居务公开事项清单（试行）》，提升社区居委会工作规范化水平；指导相关社区依法依规完成缺额补选工作，加强队伍培训。二是民生微实事质效全面提升。发布《坪山区“民生微实事”服务类项目库（2022年修订）》，优化项目库建设；起草《坪山区“民生微实事”示范项目工作指引（试行）》，实施一批区级示范项目，构建新型“民生微实事”工作体系。三是加强行政区划管理维护</w:t>
      </w:r>
      <w:r>
        <w:rPr>
          <w:rFonts w:hint="eastAsia" w:hAnsi="仿宋_GB2312"/>
          <w:lang w:eastAsia="zh-CN"/>
        </w:rPr>
        <w:t>，</w:t>
      </w:r>
      <w:r>
        <w:rPr>
          <w:rFonts w:hint="eastAsia" w:hAnsi="仿宋_GB2312"/>
        </w:rPr>
        <w:t>及时处理深惠边界界线变更相关投诉，配合相关部门推动解决边界居民民生诉求。</w:t>
      </w:r>
      <w:bookmarkEnd w:id="91"/>
      <w:bookmarkEnd w:id="92"/>
      <w:bookmarkEnd w:id="93"/>
      <w:bookmarkStart w:id="124" w:name="_Toc21969136"/>
      <w:bookmarkStart w:id="125" w:name="_Toc3385"/>
      <w:bookmarkStart w:id="126" w:name="_Toc22584910"/>
      <w:bookmarkStart w:id="127" w:name="_Toc13977"/>
      <w:bookmarkStart w:id="128" w:name="_Toc13865"/>
      <w:bookmarkStart w:id="129" w:name="_Toc7630"/>
    </w:p>
    <w:p>
      <w:pPr>
        <w:pStyle w:val="37"/>
        <w:numPr>
          <w:ilvl w:val="255"/>
          <w:numId w:val="0"/>
        </w:numPr>
        <w:adjustRightInd w:val="0"/>
        <w:snapToGrid w:val="0"/>
        <w:spacing w:line="560" w:lineRule="exact"/>
        <w:ind w:firstLine="640" w:firstLineChars="200"/>
        <w:outlineLvl w:val="1"/>
        <w:rPr>
          <w:rFonts w:ascii="Times New Roman" w:hAnsi="Times New Roman" w:eastAsia="楷体_GB2312" w:cs="Times New Roman"/>
          <w:sz w:val="32"/>
          <w:szCs w:val="32"/>
        </w:rPr>
      </w:pPr>
      <w:bookmarkStart w:id="130" w:name="_Toc2087999372"/>
      <w:bookmarkStart w:id="131" w:name="_Toc652676414"/>
      <w:bookmarkStart w:id="132" w:name="_Toc2115614102"/>
      <w:bookmarkStart w:id="133" w:name="_Toc149655104"/>
      <w:bookmarkStart w:id="134" w:name="_Toc1668308297"/>
      <w:bookmarkStart w:id="135" w:name="_Toc1434621454"/>
      <w:r>
        <w:rPr>
          <w:rFonts w:ascii="Times New Roman" w:hAnsi="Times New Roman" w:eastAsia="楷体_GB2312" w:cs="Times New Roman"/>
          <w:sz w:val="32"/>
          <w:szCs w:val="32"/>
        </w:rPr>
        <w:t>（五）社会组织服务效能提质晋级</w:t>
      </w:r>
      <w:bookmarkEnd w:id="130"/>
      <w:bookmarkEnd w:id="131"/>
      <w:bookmarkEnd w:id="132"/>
      <w:bookmarkEnd w:id="133"/>
      <w:bookmarkEnd w:id="134"/>
      <w:bookmarkEnd w:id="135"/>
    </w:p>
    <w:p>
      <w:pPr>
        <w:pStyle w:val="64"/>
        <w:spacing w:line="560" w:lineRule="exact"/>
        <w:rPr>
          <w:rFonts w:hAnsi="仿宋_GB2312"/>
        </w:rPr>
      </w:pPr>
      <w:r>
        <w:rPr>
          <w:rFonts w:hint="eastAsia" w:hAnsi="仿宋_GB2312"/>
        </w:rPr>
        <w:t>一是助力社会组织发展，举办线上推介会重点推介社会组织，开展社团换届、财务管理等14场专题培训。二是举办社会组织公益项目创投大赛，邀请区慈善会等社会力量参与，遴选并资助了9个公益项目。三是推进坪山街道“6W”服务项目试点，为社会组织提供记账报税等“贴身”服务，实时掌握运作动态，实现动态化监管，促进规范有序运作。四是加强对社会组织的监管，开展规范社会团体分支（代表）机构专项整治工作等6项专项整治行动，督促整改内部治理不完善等问题。</w:t>
      </w:r>
    </w:p>
    <w:p>
      <w:pPr>
        <w:pStyle w:val="5"/>
        <w:tabs>
          <w:tab w:val="clear" w:pos="0"/>
        </w:tabs>
        <w:adjustRightInd w:val="0"/>
        <w:snapToGrid w:val="0"/>
        <w:spacing w:before="0" w:after="0" w:line="560" w:lineRule="exact"/>
        <w:ind w:firstLine="640" w:firstLineChars="200"/>
        <w:jc w:val="both"/>
        <w:rPr>
          <w:rFonts w:eastAsia="黑体"/>
          <w:b w:val="0"/>
          <w:bCs w:val="0"/>
          <w:szCs w:val="32"/>
          <w:lang w:eastAsia="zh-CN"/>
        </w:rPr>
      </w:pPr>
      <w:bookmarkStart w:id="136" w:name="_Toc26970301"/>
      <w:bookmarkStart w:id="137" w:name="_Toc1883872509"/>
      <w:bookmarkStart w:id="138" w:name="_Toc149655105"/>
      <w:bookmarkStart w:id="139" w:name="_Toc1711052447"/>
      <w:bookmarkStart w:id="140" w:name="_Toc1239468935"/>
      <w:bookmarkStart w:id="141" w:name="_Toc186021222"/>
      <w:bookmarkStart w:id="142" w:name="_Toc975169577"/>
      <w:r>
        <w:rPr>
          <w:rFonts w:eastAsia="黑体"/>
          <w:b w:val="0"/>
          <w:bCs w:val="0"/>
          <w:szCs w:val="32"/>
          <w:lang w:eastAsia="zh-CN"/>
        </w:rPr>
        <w:t>四、存在问题</w:t>
      </w:r>
      <w:bookmarkEnd w:id="124"/>
      <w:bookmarkEnd w:id="125"/>
      <w:bookmarkEnd w:id="126"/>
      <w:bookmarkEnd w:id="127"/>
      <w:bookmarkEnd w:id="128"/>
      <w:bookmarkEnd w:id="129"/>
      <w:bookmarkEnd w:id="136"/>
      <w:bookmarkEnd w:id="137"/>
      <w:bookmarkEnd w:id="138"/>
      <w:bookmarkEnd w:id="139"/>
      <w:bookmarkEnd w:id="140"/>
      <w:bookmarkEnd w:id="141"/>
      <w:bookmarkEnd w:id="142"/>
    </w:p>
    <w:p>
      <w:pPr>
        <w:pStyle w:val="37"/>
        <w:numPr>
          <w:ilvl w:val="255"/>
          <w:numId w:val="0"/>
        </w:numPr>
        <w:adjustRightInd w:val="0"/>
        <w:snapToGrid w:val="0"/>
        <w:spacing w:line="560" w:lineRule="exact"/>
        <w:ind w:firstLine="640" w:firstLineChars="200"/>
        <w:outlineLvl w:val="1"/>
        <w:rPr>
          <w:rFonts w:ascii="Times New Roman" w:hAnsi="Times New Roman" w:eastAsia="楷体_GB2312" w:cs="Times New Roman"/>
          <w:sz w:val="32"/>
          <w:szCs w:val="32"/>
        </w:rPr>
      </w:pPr>
      <w:bookmarkStart w:id="143" w:name="_Toc1869971769"/>
      <w:bookmarkStart w:id="144" w:name="_Toc79886735"/>
      <w:bookmarkStart w:id="145" w:name="_Toc149655106"/>
      <w:bookmarkStart w:id="146" w:name="_Toc1163014645"/>
      <w:bookmarkStart w:id="147" w:name="_Toc1893851042"/>
      <w:bookmarkStart w:id="148" w:name="_Toc704959752"/>
      <w:bookmarkStart w:id="149" w:name="_Toc21969138"/>
      <w:bookmarkStart w:id="150" w:name="_Toc9619"/>
      <w:bookmarkStart w:id="151" w:name="_Toc18060"/>
      <w:bookmarkStart w:id="152" w:name="_Toc1185"/>
      <w:bookmarkStart w:id="153" w:name="_Toc14105"/>
      <w:bookmarkStart w:id="154" w:name="_Toc22584911"/>
      <w:bookmarkStart w:id="155" w:name="_Toc26970302"/>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一</w:t>
      </w: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部门履职规划统筹管理不到位，指标设置科学性不足</w:t>
      </w:r>
      <w:bookmarkEnd w:id="143"/>
      <w:bookmarkEnd w:id="144"/>
      <w:bookmarkEnd w:id="145"/>
      <w:bookmarkEnd w:id="146"/>
      <w:bookmarkEnd w:id="147"/>
      <w:bookmarkEnd w:id="148"/>
    </w:p>
    <w:p>
      <w:pPr>
        <w:adjustRightInd w:val="0"/>
        <w:snapToGrid w:val="0"/>
        <w:spacing w:line="560" w:lineRule="exact"/>
        <w:ind w:firstLine="640" w:firstLineChars="200"/>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一是部门整体绩效目标可衡量性不佳，与年度重点工作任务衔接不足。</w:t>
      </w:r>
      <w:r>
        <w:rPr>
          <w:rFonts w:hint="eastAsia" w:ascii="仿宋_GB2312" w:hAnsi="仿宋_GB2312" w:eastAsia="仿宋_GB2312" w:cs="仿宋_GB2312"/>
          <w:bCs/>
          <w:sz w:val="32"/>
          <w:szCs w:val="32"/>
        </w:rPr>
        <w:t>根据区民政局提供的绩效自评表，部门所设置的年度目标可衡量性不佳，尚未量化、细化以上工作达到目标的判断标准。</w:t>
      </w:r>
    </w:p>
    <w:p>
      <w:pPr>
        <w:pStyle w:val="57"/>
        <w:adjustRightInd w:val="0"/>
        <w:snapToGrid w:val="0"/>
        <w:spacing w:line="560" w:lineRule="exact"/>
        <w:ind w:firstLine="643"/>
        <w:jc w:val="both"/>
        <w:rPr>
          <w:rFonts w:hAnsi="仿宋_GB2312" w:cs="仿宋_GB2312"/>
          <w:bCs/>
        </w:rPr>
      </w:pPr>
      <w:r>
        <w:rPr>
          <w:rFonts w:hint="eastAsia" w:hAnsi="仿宋_GB2312" w:cs="仿宋_GB2312"/>
          <w:b w:val="0"/>
          <w:bCs/>
        </w:rPr>
        <w:t>二是绩效指标未归类整合，未能直观体现履职工作的核心绩效。</w:t>
      </w:r>
      <w:r>
        <w:rPr>
          <w:rFonts w:hint="eastAsia" w:hAnsi="仿宋_GB2312" w:cs="仿宋_GB2312"/>
          <w:bCs/>
        </w:rPr>
        <w:t>部门共设绩效指标数量为122个，数量偏多且尚未结合重点工作任务及各科室职能进行整合、归类及合并，各项目标完成数据较为零散，导致部门整体履职工作成效未能直观体现。</w:t>
      </w:r>
    </w:p>
    <w:p>
      <w:pPr>
        <w:pStyle w:val="57"/>
        <w:adjustRightInd w:val="0"/>
        <w:snapToGrid w:val="0"/>
        <w:spacing w:line="560" w:lineRule="exact"/>
        <w:ind w:firstLine="643"/>
        <w:jc w:val="both"/>
        <w:rPr>
          <w:rFonts w:hAnsi="仿宋_GB2312" w:cs="仿宋_GB2312"/>
        </w:rPr>
      </w:pPr>
      <w:r>
        <w:rPr>
          <w:rFonts w:hint="eastAsia" w:hAnsi="仿宋_GB2312" w:cs="仿宋_GB2312"/>
          <w:b w:val="0"/>
          <w:bCs/>
        </w:rPr>
        <w:t>三是绩效指标设置准确度有待提高，部分指标实际完成量超出预期比例较高。</w:t>
      </w:r>
      <w:r>
        <w:rPr>
          <w:rFonts w:hint="eastAsia" w:hAnsi="仿宋_GB2312" w:cs="仿宋_GB2312"/>
          <w:bCs/>
        </w:rPr>
        <w:t>区民政局部门总体指标</w:t>
      </w:r>
      <w:r>
        <w:rPr>
          <w:rFonts w:hint="eastAsia" w:hAnsi="仿宋_GB2312" w:cs="仿宋_GB2312"/>
        </w:rPr>
        <w:t>有10个指标完成数是计划数的1.5倍，占比约14.49%。实际完成情况超出预期比率较大，反映出目标值未充分结合资金投入规模和实际情况进行设定。</w:t>
      </w:r>
    </w:p>
    <w:p>
      <w:pPr>
        <w:pStyle w:val="37"/>
        <w:numPr>
          <w:ilvl w:val="255"/>
          <w:numId w:val="0"/>
        </w:numPr>
        <w:adjustRightInd w:val="0"/>
        <w:snapToGrid w:val="0"/>
        <w:spacing w:line="560" w:lineRule="exact"/>
        <w:ind w:firstLine="640" w:firstLineChars="200"/>
        <w:outlineLvl w:val="1"/>
        <w:rPr>
          <w:rFonts w:ascii="Times New Roman" w:hAnsi="Times New Roman" w:eastAsia="楷体_GB2312" w:cs="Times New Roman"/>
          <w:sz w:val="32"/>
          <w:szCs w:val="32"/>
        </w:rPr>
      </w:pPr>
      <w:bookmarkStart w:id="156" w:name="_Toc390983521"/>
      <w:bookmarkStart w:id="157" w:name="_Toc2099330707"/>
      <w:bookmarkStart w:id="158" w:name="_Toc479075770"/>
      <w:bookmarkStart w:id="159" w:name="_Toc591271365"/>
      <w:bookmarkStart w:id="160" w:name="_Toc192347738"/>
      <w:bookmarkStart w:id="161" w:name="_Toc149655107"/>
      <w:bookmarkStart w:id="162" w:name="_Toc26970308"/>
      <w:bookmarkStart w:id="163" w:name="_Toc9509"/>
      <w:bookmarkStart w:id="164" w:name="_Toc3692"/>
      <w:bookmarkStart w:id="165" w:name="_Toc26996"/>
      <w:bookmarkStart w:id="166" w:name="_Toc21969140"/>
      <w:bookmarkStart w:id="167" w:name="_Toc26970321"/>
      <w:bookmarkStart w:id="168" w:name="_Toc12379"/>
      <w:r>
        <w:rPr>
          <w:rFonts w:hint="eastAsia" w:ascii="Times New Roman" w:hAnsi="Times New Roman" w:eastAsia="楷体_GB2312" w:cs="Times New Roman"/>
          <w:sz w:val="32"/>
          <w:szCs w:val="32"/>
        </w:rPr>
        <w:t>（二）项目预算内部调剂幅度大，个别资金使用效益低</w:t>
      </w:r>
      <w:bookmarkEnd w:id="156"/>
      <w:bookmarkEnd w:id="157"/>
      <w:bookmarkEnd w:id="158"/>
      <w:bookmarkEnd w:id="159"/>
      <w:bookmarkEnd w:id="160"/>
      <w:bookmarkEnd w:id="161"/>
      <w:bookmarkEnd w:id="162"/>
    </w:p>
    <w:p>
      <w:pPr>
        <w:adjustRightInd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根据</w:t>
      </w:r>
      <w:r>
        <w:rPr>
          <w:rFonts w:hint="eastAsia" w:ascii="仿宋_GB2312" w:hAnsi="仿宋_GB2312" w:eastAsia="仿宋_GB2312" w:cs="仿宋_GB2312"/>
          <w:sz w:val="32"/>
          <w:szCs w:val="32"/>
        </w:rPr>
        <w:t>区民政局</w:t>
      </w:r>
      <w:r>
        <w:rPr>
          <w:rFonts w:hint="eastAsia" w:ascii="仿宋_GB2312" w:hAnsi="仿宋_GB2312" w:eastAsia="仿宋_GB2312" w:cs="仿宋_GB2312"/>
          <w:sz w:val="32"/>
          <w:szCs w:val="32"/>
          <w:lang w:val="zh-CN"/>
        </w:rPr>
        <w:t>提供</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zh-CN"/>
        </w:rPr>
        <w:t>数据，部门年初预算金额为4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426.40万元，资金</w:t>
      </w:r>
      <w:r>
        <w:rPr>
          <w:rFonts w:hint="eastAsia" w:ascii="仿宋_GB2312" w:hAnsi="仿宋_GB2312" w:eastAsia="仿宋_GB2312" w:cs="仿宋_GB2312"/>
          <w:sz w:val="32"/>
          <w:szCs w:val="32"/>
        </w:rPr>
        <w:t>调整</w:t>
      </w:r>
      <w:r>
        <w:rPr>
          <w:rFonts w:hint="eastAsia" w:ascii="仿宋_GB2312" w:hAnsi="仿宋_GB2312" w:eastAsia="仿宋_GB2312" w:cs="仿宋_GB2312"/>
          <w:sz w:val="32"/>
          <w:szCs w:val="32"/>
          <w:lang w:val="zh-CN"/>
        </w:rPr>
        <w:t>调剂率</w:t>
      </w:r>
      <w:r>
        <w:rPr>
          <w:rFonts w:ascii="仿宋_GB2312" w:hAnsi="仿宋_GB2312" w:eastAsia="仿宋_GB2312" w:cs="仿宋_GB2312"/>
          <w:sz w:val="32"/>
          <w:szCs w:val="32"/>
          <w:lang w:val="zh-CN"/>
        </w:rPr>
        <w:t>22.70%</w:t>
      </w:r>
      <w:r>
        <w:rPr>
          <w:rFonts w:hint="eastAsia" w:ascii="仿宋_GB2312" w:hAnsi="仿宋_GB2312" w:eastAsia="仿宋_GB2312" w:cs="仿宋_GB2312"/>
          <w:sz w:val="32"/>
          <w:szCs w:val="32"/>
          <w:lang w:val="zh-CN"/>
        </w:rPr>
        <w:t>。</w:t>
      </w:r>
    </w:p>
    <w:p>
      <w:pPr>
        <w:adjustRightInd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经核查，内部调剂手续</w:t>
      </w:r>
      <w:r>
        <w:rPr>
          <w:rFonts w:hint="eastAsia" w:ascii="仿宋_GB2312" w:hAnsi="仿宋_GB2312" w:eastAsia="仿宋_GB2312" w:cs="仿宋_GB2312"/>
          <w:sz w:val="32"/>
          <w:szCs w:val="32"/>
        </w:rPr>
        <w:t>较为规范</w:t>
      </w:r>
      <w:r>
        <w:rPr>
          <w:rFonts w:hint="eastAsia" w:ascii="仿宋_GB2312" w:hAnsi="仿宋_GB2312" w:eastAsia="仿宋_GB2312" w:cs="仿宋_GB2312"/>
          <w:sz w:val="32"/>
          <w:szCs w:val="32"/>
          <w:lang w:val="zh-CN"/>
        </w:rPr>
        <w:t>，相关的内部调剂按照单位内部管理制度</w:t>
      </w:r>
      <w:r>
        <w:rPr>
          <w:rFonts w:hint="eastAsia" w:ascii="仿宋_GB2312" w:hAnsi="仿宋_GB2312" w:eastAsia="仿宋_GB2312" w:cs="仿宋_GB2312"/>
          <w:sz w:val="32"/>
          <w:szCs w:val="32"/>
        </w:rPr>
        <w:t>经</w:t>
      </w:r>
      <w:r>
        <w:rPr>
          <w:rFonts w:hint="eastAsia" w:ascii="仿宋_GB2312" w:hAnsi="仿宋_GB2312" w:eastAsia="仿宋_GB2312" w:cs="仿宋_GB2312"/>
          <w:sz w:val="32"/>
          <w:szCs w:val="32"/>
          <w:lang w:val="zh-CN"/>
        </w:rPr>
        <w:t>OA办公系统申请并</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val="zh-CN"/>
        </w:rPr>
        <w:t>各级审批</w:t>
      </w:r>
      <w:r>
        <w:rPr>
          <w:rFonts w:hint="eastAsia" w:ascii="仿宋_GB2312" w:hAnsi="仿宋_GB2312" w:eastAsia="仿宋_GB2312" w:cs="仿宋_GB2312"/>
          <w:sz w:val="32"/>
          <w:szCs w:val="32"/>
        </w:rPr>
        <w:t>后执行</w:t>
      </w:r>
      <w:r>
        <w:rPr>
          <w:rFonts w:hint="eastAsia" w:ascii="仿宋_GB2312" w:hAnsi="仿宋_GB2312" w:eastAsia="仿宋_GB2312" w:cs="仿宋_GB2312"/>
          <w:sz w:val="32"/>
          <w:szCs w:val="32"/>
          <w:lang w:val="zh-CN"/>
        </w:rPr>
        <w:t>。但从资金管理的</w:t>
      </w:r>
      <w:r>
        <w:rPr>
          <w:rFonts w:hint="eastAsia" w:ascii="仿宋_GB2312" w:hAnsi="仿宋_GB2312" w:eastAsia="仿宋_GB2312" w:cs="仿宋_GB2312"/>
          <w:sz w:val="32"/>
          <w:szCs w:val="32"/>
        </w:rPr>
        <w:t>方面</w:t>
      </w:r>
      <w:r>
        <w:rPr>
          <w:rFonts w:hint="eastAsia" w:ascii="仿宋_GB2312" w:hAnsi="仿宋_GB2312" w:eastAsia="仿宋_GB2312" w:cs="仿宋_GB2312"/>
          <w:sz w:val="32"/>
          <w:szCs w:val="32"/>
          <w:lang w:val="zh-CN"/>
        </w:rPr>
        <w:t>，调整幅度较大一定程度上反映出</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val="zh-CN"/>
        </w:rPr>
        <w:t>在预算申报时</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zh-CN"/>
        </w:rPr>
        <w:t>二级项目</w:t>
      </w:r>
      <w:r>
        <w:rPr>
          <w:rFonts w:hint="eastAsia" w:ascii="仿宋_GB2312" w:hAnsi="仿宋_GB2312" w:eastAsia="仿宋_GB2312" w:cs="仿宋_GB2312"/>
          <w:sz w:val="32"/>
          <w:szCs w:val="32"/>
        </w:rPr>
        <w:t>的实施规划</w:t>
      </w:r>
      <w:r>
        <w:rPr>
          <w:rFonts w:hint="eastAsia" w:ascii="仿宋_GB2312" w:hAnsi="仿宋_GB2312" w:eastAsia="仿宋_GB2312" w:cs="仿宋_GB2312"/>
          <w:sz w:val="32"/>
          <w:szCs w:val="32"/>
          <w:lang w:eastAsia="zh-CN"/>
        </w:rPr>
        <w:t>不够精准</w:t>
      </w:r>
      <w:r>
        <w:rPr>
          <w:rFonts w:hint="eastAsia" w:ascii="仿宋_GB2312" w:hAnsi="仿宋_GB2312" w:eastAsia="仿宋_GB2312" w:cs="仿宋_GB2312"/>
          <w:sz w:val="32"/>
          <w:szCs w:val="32"/>
          <w:lang w:val="zh-CN"/>
        </w:rPr>
        <w:t>。</w:t>
      </w:r>
    </w:p>
    <w:bookmarkEnd w:id="163"/>
    <w:bookmarkEnd w:id="164"/>
    <w:bookmarkEnd w:id="165"/>
    <w:bookmarkEnd w:id="166"/>
    <w:bookmarkEnd w:id="167"/>
    <w:bookmarkEnd w:id="168"/>
    <w:p>
      <w:pPr>
        <w:pStyle w:val="37"/>
        <w:numPr>
          <w:ilvl w:val="255"/>
          <w:numId w:val="0"/>
        </w:numPr>
        <w:adjustRightInd w:val="0"/>
        <w:snapToGrid w:val="0"/>
        <w:spacing w:line="560" w:lineRule="exact"/>
        <w:ind w:firstLine="640" w:firstLineChars="200"/>
        <w:outlineLvl w:val="1"/>
        <w:rPr>
          <w:rFonts w:ascii="Times New Roman" w:hAnsi="Times New Roman" w:eastAsia="楷体_GB2312" w:cs="Times New Roman"/>
          <w:sz w:val="32"/>
          <w:szCs w:val="32"/>
        </w:rPr>
      </w:pPr>
      <w:bookmarkStart w:id="169" w:name="_Toc825543831"/>
      <w:bookmarkStart w:id="170" w:name="_Toc1090996886"/>
      <w:bookmarkStart w:id="171" w:name="_Toc2107561274"/>
      <w:bookmarkStart w:id="172" w:name="_Toc149655108"/>
      <w:bookmarkStart w:id="173" w:name="_Toc910273787"/>
      <w:bookmarkStart w:id="174" w:name="_Toc294872339"/>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三</w:t>
      </w:r>
      <w:r>
        <w:rPr>
          <w:rFonts w:ascii="Times New Roman" w:hAnsi="Times New Roman" w:eastAsia="楷体_GB2312" w:cs="Times New Roman"/>
          <w:sz w:val="32"/>
          <w:szCs w:val="32"/>
        </w:rPr>
        <w:t>）</w:t>
      </w:r>
      <w:bookmarkEnd w:id="149"/>
      <w:bookmarkEnd w:id="150"/>
      <w:bookmarkEnd w:id="151"/>
      <w:bookmarkEnd w:id="152"/>
      <w:bookmarkEnd w:id="153"/>
      <w:bookmarkEnd w:id="154"/>
      <w:r>
        <w:rPr>
          <w:rFonts w:ascii="Times New Roman" w:hAnsi="Times New Roman" w:eastAsia="楷体_GB2312" w:cs="Times New Roman"/>
          <w:sz w:val="32"/>
          <w:szCs w:val="32"/>
        </w:rPr>
        <w:t>社工</w:t>
      </w:r>
      <w:r>
        <w:rPr>
          <w:rFonts w:hint="eastAsia" w:ascii="Times New Roman" w:hAnsi="Times New Roman" w:eastAsia="楷体_GB2312" w:cs="Times New Roman"/>
          <w:sz w:val="32"/>
          <w:szCs w:val="32"/>
        </w:rPr>
        <w:t>队伍建设精细化程度不足</w:t>
      </w:r>
      <w:r>
        <w:rPr>
          <w:rFonts w:ascii="Times New Roman" w:hAnsi="Times New Roman" w:eastAsia="楷体_GB2312" w:cs="Times New Roman"/>
          <w:sz w:val="32"/>
          <w:szCs w:val="32"/>
        </w:rPr>
        <w:t>，不利于提升服务质量</w:t>
      </w:r>
      <w:bookmarkEnd w:id="155"/>
      <w:bookmarkEnd w:id="169"/>
      <w:bookmarkEnd w:id="170"/>
      <w:bookmarkEnd w:id="171"/>
      <w:bookmarkEnd w:id="172"/>
      <w:bookmarkEnd w:id="173"/>
      <w:bookmarkEnd w:id="174"/>
    </w:p>
    <w:p>
      <w:pPr>
        <w:pStyle w:val="64"/>
        <w:spacing w:line="560" w:lineRule="exact"/>
        <w:ind w:firstLine="643"/>
        <w:rPr>
          <w:rFonts w:hAnsi="仿宋_GB2312"/>
        </w:rPr>
      </w:pPr>
      <w:r>
        <w:rPr>
          <w:rFonts w:hint="eastAsia" w:hAnsi="仿宋_GB2312"/>
          <w:b w:val="0"/>
          <w:bCs w:val="0"/>
        </w:rPr>
        <w:t>一是项目库动态管理仍需优化。</w:t>
      </w:r>
      <w:r>
        <w:rPr>
          <w:rFonts w:hint="eastAsia" w:hAnsi="仿宋_GB2312"/>
        </w:rPr>
        <w:t>区民政局对坪山区政府购买社会工作服务项目实行项目库管理。评价发现，</w:t>
      </w:r>
      <w:r>
        <w:rPr>
          <w:rFonts w:hint="eastAsia" w:hAnsi="仿宋_GB2312"/>
          <w:lang w:val="zh-CN"/>
        </w:rPr>
        <w:t>项目库的实际应用情况不足，尤其是社工出库管理方面，对于评估结果不合格和发现的空岗、经费列支错误等问题的项目，仅建议购买单位</w:t>
      </w:r>
      <w:r>
        <w:rPr>
          <w:rFonts w:hint="eastAsia" w:hAnsi="仿宋_GB2312"/>
        </w:rPr>
        <w:t>采用</w:t>
      </w:r>
      <w:r>
        <w:rPr>
          <w:rFonts w:hint="eastAsia" w:hAnsi="仿宋_GB2312"/>
          <w:lang w:val="zh-CN"/>
        </w:rPr>
        <w:t>扣减或追回合同款项等</w:t>
      </w:r>
      <w:r>
        <w:rPr>
          <w:rFonts w:hint="eastAsia" w:hAnsi="仿宋_GB2312"/>
        </w:rPr>
        <w:t>办法</w:t>
      </w:r>
      <w:r>
        <w:rPr>
          <w:rFonts w:hint="eastAsia" w:hAnsi="仿宋_GB2312"/>
          <w:lang w:val="zh-CN"/>
        </w:rPr>
        <w:t>，未落实具体</w:t>
      </w:r>
      <w:r>
        <w:rPr>
          <w:rFonts w:hint="eastAsia" w:hAnsi="仿宋_GB2312"/>
        </w:rPr>
        <w:t>的出库处置措施</w:t>
      </w:r>
      <w:r>
        <w:rPr>
          <w:rFonts w:hint="eastAsia" w:hAnsi="仿宋_GB2312"/>
          <w:lang w:val="zh-CN"/>
        </w:rPr>
        <w:t>。</w:t>
      </w:r>
    </w:p>
    <w:p>
      <w:pPr>
        <w:pStyle w:val="64"/>
        <w:spacing w:line="560" w:lineRule="exact"/>
        <w:ind w:firstLine="643"/>
        <w:rPr>
          <w:rFonts w:hAnsi="仿宋_GB2312"/>
        </w:rPr>
      </w:pPr>
      <w:r>
        <w:rPr>
          <w:rFonts w:hint="eastAsia" w:hAnsi="仿宋_GB2312"/>
          <w:b w:val="0"/>
          <w:bCs w:val="0"/>
          <w:lang w:val="zh-CN"/>
        </w:rPr>
        <w:t>二是评估开展质量有待提升。</w:t>
      </w:r>
      <w:r>
        <w:rPr>
          <w:rFonts w:hint="eastAsia" w:hAnsi="仿宋_GB2312"/>
        </w:rPr>
        <w:t>区民政局委托的第三方机构主要针对合同履约事项完成情况进行评估和对比，尚未对项目未达标的指标开展原因分析，也未提出相对应的整改措施，导致区民政局</w:t>
      </w:r>
      <w:r>
        <w:rPr>
          <w:rFonts w:hint="eastAsia" w:hAnsi="仿宋_GB2312"/>
          <w:lang w:val="zh-CN"/>
        </w:rPr>
        <w:t>对</w:t>
      </w:r>
      <w:r>
        <w:rPr>
          <w:rFonts w:hint="eastAsia" w:hAnsi="仿宋_GB2312"/>
        </w:rPr>
        <w:t>项目成效的评估深度不足，未能形成有效的、应用性较强的评估结果。</w:t>
      </w:r>
    </w:p>
    <w:p>
      <w:pPr>
        <w:pStyle w:val="5"/>
        <w:keepNext w:val="0"/>
        <w:keepLines w:val="0"/>
        <w:tabs>
          <w:tab w:val="clear" w:pos="0"/>
        </w:tabs>
        <w:adjustRightInd w:val="0"/>
        <w:snapToGrid w:val="0"/>
        <w:spacing w:before="0" w:after="0" w:line="560" w:lineRule="exact"/>
        <w:ind w:firstLine="640" w:firstLineChars="200"/>
        <w:jc w:val="both"/>
        <w:rPr>
          <w:rFonts w:eastAsia="黑体"/>
          <w:b w:val="0"/>
          <w:bCs w:val="0"/>
          <w:szCs w:val="32"/>
          <w:lang w:eastAsia="zh-CN"/>
        </w:rPr>
      </w:pPr>
      <w:bookmarkStart w:id="175" w:name="_Toc240148905"/>
      <w:bookmarkStart w:id="176" w:name="_Toc1202178387"/>
      <w:bookmarkStart w:id="177" w:name="_Toc24408616"/>
      <w:bookmarkStart w:id="178" w:name="_Toc149655111"/>
      <w:bookmarkStart w:id="179" w:name="_Toc1538667871"/>
      <w:bookmarkStart w:id="180" w:name="_Toc26970334"/>
      <w:bookmarkStart w:id="181" w:name="_Toc1044846797"/>
      <w:bookmarkStart w:id="182" w:name="_Toc878056799"/>
      <w:bookmarkStart w:id="183" w:name="_Toc21969146"/>
      <w:bookmarkStart w:id="184" w:name="_Toc25801"/>
      <w:bookmarkStart w:id="185" w:name="_Toc15237"/>
      <w:bookmarkStart w:id="186" w:name="_Toc11733"/>
      <w:bookmarkStart w:id="187" w:name="_Toc20389"/>
      <w:bookmarkStart w:id="188" w:name="_Toc22584918"/>
      <w:r>
        <w:rPr>
          <w:rFonts w:eastAsia="黑体"/>
          <w:b w:val="0"/>
          <w:bCs w:val="0"/>
          <w:szCs w:val="32"/>
          <w:lang w:eastAsia="zh-CN"/>
        </w:rPr>
        <w:t>五、</w:t>
      </w:r>
      <w:r>
        <w:rPr>
          <w:rFonts w:hint="eastAsia" w:eastAsia="黑体"/>
          <w:b w:val="0"/>
          <w:bCs w:val="0"/>
          <w:szCs w:val="32"/>
          <w:lang w:eastAsia="zh-CN"/>
        </w:rPr>
        <w:t>有</w:t>
      </w:r>
      <w:r>
        <w:rPr>
          <w:rFonts w:eastAsia="黑体"/>
          <w:b w:val="0"/>
          <w:bCs w:val="0"/>
          <w:szCs w:val="32"/>
          <w:lang w:eastAsia="zh-CN"/>
        </w:rPr>
        <w:t>关建议</w:t>
      </w:r>
      <w:bookmarkEnd w:id="175"/>
      <w:bookmarkEnd w:id="176"/>
      <w:bookmarkEnd w:id="177"/>
      <w:bookmarkEnd w:id="178"/>
      <w:bookmarkEnd w:id="179"/>
      <w:bookmarkEnd w:id="180"/>
      <w:bookmarkEnd w:id="181"/>
      <w:bookmarkEnd w:id="182"/>
    </w:p>
    <w:p>
      <w:pPr>
        <w:pStyle w:val="37"/>
        <w:numPr>
          <w:ilvl w:val="255"/>
          <w:numId w:val="0"/>
        </w:numPr>
        <w:adjustRightInd w:val="0"/>
        <w:snapToGrid w:val="0"/>
        <w:spacing w:line="560" w:lineRule="exact"/>
        <w:ind w:firstLine="640" w:firstLineChars="200"/>
        <w:outlineLvl w:val="1"/>
        <w:rPr>
          <w:rFonts w:ascii="Times New Roman" w:hAnsi="Times New Roman" w:eastAsia="楷体_GB2312" w:cs="Times New Roman"/>
          <w:sz w:val="32"/>
          <w:szCs w:val="32"/>
        </w:rPr>
      </w:pPr>
      <w:bookmarkStart w:id="189" w:name="_Toc2140482256"/>
      <w:bookmarkStart w:id="190" w:name="_Toc1060873622"/>
      <w:bookmarkStart w:id="191" w:name="_Toc392830723"/>
      <w:bookmarkStart w:id="192" w:name="_Toc766335660"/>
      <w:bookmarkStart w:id="193" w:name="_Toc149655112"/>
      <w:bookmarkStart w:id="194" w:name="_Toc1485999333"/>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一</w:t>
      </w:r>
      <w:r>
        <w:rPr>
          <w:rFonts w:ascii="Times New Roman" w:hAnsi="Times New Roman" w:eastAsia="楷体_GB2312" w:cs="Times New Roman"/>
          <w:sz w:val="32"/>
          <w:szCs w:val="32"/>
        </w:rPr>
        <w:t>）加强部门</w:t>
      </w:r>
      <w:r>
        <w:rPr>
          <w:rFonts w:hint="eastAsia" w:ascii="Times New Roman" w:hAnsi="Times New Roman" w:eastAsia="楷体_GB2312" w:cs="Times New Roman"/>
          <w:sz w:val="32"/>
          <w:szCs w:val="32"/>
        </w:rPr>
        <w:t>规划与</w:t>
      </w:r>
      <w:r>
        <w:rPr>
          <w:rFonts w:ascii="Times New Roman" w:hAnsi="Times New Roman" w:eastAsia="楷体_GB2312" w:cs="Times New Roman"/>
          <w:sz w:val="32"/>
          <w:szCs w:val="32"/>
        </w:rPr>
        <w:t>绩效管理，优化绩效</w:t>
      </w:r>
      <w:r>
        <w:rPr>
          <w:rFonts w:hint="eastAsia" w:ascii="Times New Roman" w:hAnsi="Times New Roman" w:eastAsia="楷体_GB2312" w:cs="Times New Roman"/>
          <w:sz w:val="32"/>
          <w:szCs w:val="32"/>
        </w:rPr>
        <w:t>目标</w:t>
      </w:r>
      <w:r>
        <w:rPr>
          <w:rFonts w:ascii="Times New Roman" w:hAnsi="Times New Roman" w:eastAsia="楷体_GB2312" w:cs="Times New Roman"/>
          <w:sz w:val="32"/>
          <w:szCs w:val="32"/>
        </w:rPr>
        <w:t>设置</w:t>
      </w:r>
      <w:bookmarkEnd w:id="189"/>
      <w:bookmarkEnd w:id="190"/>
      <w:bookmarkEnd w:id="191"/>
      <w:bookmarkEnd w:id="192"/>
      <w:bookmarkEnd w:id="193"/>
      <w:bookmarkEnd w:id="194"/>
    </w:p>
    <w:p>
      <w:pPr>
        <w:adjustRightInd w:val="0"/>
        <w:snapToGrid w:val="0"/>
        <w:spacing w:line="560" w:lineRule="exact"/>
        <w:ind w:firstLine="640" w:firstLineChars="200"/>
        <w:rPr>
          <w:rFonts w:ascii="Times New Roman" w:hAnsi="Times New Roman" w:eastAsia="仿宋_GB2312" w:cs="Times New Roman"/>
          <w:sz w:val="32"/>
          <w:szCs w:val="32"/>
          <w:lang w:val="zh-CN"/>
        </w:rPr>
      </w:pPr>
      <w:r>
        <w:rPr>
          <w:rFonts w:hint="eastAsia" w:ascii="Times New Roman" w:hAnsi="Times New Roman" w:eastAsia="仿宋_GB2312" w:cs="Times New Roman"/>
          <w:sz w:val="32"/>
          <w:szCs w:val="32"/>
        </w:rPr>
        <w:t>建议</w:t>
      </w:r>
      <w:r>
        <w:rPr>
          <w:rFonts w:hint="eastAsia" w:ascii="Times New Roman" w:hAnsi="Times New Roman" w:eastAsia="仿宋_GB2312" w:cs="Times New Roman"/>
          <w:sz w:val="32"/>
          <w:szCs w:val="32"/>
          <w:lang w:val="zh-CN"/>
        </w:rPr>
        <w:t>明确内部规划统筹的责任，年度目标设置要与“十四五”规划中的重点内容相匹配，以保障规划提出的目标能有效实施。建议结合部门业务特点，建立健全本部门绩效管理制度，明确部门内部绩效目标设置、监控、评价和审核的责任分工，建立部门核心绩效指标体系。在绩效管理过程中，落实部门对指标设置的统筹职责，避免单纯将各业务科室的年度指标值作堆砌，加强财务工作与业务工作的紧密衔接，提升绩效管理水平，不断推动绩效管理工作常态化、制度化、规范化</w:t>
      </w:r>
      <w:r>
        <w:rPr>
          <w:rFonts w:ascii="Times New Roman" w:hAnsi="Times New Roman" w:eastAsia="仿宋_GB2312" w:cs="Times New Roman"/>
          <w:sz w:val="32"/>
          <w:szCs w:val="32"/>
          <w:lang w:val="zh-CN"/>
        </w:rPr>
        <w:t>。</w:t>
      </w:r>
    </w:p>
    <w:p>
      <w:pPr>
        <w:pStyle w:val="37"/>
        <w:numPr>
          <w:ilvl w:val="255"/>
          <w:numId w:val="0"/>
        </w:numPr>
        <w:adjustRightInd w:val="0"/>
        <w:snapToGrid w:val="0"/>
        <w:spacing w:line="560" w:lineRule="exact"/>
        <w:ind w:firstLine="640" w:firstLineChars="200"/>
        <w:outlineLvl w:val="1"/>
        <w:rPr>
          <w:rFonts w:ascii="Times New Roman" w:hAnsi="Times New Roman" w:eastAsia="楷体_GB2312" w:cs="Times New Roman"/>
          <w:sz w:val="32"/>
          <w:szCs w:val="32"/>
        </w:rPr>
      </w:pPr>
      <w:bookmarkStart w:id="195" w:name="_Toc149655113"/>
      <w:bookmarkStart w:id="196" w:name="_Toc439222048"/>
      <w:bookmarkStart w:id="197" w:name="_Toc1344006561"/>
      <w:bookmarkStart w:id="198" w:name="_Toc1693727560"/>
      <w:bookmarkStart w:id="199" w:name="_Toc2103458768"/>
      <w:bookmarkStart w:id="200" w:name="_Toc941230583"/>
      <w:r>
        <w:rPr>
          <w:rFonts w:ascii="Times New Roman" w:hAnsi="Times New Roman" w:eastAsia="楷体_GB2312" w:cs="Times New Roman"/>
          <w:sz w:val="32"/>
          <w:szCs w:val="32"/>
        </w:rPr>
        <w:t>（二）</w:t>
      </w:r>
      <w:r>
        <w:rPr>
          <w:rFonts w:hint="eastAsia" w:ascii="Times New Roman" w:hAnsi="Times New Roman" w:eastAsia="楷体_GB2312" w:cs="Times New Roman"/>
          <w:sz w:val="32"/>
          <w:szCs w:val="32"/>
        </w:rPr>
        <w:t>基于部门规划细化</w:t>
      </w:r>
      <w:r>
        <w:rPr>
          <w:rFonts w:ascii="Times New Roman" w:hAnsi="Times New Roman" w:eastAsia="楷体_GB2312" w:cs="Times New Roman"/>
          <w:sz w:val="32"/>
          <w:szCs w:val="32"/>
        </w:rPr>
        <w:t>预算，加快落实项目进度</w:t>
      </w:r>
      <w:bookmarkEnd w:id="195"/>
      <w:bookmarkEnd w:id="196"/>
      <w:bookmarkEnd w:id="197"/>
      <w:bookmarkEnd w:id="198"/>
      <w:bookmarkEnd w:id="199"/>
      <w:bookmarkEnd w:id="200"/>
    </w:p>
    <w:p>
      <w:pPr>
        <w:adjustRightInd w:val="0"/>
        <w:snapToGrid w:val="0"/>
        <w:spacing w:line="560" w:lineRule="exact"/>
        <w:ind w:firstLine="640" w:firstLineChars="200"/>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在预算编制阶段，通过参考往年成本情况，综合考虑执行过程中的影响因素，做到预算编制细化量化、测算过程具体、计算准确、依据充分、确保预算金额与实际需求相符，</w:t>
      </w:r>
      <w:r>
        <w:rPr>
          <w:rFonts w:hint="eastAsia" w:ascii="Times New Roman" w:hAnsi="Times New Roman" w:eastAsia="仿宋_GB2312" w:cs="Times New Roman"/>
          <w:sz w:val="32"/>
          <w:szCs w:val="32"/>
        </w:rPr>
        <w:t>主动统筹优化部门支出结构，降低预算调剂率</w:t>
      </w:r>
      <w:r>
        <w:rPr>
          <w:rFonts w:ascii="Times New Roman" w:hAnsi="Times New Roman" w:eastAsia="仿宋_GB2312" w:cs="Times New Roman"/>
          <w:sz w:val="32"/>
          <w:szCs w:val="32"/>
          <w:lang w:val="zh-CN"/>
        </w:rPr>
        <w:t>。</w:t>
      </w:r>
    </w:p>
    <w:p>
      <w:pPr>
        <w:pStyle w:val="37"/>
        <w:numPr>
          <w:ilvl w:val="255"/>
          <w:numId w:val="0"/>
        </w:numPr>
        <w:adjustRightInd w:val="0"/>
        <w:snapToGrid w:val="0"/>
        <w:spacing w:line="560" w:lineRule="exact"/>
        <w:ind w:firstLine="640" w:firstLineChars="200"/>
        <w:outlineLvl w:val="1"/>
        <w:rPr>
          <w:rFonts w:ascii="Times New Roman" w:hAnsi="Times New Roman" w:eastAsia="楷体_GB2312" w:cs="Times New Roman"/>
          <w:sz w:val="32"/>
          <w:szCs w:val="32"/>
        </w:rPr>
      </w:pPr>
      <w:bookmarkStart w:id="201" w:name="_Toc955716862"/>
      <w:bookmarkStart w:id="202" w:name="_Toc1103665997"/>
      <w:bookmarkStart w:id="203" w:name="_Toc149655114"/>
      <w:bookmarkStart w:id="204" w:name="_Toc1583359935"/>
      <w:bookmarkStart w:id="205" w:name="_Toc1485271581"/>
      <w:bookmarkStart w:id="206" w:name="_Toc897864679"/>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三</w:t>
      </w:r>
      <w:r>
        <w:rPr>
          <w:rFonts w:ascii="Times New Roman" w:hAnsi="Times New Roman" w:eastAsia="楷体_GB2312" w:cs="Times New Roman"/>
          <w:sz w:val="32"/>
          <w:szCs w:val="32"/>
        </w:rPr>
        <w:t>）优化社工项目动态</w:t>
      </w:r>
      <w:r>
        <w:rPr>
          <w:rFonts w:hint="eastAsia" w:ascii="Times New Roman" w:hAnsi="Times New Roman" w:eastAsia="楷体_GB2312" w:cs="Times New Roman"/>
          <w:sz w:val="32"/>
          <w:szCs w:val="32"/>
        </w:rPr>
        <w:t>管理</w:t>
      </w:r>
      <w:r>
        <w:rPr>
          <w:rFonts w:ascii="Times New Roman" w:hAnsi="Times New Roman" w:eastAsia="楷体_GB2312" w:cs="Times New Roman"/>
          <w:sz w:val="32"/>
          <w:szCs w:val="32"/>
        </w:rPr>
        <w:t>，聚焦提升服务质量</w:t>
      </w:r>
      <w:bookmarkEnd w:id="201"/>
      <w:bookmarkEnd w:id="202"/>
      <w:bookmarkEnd w:id="203"/>
      <w:bookmarkEnd w:id="204"/>
      <w:bookmarkEnd w:id="205"/>
      <w:bookmarkEnd w:id="206"/>
    </w:p>
    <w:p>
      <w:pPr>
        <w:pStyle w:val="64"/>
        <w:spacing w:line="560" w:lineRule="exact"/>
        <w:rPr>
          <w:rFonts w:ascii="Times New Roman" w:hAnsi="Times New Roman" w:cs="Times New Roman"/>
        </w:rPr>
      </w:pPr>
      <w:r>
        <w:rPr>
          <w:rFonts w:ascii="Times New Roman" w:hAnsi="Times New Roman" w:cs="Times New Roman"/>
        </w:rPr>
        <w:t>一是要贯彻落实市民政局对社会工作服务项目库的管理要求，特别是要结合服务领域，职业任务范围等相关要求，不断优化和细化项目库管理要求，落实项目库的动态更新及管理。</w:t>
      </w:r>
    </w:p>
    <w:p>
      <w:pPr>
        <w:pStyle w:val="64"/>
        <w:spacing w:line="560" w:lineRule="exact"/>
        <w:rPr>
          <w:rFonts w:ascii="Times New Roman" w:hAnsi="Times New Roman" w:cs="Times New Roman"/>
          <w:lang w:val="zh-CN"/>
        </w:rPr>
      </w:pPr>
      <w:r>
        <w:rPr>
          <w:rFonts w:ascii="Times New Roman" w:hAnsi="Times New Roman" w:cs="Times New Roman"/>
          <w:lang w:val="zh-CN"/>
        </w:rPr>
        <w:t>二是要提升社工组织的评估质量</w:t>
      </w:r>
      <w:r>
        <w:rPr>
          <w:rFonts w:hint="eastAsia" w:ascii="Times New Roman" w:hAnsi="Times New Roman" w:cs="Times New Roman"/>
          <w:lang w:val="zh-CN"/>
        </w:rPr>
        <w:t>。</w:t>
      </w:r>
      <w:r>
        <w:rPr>
          <w:rFonts w:hint="eastAsia" w:ascii="Times New Roman" w:hAnsi="Times New Roman" w:cs="Times New Roman"/>
        </w:rPr>
        <w:t>择优选取</w:t>
      </w:r>
      <w:r>
        <w:rPr>
          <w:rFonts w:ascii="Times New Roman" w:hAnsi="Times New Roman" w:cs="Times New Roman"/>
          <w:lang w:val="zh-CN"/>
        </w:rPr>
        <w:t>第三方评估机构，在招标要求和合同中落实对评估报告的质量考核，建立专家评审验收机制，对于第三方评估机构提供的报告要开展评审验收，确保评估报告的质量。</w:t>
      </w:r>
    </w:p>
    <w:bookmarkEnd w:id="183"/>
    <w:bookmarkEnd w:id="184"/>
    <w:bookmarkEnd w:id="185"/>
    <w:bookmarkEnd w:id="186"/>
    <w:bookmarkEnd w:id="187"/>
    <w:bookmarkEnd w:id="188"/>
    <w:p>
      <w:pPr>
        <w:spacing w:line="560" w:lineRule="exact"/>
        <w:ind w:firstLine="420" w:firstLineChars="200"/>
        <w:outlineLvl w:val="1"/>
        <w:rPr>
          <w:rFonts w:ascii="Times New Roman" w:hAnsi="Times New Roman" w:eastAsia="仿宋_GB2312" w:cs="Times New Roman"/>
          <w:szCs w:val="32"/>
        </w:rPr>
        <w:sectPr>
          <w:footerReference r:id="rId7" w:type="default"/>
          <w:footnotePr>
            <w:numFmt w:val="decimalEnclosedCircleChinese"/>
          </w:footnotePr>
          <w:endnotePr>
            <w:numFmt w:val="decimal"/>
          </w:endnotePr>
          <w:pgSz w:w="11906" w:h="16838"/>
          <w:pgMar w:top="1440" w:right="1800" w:bottom="1440" w:left="1800" w:header="851" w:footer="992" w:gutter="0"/>
          <w:pgNumType w:fmt="decimal" w:start="1"/>
          <w:cols w:space="425" w:num="1"/>
          <w:docGrid w:type="lines" w:linePitch="312" w:charSpace="0"/>
        </w:sectPr>
      </w:pPr>
    </w:p>
    <w:p>
      <w:pPr>
        <w:widowControl/>
        <w:jc w:val="left"/>
        <w:rPr>
          <w:rFonts w:ascii="仿宋_GB2312" w:hAnsi="宋体" w:eastAsia="仿宋_GB2312" w:cs="宋体"/>
          <w:kern w:val="0"/>
          <w:sz w:val="32"/>
          <w:szCs w:val="32"/>
        </w:rPr>
      </w:pPr>
    </w:p>
    <w:sectPr>
      <w:head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等线 Light">
    <w:altName w:val="华文仿宋"/>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PingFang SC">
    <w:altName w:val="Noto Sans Mono CJK HK"/>
    <w:panose1 w:val="020B0400000000000000"/>
    <w:charset w:val="86"/>
    <w:family w:val="swiss"/>
    <w:pitch w:val="default"/>
    <w:sig w:usb0="00000000" w:usb1="00000000" w:usb2="00000017" w:usb3="00000000" w:csb0="00040001" w:csb1="00000000"/>
  </w:font>
  <w:font w:name="Helvetica Neue">
    <w:altName w:val="DejaVu Math TeX Gyre"/>
    <w:panose1 w:val="02000503000000020004"/>
    <w:charset w:val="00"/>
    <w:family w:val="auto"/>
    <w:pitch w:val="default"/>
    <w:sig w:usb0="00000000" w:usb1="00000000" w:usb2="00000010" w:usb3="00000000" w:csb0="0000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等线">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Liberation Serif">
    <w:panose1 w:val="02020603050405020304"/>
    <w:charset w:val="00"/>
    <w:family w:val="auto"/>
    <w:pitch w:val="default"/>
    <w:sig w:usb0="A00002AF" w:usb1="500078FB" w:usb2="00000000" w:usb3="00000000" w:csb0="6000009F" w:csb1="DFD70000"/>
  </w:font>
  <w:font w:name="Arial">
    <w:altName w:val="DejaVu Sans"/>
    <w:panose1 w:val="00000000000000000000"/>
    <w:charset w:val="00"/>
    <w:family w:val="auto"/>
    <w:pitch w:val="default"/>
    <w:sig w:usb0="00000000" w:usb1="00000000" w:usb2="00000000" w:usb3="00000000" w:csb0="00000000" w:csb1="00000000"/>
  </w:font>
  <w:font w:name="Noto Sans Mono CJK HK">
    <w:panose1 w:val="020B0500000000000000"/>
    <w:charset w:val="88"/>
    <w:family w:val="auto"/>
    <w:pitch w:val="default"/>
    <w:sig w:usb0="30000083" w:usb1="2BDF3C10" w:usb2="00000016" w:usb3="00000000" w:csb0="603A0107" w:csb1="00000000"/>
  </w:font>
  <w:font w:name="DejaVu Math TeX Gyre">
    <w:panose1 w:val="02000503000000000000"/>
    <w:charset w:val="00"/>
    <w:family w:val="auto"/>
    <w:pitch w:val="default"/>
    <w:sig w:usb0="A10000EF" w:usb1="4201F9EE" w:usb2="02000000" w:usb3="00000000" w:csb0="60000193" w:csb1="0DD4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EndPr>
      <w:rPr>
        <w:rFonts w:ascii="Times New Roman" w:hAnsi="Times New Roman" w:cs="Times New Roman"/>
      </w:rPr>
    </w:sdtEndPr>
    <w:sdtContent>
      <w:p>
        <w:pPr>
          <w:pStyle w:val="20"/>
          <w:jc w:val="center"/>
          <w:rPr>
            <w:rFonts w:ascii="Times New Roman" w:hAnsi="Times New Roman" w:cs="Times New Roman"/>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rPr>
        <w:rFonts w:ascii="Times New Roman" w:hAnsi="Times New Roman" w:cs="Times New Roman"/>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rPr>
                              <w:rFonts w:ascii="仿宋_GB2312" w:hAnsi="仿宋_GB2312" w:eastAsia="仿宋_GB2312" w:cs="仿宋_GB2312"/>
                              <w:sz w:val="28"/>
                              <w:szCs w:val="28"/>
                            </w:rPr>
                          </w:pP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 PAGE  \* MERGEFORMAT </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rPr>
                            <w:t>1</w:t>
                          </w:r>
                          <w:r>
                            <w:rPr>
                              <w:rFonts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20"/>
                      <w:rPr>
                        <w:rFonts w:ascii="仿宋_GB2312" w:hAnsi="仿宋_GB2312" w:eastAsia="仿宋_GB2312" w:cs="仿宋_GB2312"/>
                        <w:sz w:val="28"/>
                        <w:szCs w:val="28"/>
                      </w:rPr>
                    </w:pP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 PAGE  \* MERGEFORMAT </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rPr>
                      <w:t>1</w:t>
                    </w:r>
                    <w:r>
                      <w:rPr>
                        <w:rFonts w:ascii="仿宋_GB2312" w:hAnsi="仿宋_GB2312" w:eastAsia="仿宋_GB2312" w:cs="仿宋_GB2312"/>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rPr>
        <w:rFonts w:ascii="Times New Roman" w:hAnsi="Times New Roman"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rPr>
        <w:rFonts w:ascii="Times New Roman" w:hAnsi="Times New Roman" w:cs="Times New Roman"/>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2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none" w:color="auto" w:sz="0" w:space="0"/>
        <w:left w:val="none" w:color="auto" w:sz="0" w:space="0"/>
        <w:bottom w:val="none" w:color="auto" w:sz="0" w:space="1"/>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C0DBE6"/>
    <w:multiLevelType w:val="multilevel"/>
    <w:tmpl w:val="76C0DBE6"/>
    <w:lvl w:ilvl="0" w:tentative="0">
      <w:start w:val="1"/>
      <w:numFmt w:val="chineseCounting"/>
      <w:suff w:val="nothing"/>
      <w:lvlText w:val="%1、"/>
      <w:lvlJc w:val="left"/>
      <w:pPr>
        <w:tabs>
          <w:tab w:val="left" w:pos="0"/>
        </w:tabs>
        <w:ind w:left="432" w:hanging="432"/>
      </w:pPr>
      <w:rPr>
        <w:rFonts w:hint="eastAsia" w:ascii="宋体" w:hAnsi="宋体" w:eastAsia="宋体" w:cs="宋体"/>
      </w:rPr>
    </w:lvl>
    <w:lvl w:ilvl="1" w:tentative="0">
      <w:start w:val="1"/>
      <w:numFmt w:val="decimal"/>
      <w:pStyle w:val="6"/>
      <w:isLgl/>
      <w:lvlText w:val="%1.%2."/>
      <w:lvlJc w:val="left"/>
      <w:pPr>
        <w:ind w:left="575" w:hanging="575"/>
      </w:pPr>
      <w:rPr>
        <w:rFonts w:hint="eastAsia"/>
      </w:rPr>
    </w:lvl>
    <w:lvl w:ilvl="2" w:tentative="0">
      <w:start w:val="1"/>
      <w:numFmt w:val="decimal"/>
      <w:pStyle w:val="7"/>
      <w:isLgl/>
      <w:lvlText w:val="%1.%2.%3."/>
      <w:lvlJc w:val="left"/>
      <w:pPr>
        <w:ind w:left="720" w:hanging="720"/>
      </w:pPr>
      <w:rPr>
        <w:rFonts w:hint="eastAsia"/>
      </w:rPr>
    </w:lvl>
    <w:lvl w:ilvl="3" w:tentative="0">
      <w:start w:val="1"/>
      <w:numFmt w:val="decimal"/>
      <w:pStyle w:val="8"/>
      <w:isLgl/>
      <w:lvlText w:val="%1.%2.%3.%4."/>
      <w:lvlJc w:val="left"/>
      <w:pPr>
        <w:ind w:left="864" w:hanging="864"/>
      </w:pPr>
      <w:rPr>
        <w:rFonts w:hint="eastAsia"/>
      </w:rPr>
    </w:lvl>
    <w:lvl w:ilvl="4" w:tentative="0">
      <w:start w:val="1"/>
      <w:numFmt w:val="decimal"/>
      <w:pStyle w:val="9"/>
      <w:isLgl/>
      <w:lvlText w:val="%1.%2.%3.%4.%5."/>
      <w:lvlJc w:val="left"/>
      <w:pPr>
        <w:ind w:left="1008" w:hanging="1008"/>
      </w:pPr>
      <w:rPr>
        <w:rFonts w:hint="eastAsia"/>
      </w:rPr>
    </w:lvl>
    <w:lvl w:ilvl="5" w:tentative="0">
      <w:start w:val="1"/>
      <w:numFmt w:val="decimal"/>
      <w:pStyle w:val="10"/>
      <w:isLgl/>
      <w:lvlText w:val="%1.%2.%3.%4.%5.%6."/>
      <w:lvlJc w:val="left"/>
      <w:pPr>
        <w:ind w:left="1151" w:hanging="1151"/>
      </w:pPr>
      <w:rPr>
        <w:rFonts w:hint="eastAsia"/>
      </w:rPr>
    </w:lvl>
    <w:lvl w:ilvl="6" w:tentative="0">
      <w:start w:val="1"/>
      <w:numFmt w:val="decimal"/>
      <w:pStyle w:val="11"/>
      <w:isLgl/>
      <w:lvlText w:val="%1.%2.%3.%4.%5.%6.%7."/>
      <w:lvlJc w:val="left"/>
      <w:pPr>
        <w:ind w:left="1296" w:hanging="1296"/>
      </w:pPr>
      <w:rPr>
        <w:rFonts w:hint="eastAsia"/>
      </w:rPr>
    </w:lvl>
    <w:lvl w:ilvl="7" w:tentative="0">
      <w:start w:val="1"/>
      <w:numFmt w:val="decimal"/>
      <w:pStyle w:val="12"/>
      <w:isLgl/>
      <w:lvlText w:val="%1.%2.%3.%4.%5.%6.%7.%8."/>
      <w:lvlJc w:val="left"/>
      <w:pPr>
        <w:ind w:left="1440" w:hanging="1440"/>
      </w:pPr>
      <w:rPr>
        <w:rFonts w:hint="eastAsia"/>
      </w:rPr>
    </w:lvl>
    <w:lvl w:ilvl="8" w:tentative="0">
      <w:start w:val="1"/>
      <w:numFmt w:val="decimal"/>
      <w:pStyle w:val="13"/>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TrueTypeFonts/>
  <w:saveSubsetFonts/>
  <w:bordersDoNotSurroundHeader w:val="false"/>
  <w:bordersDoNotSurroundFooter w:val="false"/>
  <w:hideSpellingErrors/>
  <w:hideGrammaticalErrors/>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yOGQyODI3NTAyMDJjYmRjZmFkZWE1NDI5Y2Q4NDIifQ=="/>
  </w:docVars>
  <w:rsids>
    <w:rsidRoot w:val="0068543E"/>
    <w:rsid w:val="000010AD"/>
    <w:rsid w:val="000012DF"/>
    <w:rsid w:val="000015CE"/>
    <w:rsid w:val="000018DF"/>
    <w:rsid w:val="00001919"/>
    <w:rsid w:val="00002000"/>
    <w:rsid w:val="00002B6A"/>
    <w:rsid w:val="00002D28"/>
    <w:rsid w:val="00003E95"/>
    <w:rsid w:val="00004965"/>
    <w:rsid w:val="00004994"/>
    <w:rsid w:val="00006823"/>
    <w:rsid w:val="00007A24"/>
    <w:rsid w:val="00010898"/>
    <w:rsid w:val="00010CDC"/>
    <w:rsid w:val="00010E13"/>
    <w:rsid w:val="00010E5C"/>
    <w:rsid w:val="000114C8"/>
    <w:rsid w:val="000119F9"/>
    <w:rsid w:val="00011A16"/>
    <w:rsid w:val="00012433"/>
    <w:rsid w:val="00012569"/>
    <w:rsid w:val="00012C54"/>
    <w:rsid w:val="00014158"/>
    <w:rsid w:val="00014867"/>
    <w:rsid w:val="00015A34"/>
    <w:rsid w:val="000160A4"/>
    <w:rsid w:val="0001729F"/>
    <w:rsid w:val="000179EF"/>
    <w:rsid w:val="00020916"/>
    <w:rsid w:val="00020DA1"/>
    <w:rsid w:val="00021938"/>
    <w:rsid w:val="00021AD3"/>
    <w:rsid w:val="000220B4"/>
    <w:rsid w:val="000224FD"/>
    <w:rsid w:val="00022737"/>
    <w:rsid w:val="0002438F"/>
    <w:rsid w:val="00024CFB"/>
    <w:rsid w:val="00026391"/>
    <w:rsid w:val="0002697F"/>
    <w:rsid w:val="00026DC6"/>
    <w:rsid w:val="00026F6C"/>
    <w:rsid w:val="000271C1"/>
    <w:rsid w:val="00027329"/>
    <w:rsid w:val="00027D33"/>
    <w:rsid w:val="00031A76"/>
    <w:rsid w:val="00031D16"/>
    <w:rsid w:val="00031FDE"/>
    <w:rsid w:val="00033435"/>
    <w:rsid w:val="0003351D"/>
    <w:rsid w:val="00033D31"/>
    <w:rsid w:val="00033E12"/>
    <w:rsid w:val="00034505"/>
    <w:rsid w:val="00034B1B"/>
    <w:rsid w:val="000358FD"/>
    <w:rsid w:val="0003611C"/>
    <w:rsid w:val="00037CBD"/>
    <w:rsid w:val="00040B25"/>
    <w:rsid w:val="000410C2"/>
    <w:rsid w:val="0004200D"/>
    <w:rsid w:val="0004304E"/>
    <w:rsid w:val="00044622"/>
    <w:rsid w:val="00044C14"/>
    <w:rsid w:val="00045019"/>
    <w:rsid w:val="000465A1"/>
    <w:rsid w:val="00046A21"/>
    <w:rsid w:val="00047A9D"/>
    <w:rsid w:val="00050CE8"/>
    <w:rsid w:val="00051161"/>
    <w:rsid w:val="00051252"/>
    <w:rsid w:val="00051BF5"/>
    <w:rsid w:val="00051DAF"/>
    <w:rsid w:val="00051F73"/>
    <w:rsid w:val="00052284"/>
    <w:rsid w:val="00053B28"/>
    <w:rsid w:val="00053C26"/>
    <w:rsid w:val="000542BF"/>
    <w:rsid w:val="00054A71"/>
    <w:rsid w:val="000563BB"/>
    <w:rsid w:val="00057700"/>
    <w:rsid w:val="00057E36"/>
    <w:rsid w:val="0006113F"/>
    <w:rsid w:val="00062518"/>
    <w:rsid w:val="000639C9"/>
    <w:rsid w:val="00064065"/>
    <w:rsid w:val="00064552"/>
    <w:rsid w:val="00064629"/>
    <w:rsid w:val="000646EF"/>
    <w:rsid w:val="00064B0F"/>
    <w:rsid w:val="00064BC6"/>
    <w:rsid w:val="00065259"/>
    <w:rsid w:val="00067757"/>
    <w:rsid w:val="0007167E"/>
    <w:rsid w:val="0007208F"/>
    <w:rsid w:val="000736E3"/>
    <w:rsid w:val="0007422C"/>
    <w:rsid w:val="000749A3"/>
    <w:rsid w:val="0007705F"/>
    <w:rsid w:val="00077714"/>
    <w:rsid w:val="000777C0"/>
    <w:rsid w:val="00080776"/>
    <w:rsid w:val="00080BC1"/>
    <w:rsid w:val="00080E56"/>
    <w:rsid w:val="000822CA"/>
    <w:rsid w:val="00082DCF"/>
    <w:rsid w:val="000838C7"/>
    <w:rsid w:val="00084DD4"/>
    <w:rsid w:val="00085080"/>
    <w:rsid w:val="000856FC"/>
    <w:rsid w:val="0008610D"/>
    <w:rsid w:val="0008664A"/>
    <w:rsid w:val="000868BD"/>
    <w:rsid w:val="00086EF6"/>
    <w:rsid w:val="00087087"/>
    <w:rsid w:val="0008753D"/>
    <w:rsid w:val="00090F09"/>
    <w:rsid w:val="00092C69"/>
    <w:rsid w:val="000939A1"/>
    <w:rsid w:val="00094F30"/>
    <w:rsid w:val="00095688"/>
    <w:rsid w:val="00095A8B"/>
    <w:rsid w:val="0009657E"/>
    <w:rsid w:val="00096CBB"/>
    <w:rsid w:val="00096E9C"/>
    <w:rsid w:val="00097323"/>
    <w:rsid w:val="000A127D"/>
    <w:rsid w:val="000A3D55"/>
    <w:rsid w:val="000A3E54"/>
    <w:rsid w:val="000A6C8B"/>
    <w:rsid w:val="000A744F"/>
    <w:rsid w:val="000A7913"/>
    <w:rsid w:val="000B071B"/>
    <w:rsid w:val="000B17A4"/>
    <w:rsid w:val="000B19A1"/>
    <w:rsid w:val="000B1EA3"/>
    <w:rsid w:val="000B389C"/>
    <w:rsid w:val="000B3A07"/>
    <w:rsid w:val="000B3AF0"/>
    <w:rsid w:val="000B51BD"/>
    <w:rsid w:val="000B77CF"/>
    <w:rsid w:val="000C0421"/>
    <w:rsid w:val="000C09C8"/>
    <w:rsid w:val="000C13FA"/>
    <w:rsid w:val="000C26FC"/>
    <w:rsid w:val="000C2CCB"/>
    <w:rsid w:val="000C32FB"/>
    <w:rsid w:val="000C42B7"/>
    <w:rsid w:val="000C432B"/>
    <w:rsid w:val="000C4879"/>
    <w:rsid w:val="000C5854"/>
    <w:rsid w:val="000C5F6C"/>
    <w:rsid w:val="000C6769"/>
    <w:rsid w:val="000C6953"/>
    <w:rsid w:val="000C6E96"/>
    <w:rsid w:val="000D0F71"/>
    <w:rsid w:val="000D118D"/>
    <w:rsid w:val="000D2184"/>
    <w:rsid w:val="000D331E"/>
    <w:rsid w:val="000D382D"/>
    <w:rsid w:val="000D4B8E"/>
    <w:rsid w:val="000D5963"/>
    <w:rsid w:val="000D6123"/>
    <w:rsid w:val="000D6EF8"/>
    <w:rsid w:val="000D727A"/>
    <w:rsid w:val="000E04A1"/>
    <w:rsid w:val="000E1459"/>
    <w:rsid w:val="000E2317"/>
    <w:rsid w:val="000E2688"/>
    <w:rsid w:val="000E2A7C"/>
    <w:rsid w:val="000E32F6"/>
    <w:rsid w:val="000E3FEC"/>
    <w:rsid w:val="000E4531"/>
    <w:rsid w:val="000E4D67"/>
    <w:rsid w:val="000E4EA4"/>
    <w:rsid w:val="000E5043"/>
    <w:rsid w:val="000E5496"/>
    <w:rsid w:val="000E6774"/>
    <w:rsid w:val="000E69C5"/>
    <w:rsid w:val="000E74BA"/>
    <w:rsid w:val="000F04F7"/>
    <w:rsid w:val="000F08F7"/>
    <w:rsid w:val="000F1830"/>
    <w:rsid w:val="000F43C2"/>
    <w:rsid w:val="000F4E70"/>
    <w:rsid w:val="000F57AF"/>
    <w:rsid w:val="000F67C3"/>
    <w:rsid w:val="000F6BBB"/>
    <w:rsid w:val="000F7A3A"/>
    <w:rsid w:val="000F7C56"/>
    <w:rsid w:val="00100191"/>
    <w:rsid w:val="00101ED9"/>
    <w:rsid w:val="001024F2"/>
    <w:rsid w:val="001026AB"/>
    <w:rsid w:val="00102E02"/>
    <w:rsid w:val="0010318A"/>
    <w:rsid w:val="00103E7F"/>
    <w:rsid w:val="00103FEC"/>
    <w:rsid w:val="00104FB5"/>
    <w:rsid w:val="00105EA2"/>
    <w:rsid w:val="00106A36"/>
    <w:rsid w:val="001070B9"/>
    <w:rsid w:val="00110CE3"/>
    <w:rsid w:val="00111185"/>
    <w:rsid w:val="001127EE"/>
    <w:rsid w:val="00112970"/>
    <w:rsid w:val="00112DAD"/>
    <w:rsid w:val="00112ED2"/>
    <w:rsid w:val="001138D1"/>
    <w:rsid w:val="00114A32"/>
    <w:rsid w:val="00115228"/>
    <w:rsid w:val="0011561D"/>
    <w:rsid w:val="0011605B"/>
    <w:rsid w:val="001161BC"/>
    <w:rsid w:val="00116388"/>
    <w:rsid w:val="0011682D"/>
    <w:rsid w:val="0011694F"/>
    <w:rsid w:val="00116F41"/>
    <w:rsid w:val="00117290"/>
    <w:rsid w:val="001174CA"/>
    <w:rsid w:val="00117986"/>
    <w:rsid w:val="00117BB3"/>
    <w:rsid w:val="00120162"/>
    <w:rsid w:val="00120F47"/>
    <w:rsid w:val="00120FB4"/>
    <w:rsid w:val="00122F71"/>
    <w:rsid w:val="00124128"/>
    <w:rsid w:val="00124431"/>
    <w:rsid w:val="0012473A"/>
    <w:rsid w:val="0012740D"/>
    <w:rsid w:val="001278C5"/>
    <w:rsid w:val="001302A5"/>
    <w:rsid w:val="00130B07"/>
    <w:rsid w:val="00131355"/>
    <w:rsid w:val="001315C5"/>
    <w:rsid w:val="00131D51"/>
    <w:rsid w:val="00132771"/>
    <w:rsid w:val="0013277E"/>
    <w:rsid w:val="001346AA"/>
    <w:rsid w:val="00135413"/>
    <w:rsid w:val="00135562"/>
    <w:rsid w:val="001357B4"/>
    <w:rsid w:val="0013589F"/>
    <w:rsid w:val="00135BA5"/>
    <w:rsid w:val="001362BE"/>
    <w:rsid w:val="00136B1D"/>
    <w:rsid w:val="00136F9F"/>
    <w:rsid w:val="0013759F"/>
    <w:rsid w:val="00137839"/>
    <w:rsid w:val="00140499"/>
    <w:rsid w:val="00141B22"/>
    <w:rsid w:val="00142B95"/>
    <w:rsid w:val="00142DD5"/>
    <w:rsid w:val="00143BFF"/>
    <w:rsid w:val="0014508E"/>
    <w:rsid w:val="00145275"/>
    <w:rsid w:val="00145D0D"/>
    <w:rsid w:val="00146167"/>
    <w:rsid w:val="0014633F"/>
    <w:rsid w:val="00146A6F"/>
    <w:rsid w:val="00146DC2"/>
    <w:rsid w:val="00147361"/>
    <w:rsid w:val="00150001"/>
    <w:rsid w:val="00150275"/>
    <w:rsid w:val="00151706"/>
    <w:rsid w:val="00151C8F"/>
    <w:rsid w:val="00154C23"/>
    <w:rsid w:val="001556AE"/>
    <w:rsid w:val="001561C4"/>
    <w:rsid w:val="001561F5"/>
    <w:rsid w:val="00156677"/>
    <w:rsid w:val="0015736B"/>
    <w:rsid w:val="00157676"/>
    <w:rsid w:val="001602A1"/>
    <w:rsid w:val="00161CA7"/>
    <w:rsid w:val="00162047"/>
    <w:rsid w:val="00162917"/>
    <w:rsid w:val="001637B7"/>
    <w:rsid w:val="0016456A"/>
    <w:rsid w:val="00164D2D"/>
    <w:rsid w:val="00166D75"/>
    <w:rsid w:val="00167A1C"/>
    <w:rsid w:val="00167A49"/>
    <w:rsid w:val="00172747"/>
    <w:rsid w:val="00173740"/>
    <w:rsid w:val="00175284"/>
    <w:rsid w:val="00175448"/>
    <w:rsid w:val="001758C8"/>
    <w:rsid w:val="00175DA8"/>
    <w:rsid w:val="0017642C"/>
    <w:rsid w:val="00176A08"/>
    <w:rsid w:val="00176CEF"/>
    <w:rsid w:val="0017706C"/>
    <w:rsid w:val="001776DC"/>
    <w:rsid w:val="001779E3"/>
    <w:rsid w:val="00177DC6"/>
    <w:rsid w:val="00181010"/>
    <w:rsid w:val="00181625"/>
    <w:rsid w:val="00181B06"/>
    <w:rsid w:val="00182240"/>
    <w:rsid w:val="00185510"/>
    <w:rsid w:val="0018569E"/>
    <w:rsid w:val="0018741B"/>
    <w:rsid w:val="001879F2"/>
    <w:rsid w:val="00187C20"/>
    <w:rsid w:val="001900C8"/>
    <w:rsid w:val="00190480"/>
    <w:rsid w:val="00190CE6"/>
    <w:rsid w:val="00190E4F"/>
    <w:rsid w:val="00191127"/>
    <w:rsid w:val="0019130A"/>
    <w:rsid w:val="001921D9"/>
    <w:rsid w:val="001922AC"/>
    <w:rsid w:val="0019243E"/>
    <w:rsid w:val="00193B91"/>
    <w:rsid w:val="0019449C"/>
    <w:rsid w:val="001957A5"/>
    <w:rsid w:val="0019630F"/>
    <w:rsid w:val="00196357"/>
    <w:rsid w:val="00196B81"/>
    <w:rsid w:val="001970D0"/>
    <w:rsid w:val="0019778B"/>
    <w:rsid w:val="001A21CB"/>
    <w:rsid w:val="001A33E9"/>
    <w:rsid w:val="001A3502"/>
    <w:rsid w:val="001A377A"/>
    <w:rsid w:val="001A4069"/>
    <w:rsid w:val="001A4DB7"/>
    <w:rsid w:val="001A4F42"/>
    <w:rsid w:val="001A61B1"/>
    <w:rsid w:val="001A64BB"/>
    <w:rsid w:val="001A6DB3"/>
    <w:rsid w:val="001A702A"/>
    <w:rsid w:val="001B06FF"/>
    <w:rsid w:val="001B0FDA"/>
    <w:rsid w:val="001B1631"/>
    <w:rsid w:val="001B1715"/>
    <w:rsid w:val="001B2B7F"/>
    <w:rsid w:val="001B2BE1"/>
    <w:rsid w:val="001B3743"/>
    <w:rsid w:val="001B4175"/>
    <w:rsid w:val="001B45ED"/>
    <w:rsid w:val="001B4EAA"/>
    <w:rsid w:val="001B64AB"/>
    <w:rsid w:val="001B71CD"/>
    <w:rsid w:val="001B761E"/>
    <w:rsid w:val="001B7C05"/>
    <w:rsid w:val="001C0166"/>
    <w:rsid w:val="001C11E3"/>
    <w:rsid w:val="001C339A"/>
    <w:rsid w:val="001C3C30"/>
    <w:rsid w:val="001C41BC"/>
    <w:rsid w:val="001C48F2"/>
    <w:rsid w:val="001C5407"/>
    <w:rsid w:val="001C554A"/>
    <w:rsid w:val="001C645B"/>
    <w:rsid w:val="001C7C5E"/>
    <w:rsid w:val="001C7CAD"/>
    <w:rsid w:val="001D0236"/>
    <w:rsid w:val="001D0875"/>
    <w:rsid w:val="001D1428"/>
    <w:rsid w:val="001D2453"/>
    <w:rsid w:val="001D2A85"/>
    <w:rsid w:val="001D2DFF"/>
    <w:rsid w:val="001D3CB9"/>
    <w:rsid w:val="001D45FA"/>
    <w:rsid w:val="001D5D58"/>
    <w:rsid w:val="001D6006"/>
    <w:rsid w:val="001D6A0B"/>
    <w:rsid w:val="001E04E2"/>
    <w:rsid w:val="001E052C"/>
    <w:rsid w:val="001E0A4A"/>
    <w:rsid w:val="001E22F3"/>
    <w:rsid w:val="001E2AF8"/>
    <w:rsid w:val="001E3EEF"/>
    <w:rsid w:val="001E480D"/>
    <w:rsid w:val="001E5240"/>
    <w:rsid w:val="001E5372"/>
    <w:rsid w:val="001E5471"/>
    <w:rsid w:val="001E550C"/>
    <w:rsid w:val="001E60AC"/>
    <w:rsid w:val="001E67B2"/>
    <w:rsid w:val="001E6AFD"/>
    <w:rsid w:val="001E708A"/>
    <w:rsid w:val="001E78B0"/>
    <w:rsid w:val="001F04A0"/>
    <w:rsid w:val="001F0B07"/>
    <w:rsid w:val="001F0F44"/>
    <w:rsid w:val="001F1414"/>
    <w:rsid w:val="001F1446"/>
    <w:rsid w:val="001F1F58"/>
    <w:rsid w:val="001F22C1"/>
    <w:rsid w:val="001F2EB5"/>
    <w:rsid w:val="001F341D"/>
    <w:rsid w:val="001F34B9"/>
    <w:rsid w:val="001F3547"/>
    <w:rsid w:val="001F3665"/>
    <w:rsid w:val="001F3FDC"/>
    <w:rsid w:val="001F4164"/>
    <w:rsid w:val="001F4480"/>
    <w:rsid w:val="001F4BFB"/>
    <w:rsid w:val="001F59BC"/>
    <w:rsid w:val="001F5BC1"/>
    <w:rsid w:val="001F7AD7"/>
    <w:rsid w:val="001F7F2C"/>
    <w:rsid w:val="002008FA"/>
    <w:rsid w:val="0020109A"/>
    <w:rsid w:val="0020155C"/>
    <w:rsid w:val="002015E6"/>
    <w:rsid w:val="0020323D"/>
    <w:rsid w:val="0020361E"/>
    <w:rsid w:val="00204A16"/>
    <w:rsid w:val="00204AAB"/>
    <w:rsid w:val="0020752A"/>
    <w:rsid w:val="00207C53"/>
    <w:rsid w:val="0021032A"/>
    <w:rsid w:val="00210C63"/>
    <w:rsid w:val="00213CE0"/>
    <w:rsid w:val="00214419"/>
    <w:rsid w:val="0021594A"/>
    <w:rsid w:val="002162CC"/>
    <w:rsid w:val="0021733E"/>
    <w:rsid w:val="00217AB5"/>
    <w:rsid w:val="002202BD"/>
    <w:rsid w:val="00220CF3"/>
    <w:rsid w:val="0022163F"/>
    <w:rsid w:val="00222108"/>
    <w:rsid w:val="0022397E"/>
    <w:rsid w:val="00223AB4"/>
    <w:rsid w:val="00224261"/>
    <w:rsid w:val="00224B85"/>
    <w:rsid w:val="002254D6"/>
    <w:rsid w:val="0022635A"/>
    <w:rsid w:val="002263A2"/>
    <w:rsid w:val="002264D3"/>
    <w:rsid w:val="0022662A"/>
    <w:rsid w:val="002266B3"/>
    <w:rsid w:val="00226794"/>
    <w:rsid w:val="00226910"/>
    <w:rsid w:val="00230577"/>
    <w:rsid w:val="00230F35"/>
    <w:rsid w:val="00231312"/>
    <w:rsid w:val="00231E28"/>
    <w:rsid w:val="00232DC4"/>
    <w:rsid w:val="002348FA"/>
    <w:rsid w:val="00234A9E"/>
    <w:rsid w:val="002354E9"/>
    <w:rsid w:val="002376CA"/>
    <w:rsid w:val="002378CF"/>
    <w:rsid w:val="002403A8"/>
    <w:rsid w:val="0024090B"/>
    <w:rsid w:val="0024138C"/>
    <w:rsid w:val="00243091"/>
    <w:rsid w:val="002435D6"/>
    <w:rsid w:val="002447D4"/>
    <w:rsid w:val="00245AE2"/>
    <w:rsid w:val="00245B4E"/>
    <w:rsid w:val="00245BBC"/>
    <w:rsid w:val="00247936"/>
    <w:rsid w:val="0025037F"/>
    <w:rsid w:val="00250CBB"/>
    <w:rsid w:val="00251485"/>
    <w:rsid w:val="0025163E"/>
    <w:rsid w:val="002519DB"/>
    <w:rsid w:val="00252378"/>
    <w:rsid w:val="00252BCD"/>
    <w:rsid w:val="00252EEF"/>
    <w:rsid w:val="00253254"/>
    <w:rsid w:val="0025367D"/>
    <w:rsid w:val="002536B8"/>
    <w:rsid w:val="00253A23"/>
    <w:rsid w:val="00253C8F"/>
    <w:rsid w:val="00253E72"/>
    <w:rsid w:val="002546E1"/>
    <w:rsid w:val="002549EF"/>
    <w:rsid w:val="0025578B"/>
    <w:rsid w:val="00257233"/>
    <w:rsid w:val="00260088"/>
    <w:rsid w:val="00260E2F"/>
    <w:rsid w:val="002615ED"/>
    <w:rsid w:val="00261E38"/>
    <w:rsid w:val="002623D3"/>
    <w:rsid w:val="00262ACD"/>
    <w:rsid w:val="002631B0"/>
    <w:rsid w:val="002635B3"/>
    <w:rsid w:val="00264669"/>
    <w:rsid w:val="00264738"/>
    <w:rsid w:val="00265C1F"/>
    <w:rsid w:val="002660B6"/>
    <w:rsid w:val="0026611A"/>
    <w:rsid w:val="00267D30"/>
    <w:rsid w:val="00267D5C"/>
    <w:rsid w:val="00267F59"/>
    <w:rsid w:val="00271BCE"/>
    <w:rsid w:val="00272C57"/>
    <w:rsid w:val="00272E51"/>
    <w:rsid w:val="00272EE7"/>
    <w:rsid w:val="00273537"/>
    <w:rsid w:val="0027473A"/>
    <w:rsid w:val="002772C4"/>
    <w:rsid w:val="00281B6E"/>
    <w:rsid w:val="00281ECA"/>
    <w:rsid w:val="0028203D"/>
    <w:rsid w:val="00283625"/>
    <w:rsid w:val="002841B5"/>
    <w:rsid w:val="0028714E"/>
    <w:rsid w:val="00287ED3"/>
    <w:rsid w:val="002905EC"/>
    <w:rsid w:val="00291452"/>
    <w:rsid w:val="002924B3"/>
    <w:rsid w:val="00292C6C"/>
    <w:rsid w:val="002940C0"/>
    <w:rsid w:val="00294531"/>
    <w:rsid w:val="00294829"/>
    <w:rsid w:val="0029543E"/>
    <w:rsid w:val="00296500"/>
    <w:rsid w:val="00296B68"/>
    <w:rsid w:val="00296C43"/>
    <w:rsid w:val="002973B6"/>
    <w:rsid w:val="00297C6D"/>
    <w:rsid w:val="002A07B0"/>
    <w:rsid w:val="002A0D44"/>
    <w:rsid w:val="002A0DC4"/>
    <w:rsid w:val="002A0EDA"/>
    <w:rsid w:val="002A128B"/>
    <w:rsid w:val="002A1589"/>
    <w:rsid w:val="002A174F"/>
    <w:rsid w:val="002A2855"/>
    <w:rsid w:val="002A2B9A"/>
    <w:rsid w:val="002A2C16"/>
    <w:rsid w:val="002A3A2A"/>
    <w:rsid w:val="002A3EA8"/>
    <w:rsid w:val="002A5B0E"/>
    <w:rsid w:val="002A648D"/>
    <w:rsid w:val="002A70B7"/>
    <w:rsid w:val="002A7553"/>
    <w:rsid w:val="002B000B"/>
    <w:rsid w:val="002B037F"/>
    <w:rsid w:val="002B0D96"/>
    <w:rsid w:val="002B1175"/>
    <w:rsid w:val="002B31C2"/>
    <w:rsid w:val="002B530B"/>
    <w:rsid w:val="002B5484"/>
    <w:rsid w:val="002B5B4C"/>
    <w:rsid w:val="002B5D76"/>
    <w:rsid w:val="002B5D8F"/>
    <w:rsid w:val="002B60C6"/>
    <w:rsid w:val="002B77B0"/>
    <w:rsid w:val="002C0D4B"/>
    <w:rsid w:val="002C2F78"/>
    <w:rsid w:val="002C2FE1"/>
    <w:rsid w:val="002C36C4"/>
    <w:rsid w:val="002C47A2"/>
    <w:rsid w:val="002C5D5A"/>
    <w:rsid w:val="002C6B1A"/>
    <w:rsid w:val="002C6F99"/>
    <w:rsid w:val="002C6FE0"/>
    <w:rsid w:val="002C78EB"/>
    <w:rsid w:val="002D07EC"/>
    <w:rsid w:val="002D1D6F"/>
    <w:rsid w:val="002D2615"/>
    <w:rsid w:val="002D2F5B"/>
    <w:rsid w:val="002D337C"/>
    <w:rsid w:val="002D390A"/>
    <w:rsid w:val="002D39A0"/>
    <w:rsid w:val="002D55EB"/>
    <w:rsid w:val="002D6E4E"/>
    <w:rsid w:val="002D76A9"/>
    <w:rsid w:val="002D78D1"/>
    <w:rsid w:val="002D7D43"/>
    <w:rsid w:val="002E0758"/>
    <w:rsid w:val="002E0E42"/>
    <w:rsid w:val="002E23FD"/>
    <w:rsid w:val="002E2737"/>
    <w:rsid w:val="002E3257"/>
    <w:rsid w:val="002E33D7"/>
    <w:rsid w:val="002E353D"/>
    <w:rsid w:val="002E37A2"/>
    <w:rsid w:val="002E3B03"/>
    <w:rsid w:val="002E3E3D"/>
    <w:rsid w:val="002E4DC2"/>
    <w:rsid w:val="002E52B8"/>
    <w:rsid w:val="002E592E"/>
    <w:rsid w:val="002E792D"/>
    <w:rsid w:val="002E7F78"/>
    <w:rsid w:val="002F072C"/>
    <w:rsid w:val="002F0A60"/>
    <w:rsid w:val="002F11C3"/>
    <w:rsid w:val="002F14E7"/>
    <w:rsid w:val="002F2895"/>
    <w:rsid w:val="002F31FA"/>
    <w:rsid w:val="002F34EA"/>
    <w:rsid w:val="002F34EB"/>
    <w:rsid w:val="002F36A3"/>
    <w:rsid w:val="002F4C71"/>
    <w:rsid w:val="002F5CBE"/>
    <w:rsid w:val="002F68C5"/>
    <w:rsid w:val="002F6924"/>
    <w:rsid w:val="002F6F58"/>
    <w:rsid w:val="003004AC"/>
    <w:rsid w:val="00300AD3"/>
    <w:rsid w:val="00300E38"/>
    <w:rsid w:val="00301CEB"/>
    <w:rsid w:val="0030203D"/>
    <w:rsid w:val="00303273"/>
    <w:rsid w:val="00303C15"/>
    <w:rsid w:val="003048B2"/>
    <w:rsid w:val="0030537E"/>
    <w:rsid w:val="00307629"/>
    <w:rsid w:val="00307AA6"/>
    <w:rsid w:val="00307F24"/>
    <w:rsid w:val="0031070C"/>
    <w:rsid w:val="003117DC"/>
    <w:rsid w:val="003119E1"/>
    <w:rsid w:val="00312B4B"/>
    <w:rsid w:val="00312B79"/>
    <w:rsid w:val="003131AA"/>
    <w:rsid w:val="00313477"/>
    <w:rsid w:val="00314401"/>
    <w:rsid w:val="00314663"/>
    <w:rsid w:val="0031647F"/>
    <w:rsid w:val="003167AF"/>
    <w:rsid w:val="0031751A"/>
    <w:rsid w:val="003203B0"/>
    <w:rsid w:val="0032062F"/>
    <w:rsid w:val="00320DB0"/>
    <w:rsid w:val="003215ED"/>
    <w:rsid w:val="003235E1"/>
    <w:rsid w:val="0032362F"/>
    <w:rsid w:val="00324BB2"/>
    <w:rsid w:val="0032515C"/>
    <w:rsid w:val="00325613"/>
    <w:rsid w:val="003268BD"/>
    <w:rsid w:val="00327763"/>
    <w:rsid w:val="003279B8"/>
    <w:rsid w:val="00327D10"/>
    <w:rsid w:val="0033095B"/>
    <w:rsid w:val="00330C24"/>
    <w:rsid w:val="00331BA6"/>
    <w:rsid w:val="00331D0B"/>
    <w:rsid w:val="0033332E"/>
    <w:rsid w:val="00333F02"/>
    <w:rsid w:val="003348F3"/>
    <w:rsid w:val="0033499B"/>
    <w:rsid w:val="00335FB1"/>
    <w:rsid w:val="003362DC"/>
    <w:rsid w:val="003366CF"/>
    <w:rsid w:val="00340638"/>
    <w:rsid w:val="0034077C"/>
    <w:rsid w:val="00341766"/>
    <w:rsid w:val="00342287"/>
    <w:rsid w:val="003429E6"/>
    <w:rsid w:val="003433EF"/>
    <w:rsid w:val="00344351"/>
    <w:rsid w:val="003463E0"/>
    <w:rsid w:val="00346F37"/>
    <w:rsid w:val="003472A2"/>
    <w:rsid w:val="00350607"/>
    <w:rsid w:val="00350872"/>
    <w:rsid w:val="00350B90"/>
    <w:rsid w:val="00350EE7"/>
    <w:rsid w:val="00350F43"/>
    <w:rsid w:val="0035123B"/>
    <w:rsid w:val="003518DD"/>
    <w:rsid w:val="00351DD0"/>
    <w:rsid w:val="00352441"/>
    <w:rsid w:val="00353370"/>
    <w:rsid w:val="00353782"/>
    <w:rsid w:val="00353DE5"/>
    <w:rsid w:val="003547A7"/>
    <w:rsid w:val="00354CD4"/>
    <w:rsid w:val="00354F58"/>
    <w:rsid w:val="0035508F"/>
    <w:rsid w:val="003551A9"/>
    <w:rsid w:val="00355FD4"/>
    <w:rsid w:val="003561A6"/>
    <w:rsid w:val="003569D8"/>
    <w:rsid w:val="00356A7D"/>
    <w:rsid w:val="00356CB8"/>
    <w:rsid w:val="00356D0D"/>
    <w:rsid w:val="00356F2E"/>
    <w:rsid w:val="0035760D"/>
    <w:rsid w:val="00357A39"/>
    <w:rsid w:val="00357DDB"/>
    <w:rsid w:val="0036040C"/>
    <w:rsid w:val="00360643"/>
    <w:rsid w:val="003614A0"/>
    <w:rsid w:val="0036161F"/>
    <w:rsid w:val="0036189B"/>
    <w:rsid w:val="00362629"/>
    <w:rsid w:val="003626DC"/>
    <w:rsid w:val="00363B24"/>
    <w:rsid w:val="003650CC"/>
    <w:rsid w:val="00365674"/>
    <w:rsid w:val="00365CAE"/>
    <w:rsid w:val="00370488"/>
    <w:rsid w:val="00370C25"/>
    <w:rsid w:val="00372576"/>
    <w:rsid w:val="0037393B"/>
    <w:rsid w:val="00373AEA"/>
    <w:rsid w:val="003746BF"/>
    <w:rsid w:val="00375635"/>
    <w:rsid w:val="0037651C"/>
    <w:rsid w:val="00377519"/>
    <w:rsid w:val="003803AB"/>
    <w:rsid w:val="00380816"/>
    <w:rsid w:val="00382207"/>
    <w:rsid w:val="00383BAF"/>
    <w:rsid w:val="00384406"/>
    <w:rsid w:val="003845DB"/>
    <w:rsid w:val="00384D8E"/>
    <w:rsid w:val="00384D9F"/>
    <w:rsid w:val="003852B3"/>
    <w:rsid w:val="00386B9A"/>
    <w:rsid w:val="00386C19"/>
    <w:rsid w:val="0038711B"/>
    <w:rsid w:val="00387D09"/>
    <w:rsid w:val="00390C90"/>
    <w:rsid w:val="00392E69"/>
    <w:rsid w:val="00393EB7"/>
    <w:rsid w:val="003950EA"/>
    <w:rsid w:val="0039550F"/>
    <w:rsid w:val="00396038"/>
    <w:rsid w:val="00396119"/>
    <w:rsid w:val="00397D37"/>
    <w:rsid w:val="003A0103"/>
    <w:rsid w:val="003A1ADD"/>
    <w:rsid w:val="003A22AF"/>
    <w:rsid w:val="003A27A9"/>
    <w:rsid w:val="003A2FAC"/>
    <w:rsid w:val="003A317D"/>
    <w:rsid w:val="003A48BB"/>
    <w:rsid w:val="003A4DC1"/>
    <w:rsid w:val="003A6369"/>
    <w:rsid w:val="003A6474"/>
    <w:rsid w:val="003A6940"/>
    <w:rsid w:val="003A7E96"/>
    <w:rsid w:val="003B00B2"/>
    <w:rsid w:val="003B15B8"/>
    <w:rsid w:val="003B15D9"/>
    <w:rsid w:val="003B28D8"/>
    <w:rsid w:val="003B359B"/>
    <w:rsid w:val="003B3D06"/>
    <w:rsid w:val="003B3F65"/>
    <w:rsid w:val="003B4CEC"/>
    <w:rsid w:val="003B6DB3"/>
    <w:rsid w:val="003B75F9"/>
    <w:rsid w:val="003B7AC2"/>
    <w:rsid w:val="003B7B30"/>
    <w:rsid w:val="003B7F38"/>
    <w:rsid w:val="003C00F0"/>
    <w:rsid w:val="003C0B98"/>
    <w:rsid w:val="003C0C29"/>
    <w:rsid w:val="003C11B0"/>
    <w:rsid w:val="003C11D5"/>
    <w:rsid w:val="003C1E06"/>
    <w:rsid w:val="003C2E8B"/>
    <w:rsid w:val="003C370D"/>
    <w:rsid w:val="003C422C"/>
    <w:rsid w:val="003C43DE"/>
    <w:rsid w:val="003C44AB"/>
    <w:rsid w:val="003C4989"/>
    <w:rsid w:val="003C49F9"/>
    <w:rsid w:val="003C5245"/>
    <w:rsid w:val="003C570D"/>
    <w:rsid w:val="003C5778"/>
    <w:rsid w:val="003C6C30"/>
    <w:rsid w:val="003C6C96"/>
    <w:rsid w:val="003C7B09"/>
    <w:rsid w:val="003C7E32"/>
    <w:rsid w:val="003D0218"/>
    <w:rsid w:val="003D167F"/>
    <w:rsid w:val="003D204B"/>
    <w:rsid w:val="003D25E5"/>
    <w:rsid w:val="003D2EBF"/>
    <w:rsid w:val="003D3096"/>
    <w:rsid w:val="003D333B"/>
    <w:rsid w:val="003D4B2F"/>
    <w:rsid w:val="003D4C83"/>
    <w:rsid w:val="003D4FB9"/>
    <w:rsid w:val="003D6158"/>
    <w:rsid w:val="003D6B66"/>
    <w:rsid w:val="003E065E"/>
    <w:rsid w:val="003E076E"/>
    <w:rsid w:val="003E0ED6"/>
    <w:rsid w:val="003E11B7"/>
    <w:rsid w:val="003E12D3"/>
    <w:rsid w:val="003E1838"/>
    <w:rsid w:val="003E1BCB"/>
    <w:rsid w:val="003E205F"/>
    <w:rsid w:val="003E23D3"/>
    <w:rsid w:val="003E2A5D"/>
    <w:rsid w:val="003E33F9"/>
    <w:rsid w:val="003E3D0F"/>
    <w:rsid w:val="003E412E"/>
    <w:rsid w:val="003E481E"/>
    <w:rsid w:val="003E488E"/>
    <w:rsid w:val="003E5CCD"/>
    <w:rsid w:val="003E7B36"/>
    <w:rsid w:val="003E7F4E"/>
    <w:rsid w:val="003F05DA"/>
    <w:rsid w:val="003F2785"/>
    <w:rsid w:val="003F36F8"/>
    <w:rsid w:val="003F45D3"/>
    <w:rsid w:val="003F516C"/>
    <w:rsid w:val="003F5CD5"/>
    <w:rsid w:val="003F6312"/>
    <w:rsid w:val="00401077"/>
    <w:rsid w:val="00401098"/>
    <w:rsid w:val="0040166D"/>
    <w:rsid w:val="004016CD"/>
    <w:rsid w:val="004016F1"/>
    <w:rsid w:val="00402FFC"/>
    <w:rsid w:val="00403F20"/>
    <w:rsid w:val="0040430C"/>
    <w:rsid w:val="00404C82"/>
    <w:rsid w:val="00404E36"/>
    <w:rsid w:val="00410475"/>
    <w:rsid w:val="0041097D"/>
    <w:rsid w:val="00413076"/>
    <w:rsid w:val="00414167"/>
    <w:rsid w:val="004144F1"/>
    <w:rsid w:val="00414C4F"/>
    <w:rsid w:val="00414DAA"/>
    <w:rsid w:val="00415540"/>
    <w:rsid w:val="004164CC"/>
    <w:rsid w:val="004167BC"/>
    <w:rsid w:val="00416B12"/>
    <w:rsid w:val="00416EC7"/>
    <w:rsid w:val="004174B9"/>
    <w:rsid w:val="004237D5"/>
    <w:rsid w:val="00424B24"/>
    <w:rsid w:val="00424CF8"/>
    <w:rsid w:val="00425843"/>
    <w:rsid w:val="004314EC"/>
    <w:rsid w:val="00431520"/>
    <w:rsid w:val="0043272C"/>
    <w:rsid w:val="004329FE"/>
    <w:rsid w:val="00433761"/>
    <w:rsid w:val="004337D4"/>
    <w:rsid w:val="00434303"/>
    <w:rsid w:val="004343E9"/>
    <w:rsid w:val="00435145"/>
    <w:rsid w:val="0043521C"/>
    <w:rsid w:val="00436018"/>
    <w:rsid w:val="00436190"/>
    <w:rsid w:val="004371C9"/>
    <w:rsid w:val="00440D84"/>
    <w:rsid w:val="0044133D"/>
    <w:rsid w:val="00441A47"/>
    <w:rsid w:val="00444CC3"/>
    <w:rsid w:val="004452D7"/>
    <w:rsid w:val="00445A06"/>
    <w:rsid w:val="004468C8"/>
    <w:rsid w:val="00446A9E"/>
    <w:rsid w:val="00450BAA"/>
    <w:rsid w:val="00450D26"/>
    <w:rsid w:val="00450DFA"/>
    <w:rsid w:val="00450F8F"/>
    <w:rsid w:val="004527FC"/>
    <w:rsid w:val="00454EF5"/>
    <w:rsid w:val="004554C5"/>
    <w:rsid w:val="00456CFB"/>
    <w:rsid w:val="0045765E"/>
    <w:rsid w:val="004609C2"/>
    <w:rsid w:val="00460BF8"/>
    <w:rsid w:val="0046131E"/>
    <w:rsid w:val="0046202E"/>
    <w:rsid w:val="0046219B"/>
    <w:rsid w:val="00462F16"/>
    <w:rsid w:val="00463BD1"/>
    <w:rsid w:val="00463DDF"/>
    <w:rsid w:val="00463EBC"/>
    <w:rsid w:val="00463F0C"/>
    <w:rsid w:val="00464292"/>
    <w:rsid w:val="00465BE6"/>
    <w:rsid w:val="00466B20"/>
    <w:rsid w:val="0046763E"/>
    <w:rsid w:val="00467983"/>
    <w:rsid w:val="0046798C"/>
    <w:rsid w:val="00470FF9"/>
    <w:rsid w:val="004710E3"/>
    <w:rsid w:val="00471CA3"/>
    <w:rsid w:val="00473D71"/>
    <w:rsid w:val="00473E67"/>
    <w:rsid w:val="004744BE"/>
    <w:rsid w:val="00474C2C"/>
    <w:rsid w:val="00475318"/>
    <w:rsid w:val="0047544C"/>
    <w:rsid w:val="00476582"/>
    <w:rsid w:val="0048303E"/>
    <w:rsid w:val="00484489"/>
    <w:rsid w:val="004853DE"/>
    <w:rsid w:val="004854A8"/>
    <w:rsid w:val="004860D7"/>
    <w:rsid w:val="00486FC0"/>
    <w:rsid w:val="00487D37"/>
    <w:rsid w:val="00490307"/>
    <w:rsid w:val="00491A92"/>
    <w:rsid w:val="00491F66"/>
    <w:rsid w:val="00492158"/>
    <w:rsid w:val="004927BC"/>
    <w:rsid w:val="00494693"/>
    <w:rsid w:val="004958C1"/>
    <w:rsid w:val="0049615E"/>
    <w:rsid w:val="00496844"/>
    <w:rsid w:val="00497E5F"/>
    <w:rsid w:val="00497F8A"/>
    <w:rsid w:val="004A030A"/>
    <w:rsid w:val="004A03D4"/>
    <w:rsid w:val="004A084F"/>
    <w:rsid w:val="004A105E"/>
    <w:rsid w:val="004A3841"/>
    <w:rsid w:val="004A38A9"/>
    <w:rsid w:val="004A6A0B"/>
    <w:rsid w:val="004A6E34"/>
    <w:rsid w:val="004A7658"/>
    <w:rsid w:val="004B0138"/>
    <w:rsid w:val="004B13D4"/>
    <w:rsid w:val="004B1671"/>
    <w:rsid w:val="004B184F"/>
    <w:rsid w:val="004B18A7"/>
    <w:rsid w:val="004B1D49"/>
    <w:rsid w:val="004B1D85"/>
    <w:rsid w:val="004B1DB2"/>
    <w:rsid w:val="004B2742"/>
    <w:rsid w:val="004B2E37"/>
    <w:rsid w:val="004B2E3A"/>
    <w:rsid w:val="004B3D71"/>
    <w:rsid w:val="004B4A4E"/>
    <w:rsid w:val="004B51BC"/>
    <w:rsid w:val="004B5955"/>
    <w:rsid w:val="004B5E59"/>
    <w:rsid w:val="004B668B"/>
    <w:rsid w:val="004B67FB"/>
    <w:rsid w:val="004C0A05"/>
    <w:rsid w:val="004C0AAD"/>
    <w:rsid w:val="004C1286"/>
    <w:rsid w:val="004C14FC"/>
    <w:rsid w:val="004C19DB"/>
    <w:rsid w:val="004C46C0"/>
    <w:rsid w:val="004C4E6A"/>
    <w:rsid w:val="004C5C71"/>
    <w:rsid w:val="004C6B07"/>
    <w:rsid w:val="004C7C61"/>
    <w:rsid w:val="004D0091"/>
    <w:rsid w:val="004D0117"/>
    <w:rsid w:val="004D014E"/>
    <w:rsid w:val="004D0B4E"/>
    <w:rsid w:val="004D12B3"/>
    <w:rsid w:val="004D1E7D"/>
    <w:rsid w:val="004D2708"/>
    <w:rsid w:val="004D2B20"/>
    <w:rsid w:val="004D3AC0"/>
    <w:rsid w:val="004D3ED3"/>
    <w:rsid w:val="004D4B40"/>
    <w:rsid w:val="004D4DB8"/>
    <w:rsid w:val="004D5BD2"/>
    <w:rsid w:val="004D5E93"/>
    <w:rsid w:val="004D6B1B"/>
    <w:rsid w:val="004D765A"/>
    <w:rsid w:val="004D78CA"/>
    <w:rsid w:val="004E03FD"/>
    <w:rsid w:val="004E0828"/>
    <w:rsid w:val="004E0A33"/>
    <w:rsid w:val="004E2830"/>
    <w:rsid w:val="004E3613"/>
    <w:rsid w:val="004E39A1"/>
    <w:rsid w:val="004E3ED5"/>
    <w:rsid w:val="004E4E47"/>
    <w:rsid w:val="004E52EF"/>
    <w:rsid w:val="004E5A54"/>
    <w:rsid w:val="004E5D64"/>
    <w:rsid w:val="004E5E06"/>
    <w:rsid w:val="004E711B"/>
    <w:rsid w:val="004E7E58"/>
    <w:rsid w:val="004F03A5"/>
    <w:rsid w:val="004F06B8"/>
    <w:rsid w:val="004F0E74"/>
    <w:rsid w:val="004F0EBB"/>
    <w:rsid w:val="004F125E"/>
    <w:rsid w:val="004F21EA"/>
    <w:rsid w:val="004F2A59"/>
    <w:rsid w:val="004F2BF6"/>
    <w:rsid w:val="004F2E99"/>
    <w:rsid w:val="004F3F92"/>
    <w:rsid w:val="004F7E7F"/>
    <w:rsid w:val="00500E12"/>
    <w:rsid w:val="00500E75"/>
    <w:rsid w:val="005022F3"/>
    <w:rsid w:val="005030FC"/>
    <w:rsid w:val="00503E99"/>
    <w:rsid w:val="0050442F"/>
    <w:rsid w:val="005055B7"/>
    <w:rsid w:val="0050671E"/>
    <w:rsid w:val="00506967"/>
    <w:rsid w:val="00507ADC"/>
    <w:rsid w:val="00511FFC"/>
    <w:rsid w:val="0051210A"/>
    <w:rsid w:val="005143B1"/>
    <w:rsid w:val="00514598"/>
    <w:rsid w:val="00514810"/>
    <w:rsid w:val="00514E92"/>
    <w:rsid w:val="005154AB"/>
    <w:rsid w:val="00516E07"/>
    <w:rsid w:val="005201B7"/>
    <w:rsid w:val="00520F99"/>
    <w:rsid w:val="00521DAC"/>
    <w:rsid w:val="00522032"/>
    <w:rsid w:val="00523BF0"/>
    <w:rsid w:val="00524CE4"/>
    <w:rsid w:val="0052549B"/>
    <w:rsid w:val="0052556F"/>
    <w:rsid w:val="0052677C"/>
    <w:rsid w:val="00526F56"/>
    <w:rsid w:val="00530100"/>
    <w:rsid w:val="00530436"/>
    <w:rsid w:val="0053053E"/>
    <w:rsid w:val="00530FAE"/>
    <w:rsid w:val="005311EC"/>
    <w:rsid w:val="00531BD5"/>
    <w:rsid w:val="00532A20"/>
    <w:rsid w:val="00532A78"/>
    <w:rsid w:val="005346FE"/>
    <w:rsid w:val="00534AB0"/>
    <w:rsid w:val="0053625A"/>
    <w:rsid w:val="005369CE"/>
    <w:rsid w:val="00537EAF"/>
    <w:rsid w:val="005404E8"/>
    <w:rsid w:val="00540C6F"/>
    <w:rsid w:val="00541C02"/>
    <w:rsid w:val="00542136"/>
    <w:rsid w:val="005421E1"/>
    <w:rsid w:val="005440D5"/>
    <w:rsid w:val="005450AD"/>
    <w:rsid w:val="005462C8"/>
    <w:rsid w:val="00546382"/>
    <w:rsid w:val="0054672F"/>
    <w:rsid w:val="0054796F"/>
    <w:rsid w:val="005503C5"/>
    <w:rsid w:val="00550771"/>
    <w:rsid w:val="00551119"/>
    <w:rsid w:val="00551255"/>
    <w:rsid w:val="005532BB"/>
    <w:rsid w:val="00554E29"/>
    <w:rsid w:val="00555BB3"/>
    <w:rsid w:val="005573B2"/>
    <w:rsid w:val="00557B15"/>
    <w:rsid w:val="00560114"/>
    <w:rsid w:val="005605D3"/>
    <w:rsid w:val="00560764"/>
    <w:rsid w:val="00560B0E"/>
    <w:rsid w:val="00561B1E"/>
    <w:rsid w:val="005634C4"/>
    <w:rsid w:val="0056354F"/>
    <w:rsid w:val="005647D5"/>
    <w:rsid w:val="00564A5C"/>
    <w:rsid w:val="00565020"/>
    <w:rsid w:val="005665B5"/>
    <w:rsid w:val="00566DFE"/>
    <w:rsid w:val="0057047E"/>
    <w:rsid w:val="00570F8D"/>
    <w:rsid w:val="005713E5"/>
    <w:rsid w:val="00571529"/>
    <w:rsid w:val="0057153C"/>
    <w:rsid w:val="00571E16"/>
    <w:rsid w:val="00572F15"/>
    <w:rsid w:val="005742C3"/>
    <w:rsid w:val="00575105"/>
    <w:rsid w:val="00581758"/>
    <w:rsid w:val="00581B0A"/>
    <w:rsid w:val="00581B77"/>
    <w:rsid w:val="0058230D"/>
    <w:rsid w:val="00582868"/>
    <w:rsid w:val="005829C3"/>
    <w:rsid w:val="0058336C"/>
    <w:rsid w:val="0058380A"/>
    <w:rsid w:val="00583D52"/>
    <w:rsid w:val="00584B66"/>
    <w:rsid w:val="00584C84"/>
    <w:rsid w:val="005853AB"/>
    <w:rsid w:val="00585DDC"/>
    <w:rsid w:val="00586676"/>
    <w:rsid w:val="00586F62"/>
    <w:rsid w:val="00587569"/>
    <w:rsid w:val="0059030D"/>
    <w:rsid w:val="00590EB2"/>
    <w:rsid w:val="00595816"/>
    <w:rsid w:val="00595B5E"/>
    <w:rsid w:val="00595E74"/>
    <w:rsid w:val="0059798D"/>
    <w:rsid w:val="005A0D6F"/>
    <w:rsid w:val="005A18D3"/>
    <w:rsid w:val="005A1CCA"/>
    <w:rsid w:val="005A24D4"/>
    <w:rsid w:val="005A3736"/>
    <w:rsid w:val="005A3EE3"/>
    <w:rsid w:val="005A4B55"/>
    <w:rsid w:val="005A4B69"/>
    <w:rsid w:val="005A6589"/>
    <w:rsid w:val="005A6BE2"/>
    <w:rsid w:val="005A71A7"/>
    <w:rsid w:val="005A74D4"/>
    <w:rsid w:val="005A7AC2"/>
    <w:rsid w:val="005B09A3"/>
    <w:rsid w:val="005B1784"/>
    <w:rsid w:val="005B1B22"/>
    <w:rsid w:val="005B207A"/>
    <w:rsid w:val="005B543D"/>
    <w:rsid w:val="005B558F"/>
    <w:rsid w:val="005B782A"/>
    <w:rsid w:val="005B7AB0"/>
    <w:rsid w:val="005C0764"/>
    <w:rsid w:val="005C0BEA"/>
    <w:rsid w:val="005C0C2F"/>
    <w:rsid w:val="005C13A4"/>
    <w:rsid w:val="005C1521"/>
    <w:rsid w:val="005C171F"/>
    <w:rsid w:val="005C1E0D"/>
    <w:rsid w:val="005C1E70"/>
    <w:rsid w:val="005C420D"/>
    <w:rsid w:val="005C47F9"/>
    <w:rsid w:val="005C53AE"/>
    <w:rsid w:val="005C5879"/>
    <w:rsid w:val="005C6ABC"/>
    <w:rsid w:val="005C77F3"/>
    <w:rsid w:val="005C7ECC"/>
    <w:rsid w:val="005D23A5"/>
    <w:rsid w:val="005D2EE0"/>
    <w:rsid w:val="005D393F"/>
    <w:rsid w:val="005D3EC4"/>
    <w:rsid w:val="005D452E"/>
    <w:rsid w:val="005D514E"/>
    <w:rsid w:val="005D521B"/>
    <w:rsid w:val="005D5C77"/>
    <w:rsid w:val="005D61B7"/>
    <w:rsid w:val="005D6442"/>
    <w:rsid w:val="005D7681"/>
    <w:rsid w:val="005D7C4F"/>
    <w:rsid w:val="005E0589"/>
    <w:rsid w:val="005E2C2C"/>
    <w:rsid w:val="005E3B59"/>
    <w:rsid w:val="005E4A96"/>
    <w:rsid w:val="005E506F"/>
    <w:rsid w:val="005E5462"/>
    <w:rsid w:val="005E5DF2"/>
    <w:rsid w:val="005E66C5"/>
    <w:rsid w:val="005E733C"/>
    <w:rsid w:val="005E74B6"/>
    <w:rsid w:val="005F04C2"/>
    <w:rsid w:val="005F0AB2"/>
    <w:rsid w:val="005F0C12"/>
    <w:rsid w:val="005F112F"/>
    <w:rsid w:val="005F168F"/>
    <w:rsid w:val="005F191D"/>
    <w:rsid w:val="005F2C95"/>
    <w:rsid w:val="005F37BF"/>
    <w:rsid w:val="005F3ABF"/>
    <w:rsid w:val="005F4AF2"/>
    <w:rsid w:val="005F4D13"/>
    <w:rsid w:val="005F6871"/>
    <w:rsid w:val="005F6FAD"/>
    <w:rsid w:val="005F7E19"/>
    <w:rsid w:val="006015F1"/>
    <w:rsid w:val="00601C04"/>
    <w:rsid w:val="0060276E"/>
    <w:rsid w:val="00604F00"/>
    <w:rsid w:val="006055CB"/>
    <w:rsid w:val="006067AF"/>
    <w:rsid w:val="0060703C"/>
    <w:rsid w:val="006079CD"/>
    <w:rsid w:val="006100CD"/>
    <w:rsid w:val="00610C4E"/>
    <w:rsid w:val="00611E79"/>
    <w:rsid w:val="006131BF"/>
    <w:rsid w:val="0061345B"/>
    <w:rsid w:val="00615167"/>
    <w:rsid w:val="00617DEF"/>
    <w:rsid w:val="00617F0C"/>
    <w:rsid w:val="0062140C"/>
    <w:rsid w:val="00621E8A"/>
    <w:rsid w:val="0062237A"/>
    <w:rsid w:val="00622925"/>
    <w:rsid w:val="00622EA0"/>
    <w:rsid w:val="00624513"/>
    <w:rsid w:val="00624668"/>
    <w:rsid w:val="00624BA2"/>
    <w:rsid w:val="00624D4E"/>
    <w:rsid w:val="0062549F"/>
    <w:rsid w:val="006260ED"/>
    <w:rsid w:val="006261D8"/>
    <w:rsid w:val="006264D5"/>
    <w:rsid w:val="0062717A"/>
    <w:rsid w:val="00627233"/>
    <w:rsid w:val="00627B4B"/>
    <w:rsid w:val="006306A1"/>
    <w:rsid w:val="00631BEB"/>
    <w:rsid w:val="00631F04"/>
    <w:rsid w:val="00632528"/>
    <w:rsid w:val="006326D6"/>
    <w:rsid w:val="00632985"/>
    <w:rsid w:val="00633801"/>
    <w:rsid w:val="00634A83"/>
    <w:rsid w:val="00635C9F"/>
    <w:rsid w:val="00635F5A"/>
    <w:rsid w:val="00640291"/>
    <w:rsid w:val="006402D8"/>
    <w:rsid w:val="00640455"/>
    <w:rsid w:val="006439F6"/>
    <w:rsid w:val="00643E3F"/>
    <w:rsid w:val="00643E56"/>
    <w:rsid w:val="00644673"/>
    <w:rsid w:val="006451E0"/>
    <w:rsid w:val="00645DC8"/>
    <w:rsid w:val="00646833"/>
    <w:rsid w:val="00646E39"/>
    <w:rsid w:val="00650339"/>
    <w:rsid w:val="00650A31"/>
    <w:rsid w:val="00650EEE"/>
    <w:rsid w:val="0065145F"/>
    <w:rsid w:val="006515C8"/>
    <w:rsid w:val="00652095"/>
    <w:rsid w:val="006524FE"/>
    <w:rsid w:val="0065266B"/>
    <w:rsid w:val="00652E88"/>
    <w:rsid w:val="00652EB9"/>
    <w:rsid w:val="00653488"/>
    <w:rsid w:val="006539B0"/>
    <w:rsid w:val="00653B38"/>
    <w:rsid w:val="0065625A"/>
    <w:rsid w:val="00657CFA"/>
    <w:rsid w:val="006601C6"/>
    <w:rsid w:val="00660B06"/>
    <w:rsid w:val="00661601"/>
    <w:rsid w:val="00662DBB"/>
    <w:rsid w:val="00662DCA"/>
    <w:rsid w:val="00663010"/>
    <w:rsid w:val="006646B3"/>
    <w:rsid w:val="0066668C"/>
    <w:rsid w:val="00666CCC"/>
    <w:rsid w:val="0066706C"/>
    <w:rsid w:val="00667B2C"/>
    <w:rsid w:val="006703DF"/>
    <w:rsid w:val="00670BBB"/>
    <w:rsid w:val="0067116A"/>
    <w:rsid w:val="00671280"/>
    <w:rsid w:val="00671784"/>
    <w:rsid w:val="00674131"/>
    <w:rsid w:val="00674B25"/>
    <w:rsid w:val="00675101"/>
    <w:rsid w:val="006756B5"/>
    <w:rsid w:val="00675B09"/>
    <w:rsid w:val="00675E04"/>
    <w:rsid w:val="00676BC6"/>
    <w:rsid w:val="00676D6A"/>
    <w:rsid w:val="00680346"/>
    <w:rsid w:val="0068112C"/>
    <w:rsid w:val="00681EE0"/>
    <w:rsid w:val="00682771"/>
    <w:rsid w:val="00682B7D"/>
    <w:rsid w:val="006838E6"/>
    <w:rsid w:val="00684FA7"/>
    <w:rsid w:val="0068502C"/>
    <w:rsid w:val="0068543E"/>
    <w:rsid w:val="00686538"/>
    <w:rsid w:val="00686EF2"/>
    <w:rsid w:val="006875E5"/>
    <w:rsid w:val="00690574"/>
    <w:rsid w:val="00690B37"/>
    <w:rsid w:val="00692719"/>
    <w:rsid w:val="0069273F"/>
    <w:rsid w:val="006932C3"/>
    <w:rsid w:val="0069388C"/>
    <w:rsid w:val="00693DB6"/>
    <w:rsid w:val="00695B75"/>
    <w:rsid w:val="00696379"/>
    <w:rsid w:val="00696397"/>
    <w:rsid w:val="006964A8"/>
    <w:rsid w:val="0069662D"/>
    <w:rsid w:val="0069703F"/>
    <w:rsid w:val="006976B7"/>
    <w:rsid w:val="00697B4D"/>
    <w:rsid w:val="006A0ABD"/>
    <w:rsid w:val="006A10E9"/>
    <w:rsid w:val="006A1ABA"/>
    <w:rsid w:val="006A223F"/>
    <w:rsid w:val="006A2573"/>
    <w:rsid w:val="006A2F26"/>
    <w:rsid w:val="006A3E8D"/>
    <w:rsid w:val="006A41B4"/>
    <w:rsid w:val="006A4713"/>
    <w:rsid w:val="006A4AF0"/>
    <w:rsid w:val="006A53E9"/>
    <w:rsid w:val="006A573C"/>
    <w:rsid w:val="006A5CC5"/>
    <w:rsid w:val="006A6D82"/>
    <w:rsid w:val="006A6F6F"/>
    <w:rsid w:val="006A725C"/>
    <w:rsid w:val="006A7CD4"/>
    <w:rsid w:val="006B0272"/>
    <w:rsid w:val="006B04AA"/>
    <w:rsid w:val="006B089A"/>
    <w:rsid w:val="006B09F1"/>
    <w:rsid w:val="006B0A41"/>
    <w:rsid w:val="006B164B"/>
    <w:rsid w:val="006B1785"/>
    <w:rsid w:val="006B3106"/>
    <w:rsid w:val="006B4111"/>
    <w:rsid w:val="006B4C26"/>
    <w:rsid w:val="006B5962"/>
    <w:rsid w:val="006B5B9A"/>
    <w:rsid w:val="006B6760"/>
    <w:rsid w:val="006B6D58"/>
    <w:rsid w:val="006B6D91"/>
    <w:rsid w:val="006B7089"/>
    <w:rsid w:val="006B77A2"/>
    <w:rsid w:val="006C0DEC"/>
    <w:rsid w:val="006C0EE5"/>
    <w:rsid w:val="006C175F"/>
    <w:rsid w:val="006C17EA"/>
    <w:rsid w:val="006C1A91"/>
    <w:rsid w:val="006C23D3"/>
    <w:rsid w:val="006C2741"/>
    <w:rsid w:val="006C27BC"/>
    <w:rsid w:val="006C2D68"/>
    <w:rsid w:val="006C32A5"/>
    <w:rsid w:val="006C3A64"/>
    <w:rsid w:val="006C3E3E"/>
    <w:rsid w:val="006C44B4"/>
    <w:rsid w:val="006C65FF"/>
    <w:rsid w:val="006C74D1"/>
    <w:rsid w:val="006C778E"/>
    <w:rsid w:val="006C7C02"/>
    <w:rsid w:val="006C7D2E"/>
    <w:rsid w:val="006C7E09"/>
    <w:rsid w:val="006D0CCC"/>
    <w:rsid w:val="006D0D96"/>
    <w:rsid w:val="006D21F3"/>
    <w:rsid w:val="006D273A"/>
    <w:rsid w:val="006D29D6"/>
    <w:rsid w:val="006D3776"/>
    <w:rsid w:val="006D4637"/>
    <w:rsid w:val="006D4CD8"/>
    <w:rsid w:val="006D5ABE"/>
    <w:rsid w:val="006D5FAC"/>
    <w:rsid w:val="006D61DF"/>
    <w:rsid w:val="006D64C5"/>
    <w:rsid w:val="006D6B97"/>
    <w:rsid w:val="006D6C31"/>
    <w:rsid w:val="006D7DC9"/>
    <w:rsid w:val="006E08E6"/>
    <w:rsid w:val="006E0925"/>
    <w:rsid w:val="006E2058"/>
    <w:rsid w:val="006E2412"/>
    <w:rsid w:val="006E2B5C"/>
    <w:rsid w:val="006E5343"/>
    <w:rsid w:val="006E54E4"/>
    <w:rsid w:val="006F0A48"/>
    <w:rsid w:val="006F0B8E"/>
    <w:rsid w:val="006F1C35"/>
    <w:rsid w:val="006F205D"/>
    <w:rsid w:val="006F25B1"/>
    <w:rsid w:val="006F2DCC"/>
    <w:rsid w:val="006F34C4"/>
    <w:rsid w:val="006F40C2"/>
    <w:rsid w:val="006F47D9"/>
    <w:rsid w:val="006F4E08"/>
    <w:rsid w:val="006F6D48"/>
    <w:rsid w:val="006F7192"/>
    <w:rsid w:val="0070024B"/>
    <w:rsid w:val="00700B89"/>
    <w:rsid w:val="00700BC6"/>
    <w:rsid w:val="007014CE"/>
    <w:rsid w:val="0070184C"/>
    <w:rsid w:val="00701CF6"/>
    <w:rsid w:val="00702D9F"/>
    <w:rsid w:val="00704575"/>
    <w:rsid w:val="007053F0"/>
    <w:rsid w:val="00705467"/>
    <w:rsid w:val="00706FD4"/>
    <w:rsid w:val="00707AA5"/>
    <w:rsid w:val="00710065"/>
    <w:rsid w:val="0071073B"/>
    <w:rsid w:val="00710A99"/>
    <w:rsid w:val="00711533"/>
    <w:rsid w:val="00712079"/>
    <w:rsid w:val="007130C0"/>
    <w:rsid w:val="00714A8E"/>
    <w:rsid w:val="0071507F"/>
    <w:rsid w:val="00715673"/>
    <w:rsid w:val="00715FEF"/>
    <w:rsid w:val="00716A01"/>
    <w:rsid w:val="00716AEF"/>
    <w:rsid w:val="0071706F"/>
    <w:rsid w:val="00720099"/>
    <w:rsid w:val="007219A3"/>
    <w:rsid w:val="0072204C"/>
    <w:rsid w:val="007221C3"/>
    <w:rsid w:val="007226CF"/>
    <w:rsid w:val="00722B6E"/>
    <w:rsid w:val="00723BDE"/>
    <w:rsid w:val="007246C2"/>
    <w:rsid w:val="00724B13"/>
    <w:rsid w:val="00724E13"/>
    <w:rsid w:val="007255A9"/>
    <w:rsid w:val="00725B93"/>
    <w:rsid w:val="00726857"/>
    <w:rsid w:val="00727887"/>
    <w:rsid w:val="00730106"/>
    <w:rsid w:val="0073050D"/>
    <w:rsid w:val="00731614"/>
    <w:rsid w:val="007318BA"/>
    <w:rsid w:val="0073205F"/>
    <w:rsid w:val="0073313C"/>
    <w:rsid w:val="00733DB7"/>
    <w:rsid w:val="007341D2"/>
    <w:rsid w:val="00734421"/>
    <w:rsid w:val="00734475"/>
    <w:rsid w:val="00735051"/>
    <w:rsid w:val="00735ABB"/>
    <w:rsid w:val="007360A5"/>
    <w:rsid w:val="00736BD6"/>
    <w:rsid w:val="007373F6"/>
    <w:rsid w:val="0073762C"/>
    <w:rsid w:val="0073788B"/>
    <w:rsid w:val="00737CB2"/>
    <w:rsid w:val="00740236"/>
    <w:rsid w:val="00741C7A"/>
    <w:rsid w:val="00742698"/>
    <w:rsid w:val="0074345A"/>
    <w:rsid w:val="007435A8"/>
    <w:rsid w:val="00744B33"/>
    <w:rsid w:val="0074527E"/>
    <w:rsid w:val="007459EA"/>
    <w:rsid w:val="0074640E"/>
    <w:rsid w:val="007478BB"/>
    <w:rsid w:val="00747D88"/>
    <w:rsid w:val="00751BF1"/>
    <w:rsid w:val="0075213C"/>
    <w:rsid w:val="0075273A"/>
    <w:rsid w:val="00753696"/>
    <w:rsid w:val="00754924"/>
    <w:rsid w:val="0075493A"/>
    <w:rsid w:val="0075547C"/>
    <w:rsid w:val="00755DD4"/>
    <w:rsid w:val="00756093"/>
    <w:rsid w:val="007561F2"/>
    <w:rsid w:val="007564EA"/>
    <w:rsid w:val="007567D9"/>
    <w:rsid w:val="0075743B"/>
    <w:rsid w:val="00757A99"/>
    <w:rsid w:val="00757AFE"/>
    <w:rsid w:val="00757E42"/>
    <w:rsid w:val="007613C4"/>
    <w:rsid w:val="007614EA"/>
    <w:rsid w:val="00762601"/>
    <w:rsid w:val="007633E4"/>
    <w:rsid w:val="0076341F"/>
    <w:rsid w:val="0076354B"/>
    <w:rsid w:val="00763983"/>
    <w:rsid w:val="00763CA4"/>
    <w:rsid w:val="00763EF8"/>
    <w:rsid w:val="00764991"/>
    <w:rsid w:val="007655FF"/>
    <w:rsid w:val="00766571"/>
    <w:rsid w:val="0076679F"/>
    <w:rsid w:val="0076762A"/>
    <w:rsid w:val="0077126E"/>
    <w:rsid w:val="00771696"/>
    <w:rsid w:val="007735CD"/>
    <w:rsid w:val="00774709"/>
    <w:rsid w:val="00774A89"/>
    <w:rsid w:val="007766DC"/>
    <w:rsid w:val="00776F03"/>
    <w:rsid w:val="00777A5C"/>
    <w:rsid w:val="00777C44"/>
    <w:rsid w:val="00780FDF"/>
    <w:rsid w:val="007846BF"/>
    <w:rsid w:val="00784E97"/>
    <w:rsid w:val="00787A7F"/>
    <w:rsid w:val="00787B8F"/>
    <w:rsid w:val="00787E4A"/>
    <w:rsid w:val="0079082D"/>
    <w:rsid w:val="00792D2A"/>
    <w:rsid w:val="007936F2"/>
    <w:rsid w:val="00793CB9"/>
    <w:rsid w:val="007947E2"/>
    <w:rsid w:val="00794AD8"/>
    <w:rsid w:val="00796D10"/>
    <w:rsid w:val="00797879"/>
    <w:rsid w:val="007A06E4"/>
    <w:rsid w:val="007A0924"/>
    <w:rsid w:val="007A199C"/>
    <w:rsid w:val="007A2834"/>
    <w:rsid w:val="007A2887"/>
    <w:rsid w:val="007A3965"/>
    <w:rsid w:val="007A4B6C"/>
    <w:rsid w:val="007A5505"/>
    <w:rsid w:val="007A7CA0"/>
    <w:rsid w:val="007B0E23"/>
    <w:rsid w:val="007B1AC6"/>
    <w:rsid w:val="007B1CD4"/>
    <w:rsid w:val="007B20DD"/>
    <w:rsid w:val="007B23F7"/>
    <w:rsid w:val="007B28F0"/>
    <w:rsid w:val="007B34B7"/>
    <w:rsid w:val="007B3A48"/>
    <w:rsid w:val="007B3C5A"/>
    <w:rsid w:val="007B4229"/>
    <w:rsid w:val="007B5140"/>
    <w:rsid w:val="007B53CC"/>
    <w:rsid w:val="007B6882"/>
    <w:rsid w:val="007B68AF"/>
    <w:rsid w:val="007B6F29"/>
    <w:rsid w:val="007B73BA"/>
    <w:rsid w:val="007B774B"/>
    <w:rsid w:val="007B7F70"/>
    <w:rsid w:val="007C0A05"/>
    <w:rsid w:val="007C1947"/>
    <w:rsid w:val="007C2004"/>
    <w:rsid w:val="007C323F"/>
    <w:rsid w:val="007C3344"/>
    <w:rsid w:val="007C35AD"/>
    <w:rsid w:val="007C43F3"/>
    <w:rsid w:val="007C6334"/>
    <w:rsid w:val="007C6923"/>
    <w:rsid w:val="007D045D"/>
    <w:rsid w:val="007D2554"/>
    <w:rsid w:val="007D35C1"/>
    <w:rsid w:val="007D48D1"/>
    <w:rsid w:val="007D4B97"/>
    <w:rsid w:val="007D50D5"/>
    <w:rsid w:val="007D569B"/>
    <w:rsid w:val="007D5776"/>
    <w:rsid w:val="007D613F"/>
    <w:rsid w:val="007D68B1"/>
    <w:rsid w:val="007D73CE"/>
    <w:rsid w:val="007D7752"/>
    <w:rsid w:val="007D798A"/>
    <w:rsid w:val="007D7E35"/>
    <w:rsid w:val="007E002B"/>
    <w:rsid w:val="007E0978"/>
    <w:rsid w:val="007E0BF4"/>
    <w:rsid w:val="007E2873"/>
    <w:rsid w:val="007E2905"/>
    <w:rsid w:val="007E29AC"/>
    <w:rsid w:val="007E2AA2"/>
    <w:rsid w:val="007E4061"/>
    <w:rsid w:val="007E464F"/>
    <w:rsid w:val="007E4E93"/>
    <w:rsid w:val="007E5652"/>
    <w:rsid w:val="007E6D4F"/>
    <w:rsid w:val="007E7420"/>
    <w:rsid w:val="007E7B93"/>
    <w:rsid w:val="007F02F9"/>
    <w:rsid w:val="007F061F"/>
    <w:rsid w:val="007F093A"/>
    <w:rsid w:val="007F26A4"/>
    <w:rsid w:val="007F2DB7"/>
    <w:rsid w:val="007F2E0C"/>
    <w:rsid w:val="007F3FE1"/>
    <w:rsid w:val="007F47A4"/>
    <w:rsid w:val="007F62ED"/>
    <w:rsid w:val="007F730A"/>
    <w:rsid w:val="007F73BF"/>
    <w:rsid w:val="007F7B7D"/>
    <w:rsid w:val="008001D1"/>
    <w:rsid w:val="00800422"/>
    <w:rsid w:val="00801466"/>
    <w:rsid w:val="008017CB"/>
    <w:rsid w:val="00802AC9"/>
    <w:rsid w:val="00802E68"/>
    <w:rsid w:val="00803F7E"/>
    <w:rsid w:val="008042BB"/>
    <w:rsid w:val="00805BE8"/>
    <w:rsid w:val="0080697A"/>
    <w:rsid w:val="00806DF5"/>
    <w:rsid w:val="00807098"/>
    <w:rsid w:val="0080785D"/>
    <w:rsid w:val="00807D41"/>
    <w:rsid w:val="008101D1"/>
    <w:rsid w:val="00810788"/>
    <w:rsid w:val="00811230"/>
    <w:rsid w:val="00811613"/>
    <w:rsid w:val="0081231A"/>
    <w:rsid w:val="00813564"/>
    <w:rsid w:val="008137D1"/>
    <w:rsid w:val="00814368"/>
    <w:rsid w:val="008162A1"/>
    <w:rsid w:val="00817352"/>
    <w:rsid w:val="008177A8"/>
    <w:rsid w:val="0082035F"/>
    <w:rsid w:val="0082040C"/>
    <w:rsid w:val="00820617"/>
    <w:rsid w:val="00820E53"/>
    <w:rsid w:val="008218F9"/>
    <w:rsid w:val="00822634"/>
    <w:rsid w:val="00825384"/>
    <w:rsid w:val="008267C5"/>
    <w:rsid w:val="00826D67"/>
    <w:rsid w:val="00826F6A"/>
    <w:rsid w:val="00827710"/>
    <w:rsid w:val="00830E8B"/>
    <w:rsid w:val="00830EA3"/>
    <w:rsid w:val="008319A5"/>
    <w:rsid w:val="008319E4"/>
    <w:rsid w:val="008329F3"/>
    <w:rsid w:val="00832B52"/>
    <w:rsid w:val="00832FB8"/>
    <w:rsid w:val="008346DD"/>
    <w:rsid w:val="0083492B"/>
    <w:rsid w:val="0083519E"/>
    <w:rsid w:val="0083662C"/>
    <w:rsid w:val="0083695E"/>
    <w:rsid w:val="00836E65"/>
    <w:rsid w:val="0083711C"/>
    <w:rsid w:val="008406C2"/>
    <w:rsid w:val="00840862"/>
    <w:rsid w:val="008412DD"/>
    <w:rsid w:val="00841AE2"/>
    <w:rsid w:val="00842429"/>
    <w:rsid w:val="0084375D"/>
    <w:rsid w:val="00843C83"/>
    <w:rsid w:val="00843D06"/>
    <w:rsid w:val="0084418E"/>
    <w:rsid w:val="0084430B"/>
    <w:rsid w:val="0084555B"/>
    <w:rsid w:val="00846E8B"/>
    <w:rsid w:val="008476A4"/>
    <w:rsid w:val="00850416"/>
    <w:rsid w:val="00850784"/>
    <w:rsid w:val="00850835"/>
    <w:rsid w:val="008509F4"/>
    <w:rsid w:val="00850C44"/>
    <w:rsid w:val="00850C59"/>
    <w:rsid w:val="00851287"/>
    <w:rsid w:val="0085234A"/>
    <w:rsid w:val="00852EEF"/>
    <w:rsid w:val="00854059"/>
    <w:rsid w:val="008549EE"/>
    <w:rsid w:val="00855071"/>
    <w:rsid w:val="00857A8A"/>
    <w:rsid w:val="008605A2"/>
    <w:rsid w:val="00860AB9"/>
    <w:rsid w:val="0086186B"/>
    <w:rsid w:val="00861994"/>
    <w:rsid w:val="00862270"/>
    <w:rsid w:val="00862BCA"/>
    <w:rsid w:val="0086362A"/>
    <w:rsid w:val="008639DA"/>
    <w:rsid w:val="00863BBA"/>
    <w:rsid w:val="008645A2"/>
    <w:rsid w:val="00866065"/>
    <w:rsid w:val="00866BFB"/>
    <w:rsid w:val="00867CE3"/>
    <w:rsid w:val="00870140"/>
    <w:rsid w:val="008702CD"/>
    <w:rsid w:val="008705C1"/>
    <w:rsid w:val="008706C9"/>
    <w:rsid w:val="0087342D"/>
    <w:rsid w:val="00873C2F"/>
    <w:rsid w:val="00873E01"/>
    <w:rsid w:val="00874902"/>
    <w:rsid w:val="00874D0F"/>
    <w:rsid w:val="00875BA6"/>
    <w:rsid w:val="008763BE"/>
    <w:rsid w:val="00877081"/>
    <w:rsid w:val="00880292"/>
    <w:rsid w:val="00880760"/>
    <w:rsid w:val="0088085C"/>
    <w:rsid w:val="00880D5D"/>
    <w:rsid w:val="00880DBE"/>
    <w:rsid w:val="00881289"/>
    <w:rsid w:val="00881A16"/>
    <w:rsid w:val="008824FC"/>
    <w:rsid w:val="00883216"/>
    <w:rsid w:val="00884EB0"/>
    <w:rsid w:val="00885689"/>
    <w:rsid w:val="00885BBF"/>
    <w:rsid w:val="00886B69"/>
    <w:rsid w:val="008905D4"/>
    <w:rsid w:val="00890AB1"/>
    <w:rsid w:val="00891068"/>
    <w:rsid w:val="0089119C"/>
    <w:rsid w:val="00891269"/>
    <w:rsid w:val="00891F2D"/>
    <w:rsid w:val="00891FAB"/>
    <w:rsid w:val="0089240F"/>
    <w:rsid w:val="00892A13"/>
    <w:rsid w:val="0089334F"/>
    <w:rsid w:val="00893894"/>
    <w:rsid w:val="008938FA"/>
    <w:rsid w:val="00893DE8"/>
    <w:rsid w:val="00895BD3"/>
    <w:rsid w:val="00895F6A"/>
    <w:rsid w:val="008A06A5"/>
    <w:rsid w:val="008A2602"/>
    <w:rsid w:val="008A2C26"/>
    <w:rsid w:val="008A3548"/>
    <w:rsid w:val="008A36D4"/>
    <w:rsid w:val="008A3DF0"/>
    <w:rsid w:val="008B036A"/>
    <w:rsid w:val="008B0DAC"/>
    <w:rsid w:val="008B1A94"/>
    <w:rsid w:val="008B210D"/>
    <w:rsid w:val="008B2207"/>
    <w:rsid w:val="008B2DAA"/>
    <w:rsid w:val="008B594B"/>
    <w:rsid w:val="008B5FAC"/>
    <w:rsid w:val="008B62B8"/>
    <w:rsid w:val="008B6D1A"/>
    <w:rsid w:val="008B7187"/>
    <w:rsid w:val="008C03E3"/>
    <w:rsid w:val="008C1345"/>
    <w:rsid w:val="008C13D8"/>
    <w:rsid w:val="008C15AE"/>
    <w:rsid w:val="008C165C"/>
    <w:rsid w:val="008C1807"/>
    <w:rsid w:val="008C306E"/>
    <w:rsid w:val="008C32CE"/>
    <w:rsid w:val="008C49CA"/>
    <w:rsid w:val="008C4D8F"/>
    <w:rsid w:val="008C4D91"/>
    <w:rsid w:val="008C50F6"/>
    <w:rsid w:val="008C5B7D"/>
    <w:rsid w:val="008C5FE6"/>
    <w:rsid w:val="008C6161"/>
    <w:rsid w:val="008C6CF7"/>
    <w:rsid w:val="008D02AE"/>
    <w:rsid w:val="008D0356"/>
    <w:rsid w:val="008D0692"/>
    <w:rsid w:val="008D118C"/>
    <w:rsid w:val="008D18CD"/>
    <w:rsid w:val="008D19C0"/>
    <w:rsid w:val="008D22A2"/>
    <w:rsid w:val="008D28F9"/>
    <w:rsid w:val="008D2B14"/>
    <w:rsid w:val="008D3158"/>
    <w:rsid w:val="008D31A2"/>
    <w:rsid w:val="008D451F"/>
    <w:rsid w:val="008D5E50"/>
    <w:rsid w:val="008D609F"/>
    <w:rsid w:val="008D630C"/>
    <w:rsid w:val="008D639F"/>
    <w:rsid w:val="008D6AA8"/>
    <w:rsid w:val="008D758A"/>
    <w:rsid w:val="008D7AC7"/>
    <w:rsid w:val="008D7EEC"/>
    <w:rsid w:val="008E0955"/>
    <w:rsid w:val="008E1220"/>
    <w:rsid w:val="008E1F1C"/>
    <w:rsid w:val="008E3A08"/>
    <w:rsid w:val="008E3C5E"/>
    <w:rsid w:val="008E509E"/>
    <w:rsid w:val="008E63DC"/>
    <w:rsid w:val="008E6807"/>
    <w:rsid w:val="008E7166"/>
    <w:rsid w:val="008E764B"/>
    <w:rsid w:val="008E7CF8"/>
    <w:rsid w:val="008F04C3"/>
    <w:rsid w:val="008F0CB9"/>
    <w:rsid w:val="008F0F1B"/>
    <w:rsid w:val="008F0F3D"/>
    <w:rsid w:val="008F16B3"/>
    <w:rsid w:val="008F36C6"/>
    <w:rsid w:val="008F4507"/>
    <w:rsid w:val="008F5AB5"/>
    <w:rsid w:val="008F5AE3"/>
    <w:rsid w:val="008F67A3"/>
    <w:rsid w:val="008F68AA"/>
    <w:rsid w:val="008F6B65"/>
    <w:rsid w:val="008F76AD"/>
    <w:rsid w:val="008F77AF"/>
    <w:rsid w:val="008F7B07"/>
    <w:rsid w:val="009004C7"/>
    <w:rsid w:val="00901D78"/>
    <w:rsid w:val="00901F07"/>
    <w:rsid w:val="00902473"/>
    <w:rsid w:val="009029B7"/>
    <w:rsid w:val="0090345A"/>
    <w:rsid w:val="00903959"/>
    <w:rsid w:val="0090730C"/>
    <w:rsid w:val="00907B15"/>
    <w:rsid w:val="00910AEF"/>
    <w:rsid w:val="00912C66"/>
    <w:rsid w:val="00913406"/>
    <w:rsid w:val="00913B6F"/>
    <w:rsid w:val="00913D70"/>
    <w:rsid w:val="00914C36"/>
    <w:rsid w:val="009156CF"/>
    <w:rsid w:val="00916471"/>
    <w:rsid w:val="009164BB"/>
    <w:rsid w:val="00916A33"/>
    <w:rsid w:val="0091721D"/>
    <w:rsid w:val="00917F88"/>
    <w:rsid w:val="0092072D"/>
    <w:rsid w:val="009209BF"/>
    <w:rsid w:val="00920DAF"/>
    <w:rsid w:val="00920DD8"/>
    <w:rsid w:val="00921AB1"/>
    <w:rsid w:val="00921C3A"/>
    <w:rsid w:val="009224F5"/>
    <w:rsid w:val="00922CAB"/>
    <w:rsid w:val="00926E34"/>
    <w:rsid w:val="009275ED"/>
    <w:rsid w:val="00927B91"/>
    <w:rsid w:val="00927FDF"/>
    <w:rsid w:val="0093083F"/>
    <w:rsid w:val="0093097C"/>
    <w:rsid w:val="00931644"/>
    <w:rsid w:val="00931689"/>
    <w:rsid w:val="00931716"/>
    <w:rsid w:val="00931CBA"/>
    <w:rsid w:val="00933512"/>
    <w:rsid w:val="009339C8"/>
    <w:rsid w:val="00933E7D"/>
    <w:rsid w:val="00934115"/>
    <w:rsid w:val="009341E6"/>
    <w:rsid w:val="009349DB"/>
    <w:rsid w:val="009360CA"/>
    <w:rsid w:val="009360F7"/>
    <w:rsid w:val="009363CF"/>
    <w:rsid w:val="009374A2"/>
    <w:rsid w:val="009408B4"/>
    <w:rsid w:val="0094120B"/>
    <w:rsid w:val="00941CF4"/>
    <w:rsid w:val="00941FBC"/>
    <w:rsid w:val="00942C3F"/>
    <w:rsid w:val="009450D1"/>
    <w:rsid w:val="00945F09"/>
    <w:rsid w:val="0094788E"/>
    <w:rsid w:val="00950CF6"/>
    <w:rsid w:val="009527ED"/>
    <w:rsid w:val="0095444C"/>
    <w:rsid w:val="009544AE"/>
    <w:rsid w:val="009549BC"/>
    <w:rsid w:val="00955C8F"/>
    <w:rsid w:val="0095663C"/>
    <w:rsid w:val="009605AD"/>
    <w:rsid w:val="0096155E"/>
    <w:rsid w:val="00961FE9"/>
    <w:rsid w:val="00962094"/>
    <w:rsid w:val="0096210F"/>
    <w:rsid w:val="00962B38"/>
    <w:rsid w:val="009630DB"/>
    <w:rsid w:val="00963F8B"/>
    <w:rsid w:val="00964672"/>
    <w:rsid w:val="00964FD8"/>
    <w:rsid w:val="009650F5"/>
    <w:rsid w:val="00965B6C"/>
    <w:rsid w:val="00965BDB"/>
    <w:rsid w:val="009661E1"/>
    <w:rsid w:val="00966660"/>
    <w:rsid w:val="00966A72"/>
    <w:rsid w:val="00971A5D"/>
    <w:rsid w:val="009753F2"/>
    <w:rsid w:val="0097555F"/>
    <w:rsid w:val="00976555"/>
    <w:rsid w:val="009773B5"/>
    <w:rsid w:val="009779DA"/>
    <w:rsid w:val="00977D3B"/>
    <w:rsid w:val="00977F3F"/>
    <w:rsid w:val="00981177"/>
    <w:rsid w:val="00981EC3"/>
    <w:rsid w:val="00984C0F"/>
    <w:rsid w:val="00984ED2"/>
    <w:rsid w:val="009853BF"/>
    <w:rsid w:val="00985BED"/>
    <w:rsid w:val="00986D0F"/>
    <w:rsid w:val="00986FA8"/>
    <w:rsid w:val="00990A42"/>
    <w:rsid w:val="00990C9C"/>
    <w:rsid w:val="009910B8"/>
    <w:rsid w:val="00991D58"/>
    <w:rsid w:val="00992F59"/>
    <w:rsid w:val="00994AB6"/>
    <w:rsid w:val="009955B2"/>
    <w:rsid w:val="00996691"/>
    <w:rsid w:val="00996EF7"/>
    <w:rsid w:val="009979E0"/>
    <w:rsid w:val="00997B79"/>
    <w:rsid w:val="009A1440"/>
    <w:rsid w:val="009A286F"/>
    <w:rsid w:val="009A28A3"/>
    <w:rsid w:val="009A28E9"/>
    <w:rsid w:val="009A379C"/>
    <w:rsid w:val="009A3C1D"/>
    <w:rsid w:val="009A3E5F"/>
    <w:rsid w:val="009A497E"/>
    <w:rsid w:val="009A51BA"/>
    <w:rsid w:val="009A5321"/>
    <w:rsid w:val="009A54B5"/>
    <w:rsid w:val="009A5B44"/>
    <w:rsid w:val="009A6C4D"/>
    <w:rsid w:val="009A6ECF"/>
    <w:rsid w:val="009A72B3"/>
    <w:rsid w:val="009A7648"/>
    <w:rsid w:val="009A76B9"/>
    <w:rsid w:val="009A7F37"/>
    <w:rsid w:val="009B027C"/>
    <w:rsid w:val="009B0E26"/>
    <w:rsid w:val="009B10CE"/>
    <w:rsid w:val="009B17C0"/>
    <w:rsid w:val="009B1E76"/>
    <w:rsid w:val="009B2FB8"/>
    <w:rsid w:val="009B3036"/>
    <w:rsid w:val="009B3ECA"/>
    <w:rsid w:val="009B4010"/>
    <w:rsid w:val="009B4660"/>
    <w:rsid w:val="009B4AD7"/>
    <w:rsid w:val="009B5D93"/>
    <w:rsid w:val="009B6E90"/>
    <w:rsid w:val="009B75A9"/>
    <w:rsid w:val="009B7653"/>
    <w:rsid w:val="009C18C8"/>
    <w:rsid w:val="009C24B4"/>
    <w:rsid w:val="009C3302"/>
    <w:rsid w:val="009C51A5"/>
    <w:rsid w:val="009C6687"/>
    <w:rsid w:val="009C66A4"/>
    <w:rsid w:val="009C6734"/>
    <w:rsid w:val="009C72D3"/>
    <w:rsid w:val="009C7500"/>
    <w:rsid w:val="009D016A"/>
    <w:rsid w:val="009D0183"/>
    <w:rsid w:val="009D024D"/>
    <w:rsid w:val="009D09CB"/>
    <w:rsid w:val="009D1498"/>
    <w:rsid w:val="009D1AA0"/>
    <w:rsid w:val="009D222E"/>
    <w:rsid w:val="009D3079"/>
    <w:rsid w:val="009D4FC7"/>
    <w:rsid w:val="009D69D6"/>
    <w:rsid w:val="009D6CC0"/>
    <w:rsid w:val="009D7549"/>
    <w:rsid w:val="009D788A"/>
    <w:rsid w:val="009E0B47"/>
    <w:rsid w:val="009E2CA9"/>
    <w:rsid w:val="009E3C87"/>
    <w:rsid w:val="009E43C8"/>
    <w:rsid w:val="009E46C4"/>
    <w:rsid w:val="009E48EF"/>
    <w:rsid w:val="009E51EC"/>
    <w:rsid w:val="009E54CC"/>
    <w:rsid w:val="009E55FB"/>
    <w:rsid w:val="009E5AC3"/>
    <w:rsid w:val="009E6D8B"/>
    <w:rsid w:val="009E7470"/>
    <w:rsid w:val="009F0463"/>
    <w:rsid w:val="009F2A3A"/>
    <w:rsid w:val="009F2ED8"/>
    <w:rsid w:val="009F40C7"/>
    <w:rsid w:val="009F471B"/>
    <w:rsid w:val="009F51DD"/>
    <w:rsid w:val="009F5226"/>
    <w:rsid w:val="009F5804"/>
    <w:rsid w:val="009F6E69"/>
    <w:rsid w:val="00A005F5"/>
    <w:rsid w:val="00A00D18"/>
    <w:rsid w:val="00A02070"/>
    <w:rsid w:val="00A031DD"/>
    <w:rsid w:val="00A035CA"/>
    <w:rsid w:val="00A03BB7"/>
    <w:rsid w:val="00A043B9"/>
    <w:rsid w:val="00A0497E"/>
    <w:rsid w:val="00A04E71"/>
    <w:rsid w:val="00A064D2"/>
    <w:rsid w:val="00A10A20"/>
    <w:rsid w:val="00A10BB4"/>
    <w:rsid w:val="00A10C7C"/>
    <w:rsid w:val="00A115CC"/>
    <w:rsid w:val="00A11CD8"/>
    <w:rsid w:val="00A11D3D"/>
    <w:rsid w:val="00A11EDF"/>
    <w:rsid w:val="00A1201C"/>
    <w:rsid w:val="00A127CA"/>
    <w:rsid w:val="00A1283D"/>
    <w:rsid w:val="00A1315A"/>
    <w:rsid w:val="00A1320B"/>
    <w:rsid w:val="00A135BB"/>
    <w:rsid w:val="00A13B6D"/>
    <w:rsid w:val="00A13E4D"/>
    <w:rsid w:val="00A1446B"/>
    <w:rsid w:val="00A14767"/>
    <w:rsid w:val="00A14A99"/>
    <w:rsid w:val="00A14D52"/>
    <w:rsid w:val="00A14DFC"/>
    <w:rsid w:val="00A15072"/>
    <w:rsid w:val="00A152F8"/>
    <w:rsid w:val="00A15A29"/>
    <w:rsid w:val="00A16991"/>
    <w:rsid w:val="00A177B3"/>
    <w:rsid w:val="00A2062F"/>
    <w:rsid w:val="00A20A15"/>
    <w:rsid w:val="00A2178C"/>
    <w:rsid w:val="00A21BF5"/>
    <w:rsid w:val="00A21EEF"/>
    <w:rsid w:val="00A22DC1"/>
    <w:rsid w:val="00A23B89"/>
    <w:rsid w:val="00A23E92"/>
    <w:rsid w:val="00A241E4"/>
    <w:rsid w:val="00A25698"/>
    <w:rsid w:val="00A257DC"/>
    <w:rsid w:val="00A25A03"/>
    <w:rsid w:val="00A25B76"/>
    <w:rsid w:val="00A260BC"/>
    <w:rsid w:val="00A2709C"/>
    <w:rsid w:val="00A2714F"/>
    <w:rsid w:val="00A27157"/>
    <w:rsid w:val="00A276F3"/>
    <w:rsid w:val="00A279D3"/>
    <w:rsid w:val="00A30128"/>
    <w:rsid w:val="00A30ACC"/>
    <w:rsid w:val="00A31678"/>
    <w:rsid w:val="00A31C48"/>
    <w:rsid w:val="00A32579"/>
    <w:rsid w:val="00A325F1"/>
    <w:rsid w:val="00A32CCA"/>
    <w:rsid w:val="00A33B85"/>
    <w:rsid w:val="00A34236"/>
    <w:rsid w:val="00A34A8B"/>
    <w:rsid w:val="00A36665"/>
    <w:rsid w:val="00A36715"/>
    <w:rsid w:val="00A37EA9"/>
    <w:rsid w:val="00A4058D"/>
    <w:rsid w:val="00A405F2"/>
    <w:rsid w:val="00A41577"/>
    <w:rsid w:val="00A415E0"/>
    <w:rsid w:val="00A41B9A"/>
    <w:rsid w:val="00A42A6C"/>
    <w:rsid w:val="00A42D2E"/>
    <w:rsid w:val="00A45627"/>
    <w:rsid w:val="00A45E7E"/>
    <w:rsid w:val="00A46592"/>
    <w:rsid w:val="00A46B03"/>
    <w:rsid w:val="00A46BDF"/>
    <w:rsid w:val="00A47B7E"/>
    <w:rsid w:val="00A500A0"/>
    <w:rsid w:val="00A50300"/>
    <w:rsid w:val="00A50960"/>
    <w:rsid w:val="00A50FDC"/>
    <w:rsid w:val="00A51E1D"/>
    <w:rsid w:val="00A5424E"/>
    <w:rsid w:val="00A54675"/>
    <w:rsid w:val="00A54B56"/>
    <w:rsid w:val="00A55728"/>
    <w:rsid w:val="00A566B2"/>
    <w:rsid w:val="00A57153"/>
    <w:rsid w:val="00A577D9"/>
    <w:rsid w:val="00A6296D"/>
    <w:rsid w:val="00A6361B"/>
    <w:rsid w:val="00A63964"/>
    <w:rsid w:val="00A63BB0"/>
    <w:rsid w:val="00A63E92"/>
    <w:rsid w:val="00A6427C"/>
    <w:rsid w:val="00A6475E"/>
    <w:rsid w:val="00A64FDD"/>
    <w:rsid w:val="00A6510F"/>
    <w:rsid w:val="00A65591"/>
    <w:rsid w:val="00A66DE3"/>
    <w:rsid w:val="00A67B20"/>
    <w:rsid w:val="00A706F8"/>
    <w:rsid w:val="00A71339"/>
    <w:rsid w:val="00A71D55"/>
    <w:rsid w:val="00A721EC"/>
    <w:rsid w:val="00A72CA4"/>
    <w:rsid w:val="00A73DC2"/>
    <w:rsid w:val="00A7516D"/>
    <w:rsid w:val="00A7592B"/>
    <w:rsid w:val="00A75972"/>
    <w:rsid w:val="00A75984"/>
    <w:rsid w:val="00A75F0C"/>
    <w:rsid w:val="00A771C5"/>
    <w:rsid w:val="00A774B1"/>
    <w:rsid w:val="00A80F5E"/>
    <w:rsid w:val="00A82CB5"/>
    <w:rsid w:val="00A835C2"/>
    <w:rsid w:val="00A842FD"/>
    <w:rsid w:val="00A85CF4"/>
    <w:rsid w:val="00A86EED"/>
    <w:rsid w:val="00A870C7"/>
    <w:rsid w:val="00A877EC"/>
    <w:rsid w:val="00A91277"/>
    <w:rsid w:val="00A92941"/>
    <w:rsid w:val="00A929E9"/>
    <w:rsid w:val="00A934D6"/>
    <w:rsid w:val="00A94500"/>
    <w:rsid w:val="00A95504"/>
    <w:rsid w:val="00A95F2B"/>
    <w:rsid w:val="00A96182"/>
    <w:rsid w:val="00A962F0"/>
    <w:rsid w:val="00A963A4"/>
    <w:rsid w:val="00A96CE6"/>
    <w:rsid w:val="00A96EE8"/>
    <w:rsid w:val="00A97693"/>
    <w:rsid w:val="00A97F69"/>
    <w:rsid w:val="00AA093D"/>
    <w:rsid w:val="00AA0B4B"/>
    <w:rsid w:val="00AA1436"/>
    <w:rsid w:val="00AA17A5"/>
    <w:rsid w:val="00AA1B46"/>
    <w:rsid w:val="00AA1BBA"/>
    <w:rsid w:val="00AA1DA5"/>
    <w:rsid w:val="00AA1F98"/>
    <w:rsid w:val="00AA26EE"/>
    <w:rsid w:val="00AA29FB"/>
    <w:rsid w:val="00AA2D54"/>
    <w:rsid w:val="00AA365A"/>
    <w:rsid w:val="00AA3EB6"/>
    <w:rsid w:val="00AA4240"/>
    <w:rsid w:val="00AA5506"/>
    <w:rsid w:val="00AA56F7"/>
    <w:rsid w:val="00AA6219"/>
    <w:rsid w:val="00AA6FC2"/>
    <w:rsid w:val="00AB001C"/>
    <w:rsid w:val="00AB0626"/>
    <w:rsid w:val="00AB1FBC"/>
    <w:rsid w:val="00AB226F"/>
    <w:rsid w:val="00AB41AA"/>
    <w:rsid w:val="00AB584D"/>
    <w:rsid w:val="00AB59F8"/>
    <w:rsid w:val="00AB67E2"/>
    <w:rsid w:val="00AB6F1B"/>
    <w:rsid w:val="00AB78FB"/>
    <w:rsid w:val="00AC0872"/>
    <w:rsid w:val="00AC13C5"/>
    <w:rsid w:val="00AC142F"/>
    <w:rsid w:val="00AC2493"/>
    <w:rsid w:val="00AC2D0D"/>
    <w:rsid w:val="00AC32E6"/>
    <w:rsid w:val="00AC369C"/>
    <w:rsid w:val="00AC3F05"/>
    <w:rsid w:val="00AC4306"/>
    <w:rsid w:val="00AC6DC2"/>
    <w:rsid w:val="00AD01DA"/>
    <w:rsid w:val="00AD051D"/>
    <w:rsid w:val="00AD0896"/>
    <w:rsid w:val="00AD0A07"/>
    <w:rsid w:val="00AD2065"/>
    <w:rsid w:val="00AD29B8"/>
    <w:rsid w:val="00AD2EBF"/>
    <w:rsid w:val="00AD32F0"/>
    <w:rsid w:val="00AD3A26"/>
    <w:rsid w:val="00AD3AE3"/>
    <w:rsid w:val="00AD3CA3"/>
    <w:rsid w:val="00AD42F5"/>
    <w:rsid w:val="00AD4533"/>
    <w:rsid w:val="00AD4587"/>
    <w:rsid w:val="00AD49BD"/>
    <w:rsid w:val="00AD4B45"/>
    <w:rsid w:val="00AD5B6D"/>
    <w:rsid w:val="00AD6E27"/>
    <w:rsid w:val="00AD7340"/>
    <w:rsid w:val="00AD783B"/>
    <w:rsid w:val="00AE03D6"/>
    <w:rsid w:val="00AE0499"/>
    <w:rsid w:val="00AE1009"/>
    <w:rsid w:val="00AE15BD"/>
    <w:rsid w:val="00AE176E"/>
    <w:rsid w:val="00AE1A91"/>
    <w:rsid w:val="00AE1B4A"/>
    <w:rsid w:val="00AE1D51"/>
    <w:rsid w:val="00AE2144"/>
    <w:rsid w:val="00AE2F62"/>
    <w:rsid w:val="00AE3146"/>
    <w:rsid w:val="00AE39A6"/>
    <w:rsid w:val="00AE3F42"/>
    <w:rsid w:val="00AE5664"/>
    <w:rsid w:val="00AE590B"/>
    <w:rsid w:val="00AE590D"/>
    <w:rsid w:val="00AE78F1"/>
    <w:rsid w:val="00AF08C2"/>
    <w:rsid w:val="00AF1E45"/>
    <w:rsid w:val="00AF3487"/>
    <w:rsid w:val="00AF527E"/>
    <w:rsid w:val="00AF5478"/>
    <w:rsid w:val="00B00379"/>
    <w:rsid w:val="00B00435"/>
    <w:rsid w:val="00B00481"/>
    <w:rsid w:val="00B00A40"/>
    <w:rsid w:val="00B00BAF"/>
    <w:rsid w:val="00B01DA4"/>
    <w:rsid w:val="00B02DCB"/>
    <w:rsid w:val="00B05AD0"/>
    <w:rsid w:val="00B05FA6"/>
    <w:rsid w:val="00B076C4"/>
    <w:rsid w:val="00B07951"/>
    <w:rsid w:val="00B07D26"/>
    <w:rsid w:val="00B11054"/>
    <w:rsid w:val="00B11964"/>
    <w:rsid w:val="00B1375F"/>
    <w:rsid w:val="00B1447E"/>
    <w:rsid w:val="00B14DE7"/>
    <w:rsid w:val="00B15A76"/>
    <w:rsid w:val="00B16194"/>
    <w:rsid w:val="00B168FB"/>
    <w:rsid w:val="00B16C80"/>
    <w:rsid w:val="00B176EE"/>
    <w:rsid w:val="00B1779F"/>
    <w:rsid w:val="00B20DF2"/>
    <w:rsid w:val="00B2147F"/>
    <w:rsid w:val="00B22017"/>
    <w:rsid w:val="00B22778"/>
    <w:rsid w:val="00B245FB"/>
    <w:rsid w:val="00B248F0"/>
    <w:rsid w:val="00B24C92"/>
    <w:rsid w:val="00B26A95"/>
    <w:rsid w:val="00B277DD"/>
    <w:rsid w:val="00B30323"/>
    <w:rsid w:val="00B311D8"/>
    <w:rsid w:val="00B31349"/>
    <w:rsid w:val="00B31ECF"/>
    <w:rsid w:val="00B321E2"/>
    <w:rsid w:val="00B324C0"/>
    <w:rsid w:val="00B3321B"/>
    <w:rsid w:val="00B35091"/>
    <w:rsid w:val="00B379EE"/>
    <w:rsid w:val="00B37AA9"/>
    <w:rsid w:val="00B40FB6"/>
    <w:rsid w:val="00B42D38"/>
    <w:rsid w:val="00B42DB7"/>
    <w:rsid w:val="00B43748"/>
    <w:rsid w:val="00B43E85"/>
    <w:rsid w:val="00B44E3D"/>
    <w:rsid w:val="00B45479"/>
    <w:rsid w:val="00B459FA"/>
    <w:rsid w:val="00B4644B"/>
    <w:rsid w:val="00B46F1A"/>
    <w:rsid w:val="00B475B3"/>
    <w:rsid w:val="00B47F55"/>
    <w:rsid w:val="00B5053E"/>
    <w:rsid w:val="00B51DBF"/>
    <w:rsid w:val="00B51DC0"/>
    <w:rsid w:val="00B51F95"/>
    <w:rsid w:val="00B52AE5"/>
    <w:rsid w:val="00B55E7E"/>
    <w:rsid w:val="00B564CF"/>
    <w:rsid w:val="00B61C46"/>
    <w:rsid w:val="00B61E87"/>
    <w:rsid w:val="00B62888"/>
    <w:rsid w:val="00B62F4A"/>
    <w:rsid w:val="00B6470C"/>
    <w:rsid w:val="00B65979"/>
    <w:rsid w:val="00B659B7"/>
    <w:rsid w:val="00B65DF0"/>
    <w:rsid w:val="00B65ED2"/>
    <w:rsid w:val="00B65F5B"/>
    <w:rsid w:val="00B66361"/>
    <w:rsid w:val="00B70527"/>
    <w:rsid w:val="00B707FF"/>
    <w:rsid w:val="00B709D2"/>
    <w:rsid w:val="00B70EF5"/>
    <w:rsid w:val="00B71F30"/>
    <w:rsid w:val="00B72210"/>
    <w:rsid w:val="00B72B50"/>
    <w:rsid w:val="00B73390"/>
    <w:rsid w:val="00B75440"/>
    <w:rsid w:val="00B75AAC"/>
    <w:rsid w:val="00B76E49"/>
    <w:rsid w:val="00B76EB0"/>
    <w:rsid w:val="00B77BC9"/>
    <w:rsid w:val="00B812B2"/>
    <w:rsid w:val="00B812D0"/>
    <w:rsid w:val="00B81403"/>
    <w:rsid w:val="00B81C19"/>
    <w:rsid w:val="00B8303F"/>
    <w:rsid w:val="00B836E1"/>
    <w:rsid w:val="00B8415E"/>
    <w:rsid w:val="00B86206"/>
    <w:rsid w:val="00B914F1"/>
    <w:rsid w:val="00B91562"/>
    <w:rsid w:val="00B928F4"/>
    <w:rsid w:val="00B92A7C"/>
    <w:rsid w:val="00B92E2D"/>
    <w:rsid w:val="00B9315C"/>
    <w:rsid w:val="00B937F5"/>
    <w:rsid w:val="00B93829"/>
    <w:rsid w:val="00B938B9"/>
    <w:rsid w:val="00B94F34"/>
    <w:rsid w:val="00B953C2"/>
    <w:rsid w:val="00B96555"/>
    <w:rsid w:val="00B9662B"/>
    <w:rsid w:val="00B966AA"/>
    <w:rsid w:val="00BA00C7"/>
    <w:rsid w:val="00BA1CC0"/>
    <w:rsid w:val="00BA1E45"/>
    <w:rsid w:val="00BA49A3"/>
    <w:rsid w:val="00BA49F4"/>
    <w:rsid w:val="00BA5294"/>
    <w:rsid w:val="00BA5329"/>
    <w:rsid w:val="00BA67A5"/>
    <w:rsid w:val="00BA6D5B"/>
    <w:rsid w:val="00BA7041"/>
    <w:rsid w:val="00BA7E91"/>
    <w:rsid w:val="00BB035B"/>
    <w:rsid w:val="00BB15BB"/>
    <w:rsid w:val="00BB1EF6"/>
    <w:rsid w:val="00BB4397"/>
    <w:rsid w:val="00BB4423"/>
    <w:rsid w:val="00BB5466"/>
    <w:rsid w:val="00BB5A07"/>
    <w:rsid w:val="00BB5E87"/>
    <w:rsid w:val="00BB68EE"/>
    <w:rsid w:val="00BB6922"/>
    <w:rsid w:val="00BB6972"/>
    <w:rsid w:val="00BB743F"/>
    <w:rsid w:val="00BB7736"/>
    <w:rsid w:val="00BC0176"/>
    <w:rsid w:val="00BC139A"/>
    <w:rsid w:val="00BC1A8C"/>
    <w:rsid w:val="00BC1BA0"/>
    <w:rsid w:val="00BC2A2B"/>
    <w:rsid w:val="00BC3C16"/>
    <w:rsid w:val="00BC3F75"/>
    <w:rsid w:val="00BC46B8"/>
    <w:rsid w:val="00BC6B94"/>
    <w:rsid w:val="00BC7509"/>
    <w:rsid w:val="00BC783C"/>
    <w:rsid w:val="00BC7B99"/>
    <w:rsid w:val="00BD0078"/>
    <w:rsid w:val="00BD0174"/>
    <w:rsid w:val="00BD1578"/>
    <w:rsid w:val="00BD22B9"/>
    <w:rsid w:val="00BD2A54"/>
    <w:rsid w:val="00BD2EA0"/>
    <w:rsid w:val="00BD3BA3"/>
    <w:rsid w:val="00BD4737"/>
    <w:rsid w:val="00BD4821"/>
    <w:rsid w:val="00BD50C8"/>
    <w:rsid w:val="00BD5102"/>
    <w:rsid w:val="00BD5EAA"/>
    <w:rsid w:val="00BD5FCE"/>
    <w:rsid w:val="00BD7102"/>
    <w:rsid w:val="00BE0349"/>
    <w:rsid w:val="00BE0B21"/>
    <w:rsid w:val="00BE1F89"/>
    <w:rsid w:val="00BE409F"/>
    <w:rsid w:val="00BE5861"/>
    <w:rsid w:val="00BE5E1D"/>
    <w:rsid w:val="00BE6189"/>
    <w:rsid w:val="00BE687B"/>
    <w:rsid w:val="00BE7464"/>
    <w:rsid w:val="00BF0993"/>
    <w:rsid w:val="00BF09A9"/>
    <w:rsid w:val="00BF0D35"/>
    <w:rsid w:val="00BF0D78"/>
    <w:rsid w:val="00BF233F"/>
    <w:rsid w:val="00BF34C9"/>
    <w:rsid w:val="00BF3552"/>
    <w:rsid w:val="00BF59E8"/>
    <w:rsid w:val="00BF637B"/>
    <w:rsid w:val="00BF69D0"/>
    <w:rsid w:val="00BF6AE7"/>
    <w:rsid w:val="00BF6C66"/>
    <w:rsid w:val="00C01A05"/>
    <w:rsid w:val="00C01E0A"/>
    <w:rsid w:val="00C02B00"/>
    <w:rsid w:val="00C02DAA"/>
    <w:rsid w:val="00C0387B"/>
    <w:rsid w:val="00C04302"/>
    <w:rsid w:val="00C04850"/>
    <w:rsid w:val="00C0541D"/>
    <w:rsid w:val="00C05B73"/>
    <w:rsid w:val="00C0645E"/>
    <w:rsid w:val="00C06B10"/>
    <w:rsid w:val="00C104A9"/>
    <w:rsid w:val="00C108FC"/>
    <w:rsid w:val="00C11235"/>
    <w:rsid w:val="00C1166E"/>
    <w:rsid w:val="00C11C57"/>
    <w:rsid w:val="00C12208"/>
    <w:rsid w:val="00C12646"/>
    <w:rsid w:val="00C12B71"/>
    <w:rsid w:val="00C12F17"/>
    <w:rsid w:val="00C1399C"/>
    <w:rsid w:val="00C149D2"/>
    <w:rsid w:val="00C14E45"/>
    <w:rsid w:val="00C152E0"/>
    <w:rsid w:val="00C16572"/>
    <w:rsid w:val="00C16C3C"/>
    <w:rsid w:val="00C17C0D"/>
    <w:rsid w:val="00C20C72"/>
    <w:rsid w:val="00C21529"/>
    <w:rsid w:val="00C22921"/>
    <w:rsid w:val="00C2336F"/>
    <w:rsid w:val="00C24D03"/>
    <w:rsid w:val="00C25AFA"/>
    <w:rsid w:val="00C26AC5"/>
    <w:rsid w:val="00C27023"/>
    <w:rsid w:val="00C2731D"/>
    <w:rsid w:val="00C310E4"/>
    <w:rsid w:val="00C31B7C"/>
    <w:rsid w:val="00C3266B"/>
    <w:rsid w:val="00C32B9A"/>
    <w:rsid w:val="00C32BB3"/>
    <w:rsid w:val="00C32C17"/>
    <w:rsid w:val="00C33FF2"/>
    <w:rsid w:val="00C35C71"/>
    <w:rsid w:val="00C35FAC"/>
    <w:rsid w:val="00C366ED"/>
    <w:rsid w:val="00C370FF"/>
    <w:rsid w:val="00C3740D"/>
    <w:rsid w:val="00C37E24"/>
    <w:rsid w:val="00C41053"/>
    <w:rsid w:val="00C41368"/>
    <w:rsid w:val="00C44C67"/>
    <w:rsid w:val="00C44DE1"/>
    <w:rsid w:val="00C4510E"/>
    <w:rsid w:val="00C45281"/>
    <w:rsid w:val="00C457BC"/>
    <w:rsid w:val="00C469AB"/>
    <w:rsid w:val="00C46A11"/>
    <w:rsid w:val="00C46BD2"/>
    <w:rsid w:val="00C47089"/>
    <w:rsid w:val="00C4782F"/>
    <w:rsid w:val="00C47B29"/>
    <w:rsid w:val="00C50128"/>
    <w:rsid w:val="00C5141A"/>
    <w:rsid w:val="00C51F4B"/>
    <w:rsid w:val="00C522BD"/>
    <w:rsid w:val="00C53117"/>
    <w:rsid w:val="00C538A2"/>
    <w:rsid w:val="00C538D1"/>
    <w:rsid w:val="00C55DD1"/>
    <w:rsid w:val="00C5611B"/>
    <w:rsid w:val="00C56700"/>
    <w:rsid w:val="00C56A98"/>
    <w:rsid w:val="00C56B08"/>
    <w:rsid w:val="00C57527"/>
    <w:rsid w:val="00C57F62"/>
    <w:rsid w:val="00C57F7F"/>
    <w:rsid w:val="00C60374"/>
    <w:rsid w:val="00C603C3"/>
    <w:rsid w:val="00C62133"/>
    <w:rsid w:val="00C62F04"/>
    <w:rsid w:val="00C63A0F"/>
    <w:rsid w:val="00C63E30"/>
    <w:rsid w:val="00C6465E"/>
    <w:rsid w:val="00C648A5"/>
    <w:rsid w:val="00C650D9"/>
    <w:rsid w:val="00C65553"/>
    <w:rsid w:val="00C65CB5"/>
    <w:rsid w:val="00C66362"/>
    <w:rsid w:val="00C66995"/>
    <w:rsid w:val="00C67297"/>
    <w:rsid w:val="00C672AA"/>
    <w:rsid w:val="00C715E6"/>
    <w:rsid w:val="00C716E2"/>
    <w:rsid w:val="00C71D79"/>
    <w:rsid w:val="00C730F4"/>
    <w:rsid w:val="00C73197"/>
    <w:rsid w:val="00C73770"/>
    <w:rsid w:val="00C74397"/>
    <w:rsid w:val="00C7465B"/>
    <w:rsid w:val="00C751E1"/>
    <w:rsid w:val="00C75A17"/>
    <w:rsid w:val="00C760CC"/>
    <w:rsid w:val="00C762EF"/>
    <w:rsid w:val="00C7639E"/>
    <w:rsid w:val="00C76D12"/>
    <w:rsid w:val="00C8163A"/>
    <w:rsid w:val="00C82CCE"/>
    <w:rsid w:val="00C8315B"/>
    <w:rsid w:val="00C840E9"/>
    <w:rsid w:val="00C84B0B"/>
    <w:rsid w:val="00C85C4A"/>
    <w:rsid w:val="00C86123"/>
    <w:rsid w:val="00C8614A"/>
    <w:rsid w:val="00C8677E"/>
    <w:rsid w:val="00C867AA"/>
    <w:rsid w:val="00C87652"/>
    <w:rsid w:val="00C8798A"/>
    <w:rsid w:val="00C9063E"/>
    <w:rsid w:val="00C91093"/>
    <w:rsid w:val="00C92350"/>
    <w:rsid w:val="00C92899"/>
    <w:rsid w:val="00C92B08"/>
    <w:rsid w:val="00C92DEC"/>
    <w:rsid w:val="00C938F7"/>
    <w:rsid w:val="00C93B4D"/>
    <w:rsid w:val="00C94B97"/>
    <w:rsid w:val="00C9586A"/>
    <w:rsid w:val="00C97235"/>
    <w:rsid w:val="00CA0177"/>
    <w:rsid w:val="00CA127C"/>
    <w:rsid w:val="00CA1D24"/>
    <w:rsid w:val="00CA2C7C"/>
    <w:rsid w:val="00CA36A5"/>
    <w:rsid w:val="00CA389C"/>
    <w:rsid w:val="00CA3A9D"/>
    <w:rsid w:val="00CA3D8A"/>
    <w:rsid w:val="00CA4199"/>
    <w:rsid w:val="00CA53ED"/>
    <w:rsid w:val="00CA56C9"/>
    <w:rsid w:val="00CA620F"/>
    <w:rsid w:val="00CA7A15"/>
    <w:rsid w:val="00CA7DEC"/>
    <w:rsid w:val="00CB06CA"/>
    <w:rsid w:val="00CB1A5F"/>
    <w:rsid w:val="00CB376C"/>
    <w:rsid w:val="00CB4388"/>
    <w:rsid w:val="00CB4E59"/>
    <w:rsid w:val="00CB6490"/>
    <w:rsid w:val="00CB70B1"/>
    <w:rsid w:val="00CC0BDD"/>
    <w:rsid w:val="00CC169B"/>
    <w:rsid w:val="00CC1E0D"/>
    <w:rsid w:val="00CC24C4"/>
    <w:rsid w:val="00CC3609"/>
    <w:rsid w:val="00CC3B63"/>
    <w:rsid w:val="00CC42ED"/>
    <w:rsid w:val="00CC4637"/>
    <w:rsid w:val="00CC4E77"/>
    <w:rsid w:val="00CC515F"/>
    <w:rsid w:val="00CC5E64"/>
    <w:rsid w:val="00CC6271"/>
    <w:rsid w:val="00CC7C48"/>
    <w:rsid w:val="00CD0593"/>
    <w:rsid w:val="00CD1DEB"/>
    <w:rsid w:val="00CD3280"/>
    <w:rsid w:val="00CD3463"/>
    <w:rsid w:val="00CD5513"/>
    <w:rsid w:val="00CD7A8B"/>
    <w:rsid w:val="00CE0146"/>
    <w:rsid w:val="00CE1552"/>
    <w:rsid w:val="00CE16E9"/>
    <w:rsid w:val="00CE31D1"/>
    <w:rsid w:val="00CE42C7"/>
    <w:rsid w:val="00CE44DD"/>
    <w:rsid w:val="00CE53EC"/>
    <w:rsid w:val="00CE5949"/>
    <w:rsid w:val="00CE783F"/>
    <w:rsid w:val="00CF0571"/>
    <w:rsid w:val="00CF0725"/>
    <w:rsid w:val="00CF0973"/>
    <w:rsid w:val="00CF0D3D"/>
    <w:rsid w:val="00CF14CF"/>
    <w:rsid w:val="00CF1843"/>
    <w:rsid w:val="00CF2580"/>
    <w:rsid w:val="00CF3670"/>
    <w:rsid w:val="00CF42C0"/>
    <w:rsid w:val="00CF4AA0"/>
    <w:rsid w:val="00CF52EE"/>
    <w:rsid w:val="00CF6068"/>
    <w:rsid w:val="00CF6F0A"/>
    <w:rsid w:val="00D00BDE"/>
    <w:rsid w:val="00D012BB"/>
    <w:rsid w:val="00D0144B"/>
    <w:rsid w:val="00D02180"/>
    <w:rsid w:val="00D04D74"/>
    <w:rsid w:val="00D05A38"/>
    <w:rsid w:val="00D05A7B"/>
    <w:rsid w:val="00D05BA1"/>
    <w:rsid w:val="00D07A45"/>
    <w:rsid w:val="00D1094F"/>
    <w:rsid w:val="00D10D6A"/>
    <w:rsid w:val="00D11428"/>
    <w:rsid w:val="00D138FE"/>
    <w:rsid w:val="00D13FEE"/>
    <w:rsid w:val="00D143D6"/>
    <w:rsid w:val="00D15274"/>
    <w:rsid w:val="00D153CE"/>
    <w:rsid w:val="00D15410"/>
    <w:rsid w:val="00D1558A"/>
    <w:rsid w:val="00D15A9A"/>
    <w:rsid w:val="00D15F51"/>
    <w:rsid w:val="00D16831"/>
    <w:rsid w:val="00D16AD6"/>
    <w:rsid w:val="00D17582"/>
    <w:rsid w:val="00D17882"/>
    <w:rsid w:val="00D178F0"/>
    <w:rsid w:val="00D17B65"/>
    <w:rsid w:val="00D20983"/>
    <w:rsid w:val="00D210C6"/>
    <w:rsid w:val="00D21150"/>
    <w:rsid w:val="00D213E5"/>
    <w:rsid w:val="00D22A7C"/>
    <w:rsid w:val="00D22FCD"/>
    <w:rsid w:val="00D23A6F"/>
    <w:rsid w:val="00D24840"/>
    <w:rsid w:val="00D26B1D"/>
    <w:rsid w:val="00D273A4"/>
    <w:rsid w:val="00D277F5"/>
    <w:rsid w:val="00D30194"/>
    <w:rsid w:val="00D30FD2"/>
    <w:rsid w:val="00D314A7"/>
    <w:rsid w:val="00D316FC"/>
    <w:rsid w:val="00D31FD6"/>
    <w:rsid w:val="00D322AE"/>
    <w:rsid w:val="00D32886"/>
    <w:rsid w:val="00D32A6B"/>
    <w:rsid w:val="00D3357A"/>
    <w:rsid w:val="00D335D0"/>
    <w:rsid w:val="00D33B45"/>
    <w:rsid w:val="00D34014"/>
    <w:rsid w:val="00D34814"/>
    <w:rsid w:val="00D350D9"/>
    <w:rsid w:val="00D35B10"/>
    <w:rsid w:val="00D35B56"/>
    <w:rsid w:val="00D36869"/>
    <w:rsid w:val="00D3693E"/>
    <w:rsid w:val="00D37592"/>
    <w:rsid w:val="00D37BA0"/>
    <w:rsid w:val="00D4086B"/>
    <w:rsid w:val="00D40882"/>
    <w:rsid w:val="00D40A91"/>
    <w:rsid w:val="00D40AD4"/>
    <w:rsid w:val="00D416E9"/>
    <w:rsid w:val="00D41D70"/>
    <w:rsid w:val="00D420BB"/>
    <w:rsid w:val="00D4231D"/>
    <w:rsid w:val="00D4293C"/>
    <w:rsid w:val="00D42B1B"/>
    <w:rsid w:val="00D434B3"/>
    <w:rsid w:val="00D437C1"/>
    <w:rsid w:val="00D4427C"/>
    <w:rsid w:val="00D44F9A"/>
    <w:rsid w:val="00D45425"/>
    <w:rsid w:val="00D45A9F"/>
    <w:rsid w:val="00D45EA6"/>
    <w:rsid w:val="00D45F98"/>
    <w:rsid w:val="00D464BD"/>
    <w:rsid w:val="00D47B2F"/>
    <w:rsid w:val="00D5072E"/>
    <w:rsid w:val="00D50B86"/>
    <w:rsid w:val="00D5156D"/>
    <w:rsid w:val="00D515EB"/>
    <w:rsid w:val="00D518C5"/>
    <w:rsid w:val="00D51F12"/>
    <w:rsid w:val="00D522D3"/>
    <w:rsid w:val="00D53034"/>
    <w:rsid w:val="00D5324C"/>
    <w:rsid w:val="00D53555"/>
    <w:rsid w:val="00D537BE"/>
    <w:rsid w:val="00D53A16"/>
    <w:rsid w:val="00D5403A"/>
    <w:rsid w:val="00D540A7"/>
    <w:rsid w:val="00D5437D"/>
    <w:rsid w:val="00D54F27"/>
    <w:rsid w:val="00D54F9A"/>
    <w:rsid w:val="00D55218"/>
    <w:rsid w:val="00D55DCD"/>
    <w:rsid w:val="00D565BC"/>
    <w:rsid w:val="00D569D1"/>
    <w:rsid w:val="00D57D82"/>
    <w:rsid w:val="00D60BEC"/>
    <w:rsid w:val="00D614EC"/>
    <w:rsid w:val="00D63A90"/>
    <w:rsid w:val="00D642C4"/>
    <w:rsid w:val="00D647F3"/>
    <w:rsid w:val="00D64FFC"/>
    <w:rsid w:val="00D65BCC"/>
    <w:rsid w:val="00D65CB0"/>
    <w:rsid w:val="00D6657A"/>
    <w:rsid w:val="00D67285"/>
    <w:rsid w:val="00D6793F"/>
    <w:rsid w:val="00D702EF"/>
    <w:rsid w:val="00D720D8"/>
    <w:rsid w:val="00D72EEE"/>
    <w:rsid w:val="00D734F0"/>
    <w:rsid w:val="00D73E99"/>
    <w:rsid w:val="00D740B8"/>
    <w:rsid w:val="00D7427E"/>
    <w:rsid w:val="00D746AE"/>
    <w:rsid w:val="00D75B1F"/>
    <w:rsid w:val="00D771AB"/>
    <w:rsid w:val="00D77456"/>
    <w:rsid w:val="00D81605"/>
    <w:rsid w:val="00D81940"/>
    <w:rsid w:val="00D82ABB"/>
    <w:rsid w:val="00D83731"/>
    <w:rsid w:val="00D83EEF"/>
    <w:rsid w:val="00D8440D"/>
    <w:rsid w:val="00D857B6"/>
    <w:rsid w:val="00D85941"/>
    <w:rsid w:val="00D85947"/>
    <w:rsid w:val="00D8661A"/>
    <w:rsid w:val="00D86E37"/>
    <w:rsid w:val="00D87583"/>
    <w:rsid w:val="00D87DF5"/>
    <w:rsid w:val="00D90E86"/>
    <w:rsid w:val="00D91547"/>
    <w:rsid w:val="00D9158C"/>
    <w:rsid w:val="00D919B2"/>
    <w:rsid w:val="00D91ED7"/>
    <w:rsid w:val="00D92568"/>
    <w:rsid w:val="00D9320D"/>
    <w:rsid w:val="00D93305"/>
    <w:rsid w:val="00D93B34"/>
    <w:rsid w:val="00D93EEC"/>
    <w:rsid w:val="00D94C99"/>
    <w:rsid w:val="00D95428"/>
    <w:rsid w:val="00D95532"/>
    <w:rsid w:val="00D9601B"/>
    <w:rsid w:val="00D96937"/>
    <w:rsid w:val="00D96C71"/>
    <w:rsid w:val="00DA099F"/>
    <w:rsid w:val="00DA1982"/>
    <w:rsid w:val="00DA22B9"/>
    <w:rsid w:val="00DA2D1F"/>
    <w:rsid w:val="00DA3512"/>
    <w:rsid w:val="00DA3890"/>
    <w:rsid w:val="00DA3966"/>
    <w:rsid w:val="00DA3A98"/>
    <w:rsid w:val="00DA41E9"/>
    <w:rsid w:val="00DA426E"/>
    <w:rsid w:val="00DA43BA"/>
    <w:rsid w:val="00DA4837"/>
    <w:rsid w:val="00DA6098"/>
    <w:rsid w:val="00DA6099"/>
    <w:rsid w:val="00DA64B4"/>
    <w:rsid w:val="00DA667B"/>
    <w:rsid w:val="00DA7468"/>
    <w:rsid w:val="00DA7CF7"/>
    <w:rsid w:val="00DA7DE4"/>
    <w:rsid w:val="00DB1C78"/>
    <w:rsid w:val="00DB29D7"/>
    <w:rsid w:val="00DB2B08"/>
    <w:rsid w:val="00DB4C83"/>
    <w:rsid w:val="00DB4D51"/>
    <w:rsid w:val="00DB4FF5"/>
    <w:rsid w:val="00DB5560"/>
    <w:rsid w:val="00DB5D4D"/>
    <w:rsid w:val="00DB6088"/>
    <w:rsid w:val="00DB6C37"/>
    <w:rsid w:val="00DC0895"/>
    <w:rsid w:val="00DC0BBE"/>
    <w:rsid w:val="00DC2C9F"/>
    <w:rsid w:val="00DC2E82"/>
    <w:rsid w:val="00DC33DC"/>
    <w:rsid w:val="00DC3978"/>
    <w:rsid w:val="00DC3EAC"/>
    <w:rsid w:val="00DC3F76"/>
    <w:rsid w:val="00DC5715"/>
    <w:rsid w:val="00DC6786"/>
    <w:rsid w:val="00DC7961"/>
    <w:rsid w:val="00DD068E"/>
    <w:rsid w:val="00DD134F"/>
    <w:rsid w:val="00DD2789"/>
    <w:rsid w:val="00DD2FFD"/>
    <w:rsid w:val="00DD4409"/>
    <w:rsid w:val="00DD59B9"/>
    <w:rsid w:val="00DD5E83"/>
    <w:rsid w:val="00DE02DE"/>
    <w:rsid w:val="00DE15A9"/>
    <w:rsid w:val="00DE1CD8"/>
    <w:rsid w:val="00DE20AF"/>
    <w:rsid w:val="00DE2CB3"/>
    <w:rsid w:val="00DE2EB0"/>
    <w:rsid w:val="00DE2F3B"/>
    <w:rsid w:val="00DE43F1"/>
    <w:rsid w:val="00DE4F06"/>
    <w:rsid w:val="00DE5C1C"/>
    <w:rsid w:val="00DE5E4D"/>
    <w:rsid w:val="00DE6288"/>
    <w:rsid w:val="00DE6F5E"/>
    <w:rsid w:val="00DE7040"/>
    <w:rsid w:val="00DE7BA1"/>
    <w:rsid w:val="00DE7DA8"/>
    <w:rsid w:val="00DF20BB"/>
    <w:rsid w:val="00DF2C94"/>
    <w:rsid w:val="00DF33A6"/>
    <w:rsid w:val="00DF4B08"/>
    <w:rsid w:val="00DF4E43"/>
    <w:rsid w:val="00DF5BE0"/>
    <w:rsid w:val="00DF5E1D"/>
    <w:rsid w:val="00DF692A"/>
    <w:rsid w:val="00DF6DC7"/>
    <w:rsid w:val="00DF726E"/>
    <w:rsid w:val="00DF77FB"/>
    <w:rsid w:val="00DF7A55"/>
    <w:rsid w:val="00DF7D0A"/>
    <w:rsid w:val="00E002F5"/>
    <w:rsid w:val="00E00AC3"/>
    <w:rsid w:val="00E0241A"/>
    <w:rsid w:val="00E02DB0"/>
    <w:rsid w:val="00E0408F"/>
    <w:rsid w:val="00E0433F"/>
    <w:rsid w:val="00E04C6C"/>
    <w:rsid w:val="00E04DA7"/>
    <w:rsid w:val="00E05407"/>
    <w:rsid w:val="00E05807"/>
    <w:rsid w:val="00E0677F"/>
    <w:rsid w:val="00E079CA"/>
    <w:rsid w:val="00E11279"/>
    <w:rsid w:val="00E13E98"/>
    <w:rsid w:val="00E13F65"/>
    <w:rsid w:val="00E13FC7"/>
    <w:rsid w:val="00E142BA"/>
    <w:rsid w:val="00E1459C"/>
    <w:rsid w:val="00E151F5"/>
    <w:rsid w:val="00E15F49"/>
    <w:rsid w:val="00E16436"/>
    <w:rsid w:val="00E16CFA"/>
    <w:rsid w:val="00E175E3"/>
    <w:rsid w:val="00E21B8D"/>
    <w:rsid w:val="00E21D47"/>
    <w:rsid w:val="00E228EE"/>
    <w:rsid w:val="00E22990"/>
    <w:rsid w:val="00E231A9"/>
    <w:rsid w:val="00E23E5D"/>
    <w:rsid w:val="00E246D4"/>
    <w:rsid w:val="00E253CA"/>
    <w:rsid w:val="00E25633"/>
    <w:rsid w:val="00E27081"/>
    <w:rsid w:val="00E27622"/>
    <w:rsid w:val="00E30C35"/>
    <w:rsid w:val="00E316B5"/>
    <w:rsid w:val="00E31C80"/>
    <w:rsid w:val="00E31FE2"/>
    <w:rsid w:val="00E3228F"/>
    <w:rsid w:val="00E32360"/>
    <w:rsid w:val="00E3244B"/>
    <w:rsid w:val="00E326B7"/>
    <w:rsid w:val="00E3286B"/>
    <w:rsid w:val="00E332B2"/>
    <w:rsid w:val="00E34462"/>
    <w:rsid w:val="00E34DC6"/>
    <w:rsid w:val="00E34F06"/>
    <w:rsid w:val="00E350C3"/>
    <w:rsid w:val="00E35559"/>
    <w:rsid w:val="00E35AFE"/>
    <w:rsid w:val="00E35B62"/>
    <w:rsid w:val="00E35FD7"/>
    <w:rsid w:val="00E36096"/>
    <w:rsid w:val="00E36B5C"/>
    <w:rsid w:val="00E36ED7"/>
    <w:rsid w:val="00E37D9A"/>
    <w:rsid w:val="00E40F26"/>
    <w:rsid w:val="00E41903"/>
    <w:rsid w:val="00E41AC7"/>
    <w:rsid w:val="00E420BB"/>
    <w:rsid w:val="00E4223D"/>
    <w:rsid w:val="00E426E6"/>
    <w:rsid w:val="00E433D8"/>
    <w:rsid w:val="00E437D8"/>
    <w:rsid w:val="00E44163"/>
    <w:rsid w:val="00E44201"/>
    <w:rsid w:val="00E450B4"/>
    <w:rsid w:val="00E46EA4"/>
    <w:rsid w:val="00E47003"/>
    <w:rsid w:val="00E5038E"/>
    <w:rsid w:val="00E512FD"/>
    <w:rsid w:val="00E51637"/>
    <w:rsid w:val="00E51B1C"/>
    <w:rsid w:val="00E52448"/>
    <w:rsid w:val="00E5256E"/>
    <w:rsid w:val="00E54599"/>
    <w:rsid w:val="00E54B35"/>
    <w:rsid w:val="00E55AC3"/>
    <w:rsid w:val="00E55FEB"/>
    <w:rsid w:val="00E56659"/>
    <w:rsid w:val="00E575A4"/>
    <w:rsid w:val="00E576FF"/>
    <w:rsid w:val="00E61182"/>
    <w:rsid w:val="00E61824"/>
    <w:rsid w:val="00E624A8"/>
    <w:rsid w:val="00E645A0"/>
    <w:rsid w:val="00E65B74"/>
    <w:rsid w:val="00E66BB1"/>
    <w:rsid w:val="00E66CA8"/>
    <w:rsid w:val="00E6754B"/>
    <w:rsid w:val="00E7005B"/>
    <w:rsid w:val="00E7016F"/>
    <w:rsid w:val="00E70ECA"/>
    <w:rsid w:val="00E72792"/>
    <w:rsid w:val="00E734B7"/>
    <w:rsid w:val="00E73D32"/>
    <w:rsid w:val="00E7408F"/>
    <w:rsid w:val="00E7431F"/>
    <w:rsid w:val="00E74CE3"/>
    <w:rsid w:val="00E75BDC"/>
    <w:rsid w:val="00E75EA4"/>
    <w:rsid w:val="00E75FE1"/>
    <w:rsid w:val="00E76C91"/>
    <w:rsid w:val="00E7722E"/>
    <w:rsid w:val="00E8155B"/>
    <w:rsid w:val="00E81B5D"/>
    <w:rsid w:val="00E81BDE"/>
    <w:rsid w:val="00E8266B"/>
    <w:rsid w:val="00E8296E"/>
    <w:rsid w:val="00E83177"/>
    <w:rsid w:val="00E83230"/>
    <w:rsid w:val="00E83360"/>
    <w:rsid w:val="00E837F2"/>
    <w:rsid w:val="00E83890"/>
    <w:rsid w:val="00E83A0C"/>
    <w:rsid w:val="00E84DAC"/>
    <w:rsid w:val="00E84E3D"/>
    <w:rsid w:val="00E86C2E"/>
    <w:rsid w:val="00E87CAE"/>
    <w:rsid w:val="00E87D10"/>
    <w:rsid w:val="00E9005B"/>
    <w:rsid w:val="00E90169"/>
    <w:rsid w:val="00E90B7A"/>
    <w:rsid w:val="00E93852"/>
    <w:rsid w:val="00E93CEF"/>
    <w:rsid w:val="00E93E5F"/>
    <w:rsid w:val="00E94B0E"/>
    <w:rsid w:val="00E958E9"/>
    <w:rsid w:val="00E97564"/>
    <w:rsid w:val="00EA020E"/>
    <w:rsid w:val="00EA1389"/>
    <w:rsid w:val="00EA13DB"/>
    <w:rsid w:val="00EA23A9"/>
    <w:rsid w:val="00EA2417"/>
    <w:rsid w:val="00EA261A"/>
    <w:rsid w:val="00EA29CE"/>
    <w:rsid w:val="00EA3224"/>
    <w:rsid w:val="00EA359B"/>
    <w:rsid w:val="00EA40D3"/>
    <w:rsid w:val="00EA47A8"/>
    <w:rsid w:val="00EA5052"/>
    <w:rsid w:val="00EA5EB5"/>
    <w:rsid w:val="00EA6662"/>
    <w:rsid w:val="00EA71FA"/>
    <w:rsid w:val="00EA7A66"/>
    <w:rsid w:val="00EB0830"/>
    <w:rsid w:val="00EB281A"/>
    <w:rsid w:val="00EB2ECE"/>
    <w:rsid w:val="00EB3808"/>
    <w:rsid w:val="00EB3895"/>
    <w:rsid w:val="00EB3E8F"/>
    <w:rsid w:val="00EB4339"/>
    <w:rsid w:val="00EB4D6B"/>
    <w:rsid w:val="00EB5053"/>
    <w:rsid w:val="00EB60EE"/>
    <w:rsid w:val="00EB6A3C"/>
    <w:rsid w:val="00EB75E0"/>
    <w:rsid w:val="00EB79CB"/>
    <w:rsid w:val="00EC16A7"/>
    <w:rsid w:val="00EC190D"/>
    <w:rsid w:val="00EC2A00"/>
    <w:rsid w:val="00EC2CC3"/>
    <w:rsid w:val="00EC32C9"/>
    <w:rsid w:val="00EC3F33"/>
    <w:rsid w:val="00EC45D9"/>
    <w:rsid w:val="00EC4BC0"/>
    <w:rsid w:val="00EC53B9"/>
    <w:rsid w:val="00EC53F4"/>
    <w:rsid w:val="00EC5F38"/>
    <w:rsid w:val="00EC712A"/>
    <w:rsid w:val="00EC7569"/>
    <w:rsid w:val="00EC75FE"/>
    <w:rsid w:val="00EC7F36"/>
    <w:rsid w:val="00ED03D1"/>
    <w:rsid w:val="00ED06AC"/>
    <w:rsid w:val="00ED1A38"/>
    <w:rsid w:val="00ED25A7"/>
    <w:rsid w:val="00ED3C62"/>
    <w:rsid w:val="00ED51EA"/>
    <w:rsid w:val="00ED5226"/>
    <w:rsid w:val="00ED5F99"/>
    <w:rsid w:val="00ED777C"/>
    <w:rsid w:val="00ED7C43"/>
    <w:rsid w:val="00EE1340"/>
    <w:rsid w:val="00EE1C49"/>
    <w:rsid w:val="00EE248D"/>
    <w:rsid w:val="00EE26B0"/>
    <w:rsid w:val="00EE26D1"/>
    <w:rsid w:val="00EE31D6"/>
    <w:rsid w:val="00EE33C4"/>
    <w:rsid w:val="00EE3826"/>
    <w:rsid w:val="00EE45F1"/>
    <w:rsid w:val="00EE4CF0"/>
    <w:rsid w:val="00EE71F4"/>
    <w:rsid w:val="00EE7576"/>
    <w:rsid w:val="00EE76FC"/>
    <w:rsid w:val="00EF064F"/>
    <w:rsid w:val="00EF1709"/>
    <w:rsid w:val="00EF1A53"/>
    <w:rsid w:val="00EF1D49"/>
    <w:rsid w:val="00EF258F"/>
    <w:rsid w:val="00EF2D48"/>
    <w:rsid w:val="00EF4966"/>
    <w:rsid w:val="00EF5044"/>
    <w:rsid w:val="00EF6516"/>
    <w:rsid w:val="00EF72EF"/>
    <w:rsid w:val="00EF7A2B"/>
    <w:rsid w:val="00F001F0"/>
    <w:rsid w:val="00F00233"/>
    <w:rsid w:val="00F003C4"/>
    <w:rsid w:val="00F00538"/>
    <w:rsid w:val="00F00913"/>
    <w:rsid w:val="00F00C6E"/>
    <w:rsid w:val="00F0281A"/>
    <w:rsid w:val="00F03376"/>
    <w:rsid w:val="00F03CFB"/>
    <w:rsid w:val="00F03ED0"/>
    <w:rsid w:val="00F03F44"/>
    <w:rsid w:val="00F04201"/>
    <w:rsid w:val="00F0424F"/>
    <w:rsid w:val="00F04F89"/>
    <w:rsid w:val="00F054C6"/>
    <w:rsid w:val="00F063FD"/>
    <w:rsid w:val="00F064B0"/>
    <w:rsid w:val="00F06CBB"/>
    <w:rsid w:val="00F06E3F"/>
    <w:rsid w:val="00F10AB1"/>
    <w:rsid w:val="00F1111A"/>
    <w:rsid w:val="00F11261"/>
    <w:rsid w:val="00F11B84"/>
    <w:rsid w:val="00F124D2"/>
    <w:rsid w:val="00F13263"/>
    <w:rsid w:val="00F13756"/>
    <w:rsid w:val="00F143F6"/>
    <w:rsid w:val="00F15196"/>
    <w:rsid w:val="00F16755"/>
    <w:rsid w:val="00F176F7"/>
    <w:rsid w:val="00F2092E"/>
    <w:rsid w:val="00F20B12"/>
    <w:rsid w:val="00F20B69"/>
    <w:rsid w:val="00F20D49"/>
    <w:rsid w:val="00F2163D"/>
    <w:rsid w:val="00F21A1B"/>
    <w:rsid w:val="00F227B7"/>
    <w:rsid w:val="00F238DE"/>
    <w:rsid w:val="00F262BA"/>
    <w:rsid w:val="00F307B6"/>
    <w:rsid w:val="00F33944"/>
    <w:rsid w:val="00F33C52"/>
    <w:rsid w:val="00F3421E"/>
    <w:rsid w:val="00F34235"/>
    <w:rsid w:val="00F3430C"/>
    <w:rsid w:val="00F344F4"/>
    <w:rsid w:val="00F3599F"/>
    <w:rsid w:val="00F36D72"/>
    <w:rsid w:val="00F3775A"/>
    <w:rsid w:val="00F3792C"/>
    <w:rsid w:val="00F37B17"/>
    <w:rsid w:val="00F40407"/>
    <w:rsid w:val="00F4050D"/>
    <w:rsid w:val="00F40B3D"/>
    <w:rsid w:val="00F41EA0"/>
    <w:rsid w:val="00F43E02"/>
    <w:rsid w:val="00F44241"/>
    <w:rsid w:val="00F45F57"/>
    <w:rsid w:val="00F463C9"/>
    <w:rsid w:val="00F46C93"/>
    <w:rsid w:val="00F46D7F"/>
    <w:rsid w:val="00F47007"/>
    <w:rsid w:val="00F522B5"/>
    <w:rsid w:val="00F52ADE"/>
    <w:rsid w:val="00F52DB3"/>
    <w:rsid w:val="00F52DC7"/>
    <w:rsid w:val="00F53199"/>
    <w:rsid w:val="00F53C28"/>
    <w:rsid w:val="00F549E0"/>
    <w:rsid w:val="00F5532A"/>
    <w:rsid w:val="00F55687"/>
    <w:rsid w:val="00F561BF"/>
    <w:rsid w:val="00F574CA"/>
    <w:rsid w:val="00F57AEF"/>
    <w:rsid w:val="00F57E3A"/>
    <w:rsid w:val="00F6112C"/>
    <w:rsid w:val="00F62D3A"/>
    <w:rsid w:val="00F62FD1"/>
    <w:rsid w:val="00F638F6"/>
    <w:rsid w:val="00F639FC"/>
    <w:rsid w:val="00F63AE5"/>
    <w:rsid w:val="00F63D2B"/>
    <w:rsid w:val="00F63E2A"/>
    <w:rsid w:val="00F64A63"/>
    <w:rsid w:val="00F64D70"/>
    <w:rsid w:val="00F64EE4"/>
    <w:rsid w:val="00F64F34"/>
    <w:rsid w:val="00F6577C"/>
    <w:rsid w:val="00F65929"/>
    <w:rsid w:val="00F659A8"/>
    <w:rsid w:val="00F65ED5"/>
    <w:rsid w:val="00F66BB3"/>
    <w:rsid w:val="00F66F2C"/>
    <w:rsid w:val="00F67BB5"/>
    <w:rsid w:val="00F70251"/>
    <w:rsid w:val="00F71230"/>
    <w:rsid w:val="00F715D0"/>
    <w:rsid w:val="00F71684"/>
    <w:rsid w:val="00F71BED"/>
    <w:rsid w:val="00F71C0E"/>
    <w:rsid w:val="00F71F82"/>
    <w:rsid w:val="00F726AF"/>
    <w:rsid w:val="00F72DD8"/>
    <w:rsid w:val="00F732DC"/>
    <w:rsid w:val="00F73558"/>
    <w:rsid w:val="00F738F0"/>
    <w:rsid w:val="00F74956"/>
    <w:rsid w:val="00F7528D"/>
    <w:rsid w:val="00F756B0"/>
    <w:rsid w:val="00F759B4"/>
    <w:rsid w:val="00F75AE4"/>
    <w:rsid w:val="00F75EB6"/>
    <w:rsid w:val="00F76507"/>
    <w:rsid w:val="00F7734F"/>
    <w:rsid w:val="00F779A9"/>
    <w:rsid w:val="00F77D38"/>
    <w:rsid w:val="00F77EDE"/>
    <w:rsid w:val="00F81D98"/>
    <w:rsid w:val="00F81F3A"/>
    <w:rsid w:val="00F8237E"/>
    <w:rsid w:val="00F82E1C"/>
    <w:rsid w:val="00F83ED9"/>
    <w:rsid w:val="00F8465F"/>
    <w:rsid w:val="00F8529D"/>
    <w:rsid w:val="00F858CD"/>
    <w:rsid w:val="00F864E1"/>
    <w:rsid w:val="00F86C54"/>
    <w:rsid w:val="00F86DB3"/>
    <w:rsid w:val="00F87774"/>
    <w:rsid w:val="00F87F33"/>
    <w:rsid w:val="00F909C4"/>
    <w:rsid w:val="00F90A1E"/>
    <w:rsid w:val="00F90D35"/>
    <w:rsid w:val="00F91C90"/>
    <w:rsid w:val="00F91DCD"/>
    <w:rsid w:val="00F91E02"/>
    <w:rsid w:val="00F93CBA"/>
    <w:rsid w:val="00F94FD4"/>
    <w:rsid w:val="00F96461"/>
    <w:rsid w:val="00F96E0E"/>
    <w:rsid w:val="00F96FD3"/>
    <w:rsid w:val="00F972DD"/>
    <w:rsid w:val="00F97A0E"/>
    <w:rsid w:val="00FA0343"/>
    <w:rsid w:val="00FA0DB8"/>
    <w:rsid w:val="00FA3DC8"/>
    <w:rsid w:val="00FA40FE"/>
    <w:rsid w:val="00FA44CD"/>
    <w:rsid w:val="00FA4524"/>
    <w:rsid w:val="00FA591C"/>
    <w:rsid w:val="00FA690C"/>
    <w:rsid w:val="00FA6E72"/>
    <w:rsid w:val="00FA7482"/>
    <w:rsid w:val="00FA7FE5"/>
    <w:rsid w:val="00FB2520"/>
    <w:rsid w:val="00FB2994"/>
    <w:rsid w:val="00FB2F4C"/>
    <w:rsid w:val="00FB45B3"/>
    <w:rsid w:val="00FB58AC"/>
    <w:rsid w:val="00FB5A4A"/>
    <w:rsid w:val="00FC0419"/>
    <w:rsid w:val="00FC1BC0"/>
    <w:rsid w:val="00FC2EF3"/>
    <w:rsid w:val="00FC3905"/>
    <w:rsid w:val="00FC5493"/>
    <w:rsid w:val="00FC61B9"/>
    <w:rsid w:val="00FC66B4"/>
    <w:rsid w:val="00FC722D"/>
    <w:rsid w:val="00FC7837"/>
    <w:rsid w:val="00FC783B"/>
    <w:rsid w:val="00FC7CC1"/>
    <w:rsid w:val="00FD1C43"/>
    <w:rsid w:val="00FD356A"/>
    <w:rsid w:val="00FD3CEE"/>
    <w:rsid w:val="00FD4144"/>
    <w:rsid w:val="00FD4619"/>
    <w:rsid w:val="00FD4AF2"/>
    <w:rsid w:val="00FD5A21"/>
    <w:rsid w:val="00FD5A60"/>
    <w:rsid w:val="00FD62B2"/>
    <w:rsid w:val="00FD73DA"/>
    <w:rsid w:val="00FD792C"/>
    <w:rsid w:val="00FD7C70"/>
    <w:rsid w:val="00FE00F4"/>
    <w:rsid w:val="00FE1904"/>
    <w:rsid w:val="00FE1B39"/>
    <w:rsid w:val="00FE22BB"/>
    <w:rsid w:val="00FE2D27"/>
    <w:rsid w:val="00FE2DDF"/>
    <w:rsid w:val="00FE31D5"/>
    <w:rsid w:val="00FE4785"/>
    <w:rsid w:val="00FE58E2"/>
    <w:rsid w:val="00FE6FEC"/>
    <w:rsid w:val="00FE7728"/>
    <w:rsid w:val="00FF000C"/>
    <w:rsid w:val="00FF069F"/>
    <w:rsid w:val="00FF0A24"/>
    <w:rsid w:val="00FF0ABE"/>
    <w:rsid w:val="00FF1716"/>
    <w:rsid w:val="00FF1C9B"/>
    <w:rsid w:val="00FF2AA0"/>
    <w:rsid w:val="00FF30F2"/>
    <w:rsid w:val="00FF4B8D"/>
    <w:rsid w:val="00FF4BD0"/>
    <w:rsid w:val="00FF4D7A"/>
    <w:rsid w:val="00FF5911"/>
    <w:rsid w:val="00FF5C4A"/>
    <w:rsid w:val="00FF6C7A"/>
    <w:rsid w:val="04932CE9"/>
    <w:rsid w:val="056A607A"/>
    <w:rsid w:val="0608629A"/>
    <w:rsid w:val="093D4C2B"/>
    <w:rsid w:val="09475B3F"/>
    <w:rsid w:val="09B16437"/>
    <w:rsid w:val="0A613D10"/>
    <w:rsid w:val="0B372944"/>
    <w:rsid w:val="0D246F5B"/>
    <w:rsid w:val="0F0942D3"/>
    <w:rsid w:val="0FBA6D2D"/>
    <w:rsid w:val="105E7FC1"/>
    <w:rsid w:val="111E505D"/>
    <w:rsid w:val="11CC15E8"/>
    <w:rsid w:val="12083DFA"/>
    <w:rsid w:val="124E1D96"/>
    <w:rsid w:val="133A17AF"/>
    <w:rsid w:val="13B80076"/>
    <w:rsid w:val="13F279E5"/>
    <w:rsid w:val="1A0911F3"/>
    <w:rsid w:val="1A9447AA"/>
    <w:rsid w:val="1AC21F86"/>
    <w:rsid w:val="1B776CB2"/>
    <w:rsid w:val="1C6012AB"/>
    <w:rsid w:val="1D6569FA"/>
    <w:rsid w:val="1F503DF8"/>
    <w:rsid w:val="1F7DFF24"/>
    <w:rsid w:val="210E35B3"/>
    <w:rsid w:val="214BC18D"/>
    <w:rsid w:val="23F04291"/>
    <w:rsid w:val="271530B0"/>
    <w:rsid w:val="28792060"/>
    <w:rsid w:val="294143DD"/>
    <w:rsid w:val="2A6B7798"/>
    <w:rsid w:val="2A726D79"/>
    <w:rsid w:val="2A7F6FC2"/>
    <w:rsid w:val="2A8D0867"/>
    <w:rsid w:val="2B667F60"/>
    <w:rsid w:val="2C1C3D10"/>
    <w:rsid w:val="2C581F9E"/>
    <w:rsid w:val="2CAB62FD"/>
    <w:rsid w:val="2D126D46"/>
    <w:rsid w:val="2D1F775A"/>
    <w:rsid w:val="2E074D93"/>
    <w:rsid w:val="2F3E36CD"/>
    <w:rsid w:val="301D4C9B"/>
    <w:rsid w:val="302A477B"/>
    <w:rsid w:val="314B1831"/>
    <w:rsid w:val="32081510"/>
    <w:rsid w:val="324F7BB6"/>
    <w:rsid w:val="33260FB5"/>
    <w:rsid w:val="3396FC77"/>
    <w:rsid w:val="356B4AF0"/>
    <w:rsid w:val="357E13D1"/>
    <w:rsid w:val="358636D8"/>
    <w:rsid w:val="35A722CB"/>
    <w:rsid w:val="371E0C7C"/>
    <w:rsid w:val="37FC4FFD"/>
    <w:rsid w:val="38404F8E"/>
    <w:rsid w:val="397228F1"/>
    <w:rsid w:val="3A0B0650"/>
    <w:rsid w:val="3A4E0CC0"/>
    <w:rsid w:val="3AE345F0"/>
    <w:rsid w:val="3BAB5FD8"/>
    <w:rsid w:val="3D401D3C"/>
    <w:rsid w:val="3DD91D82"/>
    <w:rsid w:val="3E7B1707"/>
    <w:rsid w:val="3EFD0EAF"/>
    <w:rsid w:val="3FFFAF84"/>
    <w:rsid w:val="40D040C4"/>
    <w:rsid w:val="40D4649B"/>
    <w:rsid w:val="4139469E"/>
    <w:rsid w:val="41E2581E"/>
    <w:rsid w:val="42984DB7"/>
    <w:rsid w:val="436E25F5"/>
    <w:rsid w:val="45EFBA10"/>
    <w:rsid w:val="469549AC"/>
    <w:rsid w:val="49E71FA1"/>
    <w:rsid w:val="4B66363D"/>
    <w:rsid w:val="4BAD686E"/>
    <w:rsid w:val="4C017C38"/>
    <w:rsid w:val="4C0C6DD4"/>
    <w:rsid w:val="4C237A7B"/>
    <w:rsid w:val="4DD334B1"/>
    <w:rsid w:val="4EC24E6D"/>
    <w:rsid w:val="4F2064F4"/>
    <w:rsid w:val="4FCB1816"/>
    <w:rsid w:val="511221DA"/>
    <w:rsid w:val="52272204"/>
    <w:rsid w:val="532F6B09"/>
    <w:rsid w:val="53E1414B"/>
    <w:rsid w:val="54461F36"/>
    <w:rsid w:val="550F3F93"/>
    <w:rsid w:val="56815ACA"/>
    <w:rsid w:val="573C40E7"/>
    <w:rsid w:val="576731C4"/>
    <w:rsid w:val="583C6C8C"/>
    <w:rsid w:val="58EB38D4"/>
    <w:rsid w:val="5A980200"/>
    <w:rsid w:val="5A9F79A1"/>
    <w:rsid w:val="5B907058"/>
    <w:rsid w:val="5BC273FE"/>
    <w:rsid w:val="5BDF0E8F"/>
    <w:rsid w:val="5C58107B"/>
    <w:rsid w:val="5CD34BA6"/>
    <w:rsid w:val="5CEF3F89"/>
    <w:rsid w:val="5DF86B83"/>
    <w:rsid w:val="5E004B16"/>
    <w:rsid w:val="5E61166A"/>
    <w:rsid w:val="5EF7E274"/>
    <w:rsid w:val="5F036FBE"/>
    <w:rsid w:val="5F3DA835"/>
    <w:rsid w:val="5FF90DC7"/>
    <w:rsid w:val="60375CEF"/>
    <w:rsid w:val="6058624B"/>
    <w:rsid w:val="605F7722"/>
    <w:rsid w:val="61ECE9B8"/>
    <w:rsid w:val="622D2B42"/>
    <w:rsid w:val="627E39E8"/>
    <w:rsid w:val="62AA76D8"/>
    <w:rsid w:val="6330136F"/>
    <w:rsid w:val="63BB5ADC"/>
    <w:rsid w:val="64FE22BB"/>
    <w:rsid w:val="65417912"/>
    <w:rsid w:val="65FF6A0B"/>
    <w:rsid w:val="66682484"/>
    <w:rsid w:val="667C5966"/>
    <w:rsid w:val="67DE777F"/>
    <w:rsid w:val="684B7E50"/>
    <w:rsid w:val="697C6877"/>
    <w:rsid w:val="6A10276E"/>
    <w:rsid w:val="6C3E1F07"/>
    <w:rsid w:val="6D9E7CCF"/>
    <w:rsid w:val="6E40777A"/>
    <w:rsid w:val="6E6832ED"/>
    <w:rsid w:val="6FBD6CED"/>
    <w:rsid w:val="6FF47920"/>
    <w:rsid w:val="6FF7056D"/>
    <w:rsid w:val="70B31BF7"/>
    <w:rsid w:val="71134D3A"/>
    <w:rsid w:val="71137E04"/>
    <w:rsid w:val="716416D1"/>
    <w:rsid w:val="718A7AD1"/>
    <w:rsid w:val="71AA2486"/>
    <w:rsid w:val="71DF4914"/>
    <w:rsid w:val="72B03567"/>
    <w:rsid w:val="72D37055"/>
    <w:rsid w:val="72F20A68"/>
    <w:rsid w:val="73772174"/>
    <w:rsid w:val="740F0761"/>
    <w:rsid w:val="755243D8"/>
    <w:rsid w:val="757F4C14"/>
    <w:rsid w:val="76112263"/>
    <w:rsid w:val="76C92DBD"/>
    <w:rsid w:val="774424D0"/>
    <w:rsid w:val="775333C7"/>
    <w:rsid w:val="778B5799"/>
    <w:rsid w:val="781F712F"/>
    <w:rsid w:val="795079AC"/>
    <w:rsid w:val="7A93B728"/>
    <w:rsid w:val="7AB0388C"/>
    <w:rsid w:val="7B0708E5"/>
    <w:rsid w:val="7B7BDEB7"/>
    <w:rsid w:val="7BBFDA2B"/>
    <w:rsid w:val="7C95557C"/>
    <w:rsid w:val="7D424F74"/>
    <w:rsid w:val="7D796F75"/>
    <w:rsid w:val="7DD23679"/>
    <w:rsid w:val="7DE51DFA"/>
    <w:rsid w:val="7E8E38B7"/>
    <w:rsid w:val="7EAABC34"/>
    <w:rsid w:val="7EFD31DF"/>
    <w:rsid w:val="7F0F7867"/>
    <w:rsid w:val="7F1B4AFF"/>
    <w:rsid w:val="7F3651D7"/>
    <w:rsid w:val="7F865736"/>
    <w:rsid w:val="BBFACD07"/>
    <w:rsid w:val="BF5F2F2E"/>
    <w:rsid w:val="BF7833D4"/>
    <w:rsid w:val="D6DFFFBD"/>
    <w:rsid w:val="D7DF1CA9"/>
    <w:rsid w:val="DCBFB3A2"/>
    <w:rsid w:val="EFDE8F47"/>
    <w:rsid w:val="EFFB2508"/>
    <w:rsid w:val="EFFE44CE"/>
    <w:rsid w:val="EFFF5462"/>
    <w:rsid w:val="F29FA5D2"/>
    <w:rsid w:val="F5EFDF95"/>
    <w:rsid w:val="FD7FB6BF"/>
    <w:rsid w:val="FDFF48AA"/>
    <w:rsid w:val="FF5EBCFA"/>
    <w:rsid w:val="FF5FFF66"/>
    <w:rsid w:val="FFCBC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qFormat="1"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42"/>
    <w:qFormat/>
    <w:uiPriority w:val="0"/>
    <w:pPr>
      <w:keepNext/>
      <w:keepLines/>
      <w:tabs>
        <w:tab w:val="left" w:pos="0"/>
      </w:tabs>
      <w:spacing w:before="340" w:after="330" w:line="576" w:lineRule="auto"/>
      <w:jc w:val="center"/>
      <w:outlineLvl w:val="0"/>
    </w:pPr>
    <w:rPr>
      <w:rFonts w:ascii="Times New Roman" w:hAnsi="Times New Roman" w:eastAsia="仿宋" w:cs="Times New Roman"/>
      <w:b/>
      <w:bCs/>
      <w:kern w:val="44"/>
      <w:sz w:val="32"/>
      <w:szCs w:val="44"/>
      <w:lang w:eastAsia="zh-TW"/>
    </w:rPr>
  </w:style>
  <w:style w:type="paragraph" w:styleId="6">
    <w:name w:val="heading 2"/>
    <w:basedOn w:val="1"/>
    <w:next w:val="1"/>
    <w:link w:val="43"/>
    <w:qFormat/>
    <w:uiPriority w:val="0"/>
    <w:pPr>
      <w:keepNext/>
      <w:keepLines/>
      <w:numPr>
        <w:ilvl w:val="1"/>
        <w:numId w:val="1"/>
      </w:numPr>
      <w:tabs>
        <w:tab w:val="left" w:pos="0"/>
      </w:tabs>
      <w:spacing w:before="260" w:after="260" w:line="413" w:lineRule="auto"/>
      <w:jc w:val="left"/>
      <w:outlineLvl w:val="1"/>
    </w:pPr>
    <w:rPr>
      <w:rFonts w:ascii="Arial" w:hAnsi="Arial" w:eastAsia="黑体" w:cs="Times New Roman"/>
      <w:b/>
      <w:sz w:val="32"/>
      <w:szCs w:val="24"/>
      <w:lang w:eastAsia="zh-TW"/>
    </w:rPr>
  </w:style>
  <w:style w:type="paragraph" w:styleId="7">
    <w:name w:val="heading 3"/>
    <w:basedOn w:val="1"/>
    <w:next w:val="1"/>
    <w:link w:val="44"/>
    <w:semiHidden/>
    <w:unhideWhenUsed/>
    <w:qFormat/>
    <w:uiPriority w:val="0"/>
    <w:pPr>
      <w:keepNext/>
      <w:keepLines/>
      <w:numPr>
        <w:ilvl w:val="2"/>
        <w:numId w:val="1"/>
      </w:numPr>
      <w:spacing w:before="260" w:after="260" w:line="413" w:lineRule="auto"/>
      <w:jc w:val="left"/>
      <w:outlineLvl w:val="2"/>
    </w:pPr>
    <w:rPr>
      <w:rFonts w:ascii="Times New Roman" w:hAnsi="Times New Roman" w:eastAsia="仿宋" w:cs="Times New Roman"/>
      <w:b/>
      <w:sz w:val="32"/>
      <w:szCs w:val="24"/>
      <w:lang w:eastAsia="zh-TW"/>
    </w:rPr>
  </w:style>
  <w:style w:type="paragraph" w:styleId="8">
    <w:name w:val="heading 4"/>
    <w:basedOn w:val="1"/>
    <w:next w:val="1"/>
    <w:link w:val="45"/>
    <w:semiHidden/>
    <w:unhideWhenUsed/>
    <w:qFormat/>
    <w:uiPriority w:val="0"/>
    <w:pPr>
      <w:keepNext/>
      <w:keepLines/>
      <w:numPr>
        <w:ilvl w:val="3"/>
        <w:numId w:val="1"/>
      </w:numPr>
      <w:spacing w:before="280" w:after="290" w:line="372" w:lineRule="auto"/>
      <w:jc w:val="left"/>
      <w:outlineLvl w:val="3"/>
    </w:pPr>
    <w:rPr>
      <w:rFonts w:ascii="Arial" w:hAnsi="Arial" w:eastAsia="黑体" w:cs="Times New Roman"/>
      <w:b/>
      <w:sz w:val="28"/>
      <w:szCs w:val="24"/>
      <w:lang w:eastAsia="zh-TW"/>
    </w:rPr>
  </w:style>
  <w:style w:type="paragraph" w:styleId="9">
    <w:name w:val="heading 5"/>
    <w:basedOn w:val="1"/>
    <w:next w:val="1"/>
    <w:link w:val="46"/>
    <w:semiHidden/>
    <w:unhideWhenUsed/>
    <w:qFormat/>
    <w:uiPriority w:val="0"/>
    <w:pPr>
      <w:keepNext/>
      <w:keepLines/>
      <w:numPr>
        <w:ilvl w:val="4"/>
        <w:numId w:val="1"/>
      </w:numPr>
      <w:spacing w:before="280" w:after="290" w:line="372" w:lineRule="auto"/>
      <w:jc w:val="left"/>
      <w:outlineLvl w:val="4"/>
    </w:pPr>
    <w:rPr>
      <w:rFonts w:ascii="Times New Roman" w:hAnsi="Times New Roman" w:eastAsia="仿宋" w:cs="Times New Roman"/>
      <w:b/>
      <w:sz w:val="28"/>
      <w:szCs w:val="24"/>
      <w:lang w:eastAsia="zh-TW"/>
    </w:rPr>
  </w:style>
  <w:style w:type="paragraph" w:styleId="10">
    <w:name w:val="heading 6"/>
    <w:basedOn w:val="1"/>
    <w:next w:val="1"/>
    <w:link w:val="47"/>
    <w:semiHidden/>
    <w:unhideWhenUsed/>
    <w:qFormat/>
    <w:uiPriority w:val="0"/>
    <w:pPr>
      <w:keepNext/>
      <w:keepLines/>
      <w:numPr>
        <w:ilvl w:val="5"/>
        <w:numId w:val="1"/>
      </w:numPr>
      <w:spacing w:before="240" w:after="64" w:line="317" w:lineRule="auto"/>
      <w:jc w:val="left"/>
      <w:outlineLvl w:val="5"/>
    </w:pPr>
    <w:rPr>
      <w:rFonts w:ascii="Arial" w:hAnsi="Arial" w:eastAsia="黑体" w:cs="Times New Roman"/>
      <w:b/>
      <w:sz w:val="24"/>
      <w:szCs w:val="24"/>
      <w:lang w:eastAsia="zh-TW"/>
    </w:rPr>
  </w:style>
  <w:style w:type="paragraph" w:styleId="11">
    <w:name w:val="heading 7"/>
    <w:basedOn w:val="1"/>
    <w:next w:val="1"/>
    <w:link w:val="48"/>
    <w:semiHidden/>
    <w:unhideWhenUsed/>
    <w:qFormat/>
    <w:uiPriority w:val="0"/>
    <w:pPr>
      <w:keepNext/>
      <w:keepLines/>
      <w:numPr>
        <w:ilvl w:val="6"/>
        <w:numId w:val="1"/>
      </w:numPr>
      <w:spacing w:before="240" w:after="64" w:line="317" w:lineRule="auto"/>
      <w:jc w:val="left"/>
      <w:outlineLvl w:val="6"/>
    </w:pPr>
    <w:rPr>
      <w:rFonts w:ascii="Times New Roman" w:hAnsi="Times New Roman" w:eastAsia="仿宋" w:cs="Times New Roman"/>
      <w:b/>
      <w:sz w:val="24"/>
      <w:szCs w:val="24"/>
      <w:lang w:eastAsia="zh-TW"/>
    </w:rPr>
  </w:style>
  <w:style w:type="paragraph" w:styleId="12">
    <w:name w:val="heading 8"/>
    <w:basedOn w:val="1"/>
    <w:next w:val="1"/>
    <w:link w:val="49"/>
    <w:semiHidden/>
    <w:unhideWhenUsed/>
    <w:qFormat/>
    <w:uiPriority w:val="0"/>
    <w:pPr>
      <w:keepNext/>
      <w:keepLines/>
      <w:numPr>
        <w:ilvl w:val="7"/>
        <w:numId w:val="1"/>
      </w:numPr>
      <w:spacing w:before="240" w:after="64" w:line="317" w:lineRule="auto"/>
      <w:jc w:val="left"/>
      <w:outlineLvl w:val="7"/>
    </w:pPr>
    <w:rPr>
      <w:rFonts w:ascii="Arial" w:hAnsi="Arial" w:eastAsia="黑体" w:cs="Times New Roman"/>
      <w:sz w:val="24"/>
      <w:szCs w:val="24"/>
      <w:lang w:eastAsia="zh-TW"/>
    </w:rPr>
  </w:style>
  <w:style w:type="paragraph" w:styleId="13">
    <w:name w:val="heading 9"/>
    <w:basedOn w:val="1"/>
    <w:next w:val="1"/>
    <w:link w:val="50"/>
    <w:semiHidden/>
    <w:unhideWhenUsed/>
    <w:qFormat/>
    <w:uiPriority w:val="0"/>
    <w:pPr>
      <w:keepNext/>
      <w:keepLines/>
      <w:numPr>
        <w:ilvl w:val="8"/>
        <w:numId w:val="1"/>
      </w:numPr>
      <w:spacing w:before="240" w:after="64" w:line="317" w:lineRule="auto"/>
      <w:jc w:val="left"/>
      <w:outlineLvl w:val="8"/>
    </w:pPr>
    <w:rPr>
      <w:rFonts w:ascii="Arial" w:hAnsi="Arial" w:eastAsia="黑体" w:cs="Times New Roman"/>
      <w:szCs w:val="24"/>
      <w:lang w:eastAsia="zh-TW"/>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3"/>
    <w:qFormat/>
    <w:uiPriority w:val="0"/>
    <w:pPr>
      <w:ind w:firstLine="664"/>
    </w:pPr>
    <w:rPr>
      <w:szCs w:val="20"/>
    </w:rPr>
  </w:style>
  <w:style w:type="paragraph" w:styleId="3">
    <w:name w:val="Body Text"/>
    <w:basedOn w:val="1"/>
    <w:next w:val="4"/>
    <w:link w:val="51"/>
    <w:qFormat/>
    <w:uiPriority w:val="1"/>
    <w:pPr>
      <w:autoSpaceDE w:val="0"/>
      <w:autoSpaceDN w:val="0"/>
      <w:jc w:val="left"/>
    </w:pPr>
    <w:rPr>
      <w:rFonts w:ascii="宋体" w:hAnsi="宋体" w:eastAsia="宋体" w:cs="宋体"/>
      <w:kern w:val="0"/>
      <w:sz w:val="32"/>
      <w:szCs w:val="32"/>
      <w:lang w:val="zh-CN" w:bidi="zh-CN"/>
    </w:rPr>
  </w:style>
  <w:style w:type="paragraph" w:styleId="4">
    <w:name w:val="Plain Text"/>
    <w:basedOn w:val="1"/>
    <w:qFormat/>
    <w:uiPriority w:val="0"/>
    <w:rPr>
      <w:rFonts w:ascii="宋体" w:hAnsi="Courier New"/>
    </w:rPr>
  </w:style>
  <w:style w:type="paragraph" w:styleId="14">
    <w:name w:val="table of authorities"/>
    <w:basedOn w:val="1"/>
    <w:next w:val="1"/>
    <w:semiHidden/>
    <w:unhideWhenUsed/>
    <w:qFormat/>
    <w:uiPriority w:val="99"/>
    <w:pPr>
      <w:ind w:left="420" w:leftChars="200"/>
    </w:pPr>
  </w:style>
  <w:style w:type="paragraph" w:styleId="15">
    <w:name w:val="toa heading"/>
    <w:basedOn w:val="14"/>
    <w:next w:val="1"/>
    <w:qFormat/>
    <w:uiPriority w:val="0"/>
    <w:rPr>
      <w:rFonts w:ascii="Arial" w:hAnsi="Arial"/>
      <w:sz w:val="24"/>
      <w:szCs w:val="21"/>
    </w:rPr>
  </w:style>
  <w:style w:type="paragraph" w:styleId="16">
    <w:name w:val="annotation text"/>
    <w:basedOn w:val="1"/>
    <w:link w:val="52"/>
    <w:unhideWhenUsed/>
    <w:qFormat/>
    <w:uiPriority w:val="0"/>
    <w:pPr>
      <w:jc w:val="left"/>
    </w:pPr>
  </w:style>
  <w:style w:type="paragraph" w:styleId="17">
    <w:name w:val="toc 3"/>
    <w:basedOn w:val="1"/>
    <w:next w:val="1"/>
    <w:unhideWhenUsed/>
    <w:qFormat/>
    <w:uiPriority w:val="39"/>
    <w:pPr>
      <w:ind w:left="840" w:leftChars="400"/>
    </w:pPr>
  </w:style>
  <w:style w:type="paragraph" w:styleId="18">
    <w:name w:val="endnote text"/>
    <w:basedOn w:val="1"/>
    <w:link w:val="40"/>
    <w:semiHidden/>
    <w:unhideWhenUsed/>
    <w:qFormat/>
    <w:uiPriority w:val="99"/>
    <w:pPr>
      <w:snapToGrid w:val="0"/>
      <w:jc w:val="left"/>
    </w:pPr>
  </w:style>
  <w:style w:type="paragraph" w:styleId="19">
    <w:name w:val="Balloon Text"/>
    <w:basedOn w:val="1"/>
    <w:link w:val="54"/>
    <w:semiHidden/>
    <w:unhideWhenUsed/>
    <w:qFormat/>
    <w:uiPriority w:val="99"/>
    <w:rPr>
      <w:sz w:val="18"/>
      <w:szCs w:val="18"/>
    </w:rPr>
  </w:style>
  <w:style w:type="paragraph" w:styleId="20">
    <w:name w:val="footer"/>
    <w:basedOn w:val="1"/>
    <w:link w:val="39"/>
    <w:unhideWhenUsed/>
    <w:qFormat/>
    <w:uiPriority w:val="99"/>
    <w:pPr>
      <w:tabs>
        <w:tab w:val="center" w:pos="4153"/>
        <w:tab w:val="right" w:pos="8306"/>
      </w:tabs>
      <w:snapToGrid w:val="0"/>
      <w:jc w:val="left"/>
    </w:pPr>
    <w:rPr>
      <w:sz w:val="18"/>
      <w:szCs w:val="18"/>
    </w:rPr>
  </w:style>
  <w:style w:type="paragraph" w:styleId="21">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style>
  <w:style w:type="paragraph" w:styleId="23">
    <w:name w:val="footnote text"/>
    <w:basedOn w:val="1"/>
    <w:link w:val="41"/>
    <w:semiHidden/>
    <w:unhideWhenUsed/>
    <w:qFormat/>
    <w:uiPriority w:val="99"/>
    <w:pPr>
      <w:snapToGrid w:val="0"/>
      <w:jc w:val="left"/>
    </w:pPr>
    <w:rPr>
      <w:sz w:val="18"/>
      <w:szCs w:val="18"/>
    </w:rPr>
  </w:style>
  <w:style w:type="paragraph" w:styleId="24">
    <w:name w:val="toc 2"/>
    <w:basedOn w:val="1"/>
    <w:next w:val="1"/>
    <w:unhideWhenUsed/>
    <w:qFormat/>
    <w:uiPriority w:val="39"/>
    <w:pPr>
      <w:ind w:left="420" w:leftChars="200"/>
    </w:pPr>
  </w:style>
  <w:style w:type="paragraph" w:styleId="2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6">
    <w:name w:val="annotation subject"/>
    <w:basedOn w:val="16"/>
    <w:next w:val="16"/>
    <w:link w:val="53"/>
    <w:semiHidden/>
    <w:unhideWhenUsed/>
    <w:qFormat/>
    <w:uiPriority w:val="99"/>
    <w:rPr>
      <w:b/>
      <w:bCs/>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bCs/>
    </w:rPr>
  </w:style>
  <w:style w:type="character" w:styleId="31">
    <w:name w:val="endnote reference"/>
    <w:basedOn w:val="29"/>
    <w:semiHidden/>
    <w:unhideWhenUsed/>
    <w:qFormat/>
    <w:uiPriority w:val="99"/>
    <w:rPr>
      <w:vertAlign w:val="superscript"/>
    </w:rPr>
  </w:style>
  <w:style w:type="character" w:styleId="32">
    <w:name w:val="Emphasis"/>
    <w:basedOn w:val="29"/>
    <w:qFormat/>
    <w:uiPriority w:val="20"/>
    <w:rPr>
      <w:i/>
      <w:iCs/>
    </w:rPr>
  </w:style>
  <w:style w:type="character" w:styleId="33">
    <w:name w:val="Hyperlink"/>
    <w:basedOn w:val="29"/>
    <w:unhideWhenUsed/>
    <w:qFormat/>
    <w:uiPriority w:val="99"/>
    <w:rPr>
      <w:color w:val="0563C1" w:themeColor="hyperlink"/>
      <w:u w:val="single"/>
      <w14:textFill>
        <w14:solidFill>
          <w14:schemeClr w14:val="hlink"/>
        </w14:solidFill>
      </w14:textFill>
    </w:rPr>
  </w:style>
  <w:style w:type="character" w:styleId="34">
    <w:name w:val="annotation reference"/>
    <w:basedOn w:val="29"/>
    <w:semiHidden/>
    <w:unhideWhenUsed/>
    <w:qFormat/>
    <w:uiPriority w:val="99"/>
    <w:rPr>
      <w:sz w:val="21"/>
      <w:szCs w:val="21"/>
    </w:rPr>
  </w:style>
  <w:style w:type="character" w:styleId="35">
    <w:name w:val="footnote reference"/>
    <w:basedOn w:val="29"/>
    <w:semiHidden/>
    <w:unhideWhenUsed/>
    <w:qFormat/>
    <w:uiPriority w:val="99"/>
    <w:rPr>
      <w:vertAlign w:val="superscript"/>
    </w:rPr>
  </w:style>
  <w:style w:type="paragraph" w:customStyle="1" w:styleId="36">
    <w:name w:val="二级标题"/>
    <w:basedOn w:val="1"/>
    <w:link w:val="58"/>
    <w:qFormat/>
    <w:uiPriority w:val="0"/>
    <w:pPr>
      <w:spacing w:line="360" w:lineRule="auto"/>
      <w:ind w:firstLine="562" w:firstLineChars="200"/>
      <w:outlineLvl w:val="1"/>
    </w:pPr>
    <w:rPr>
      <w:rFonts w:ascii="Times New Roman" w:hAnsi="Times New Roman" w:eastAsia="楷体" w:cs="Times New Roman"/>
      <w:b/>
      <w:bCs/>
      <w:sz w:val="28"/>
      <w:szCs w:val="28"/>
    </w:rPr>
  </w:style>
  <w:style w:type="paragraph" w:styleId="37">
    <w:name w:val="List Paragraph"/>
    <w:basedOn w:val="1"/>
    <w:qFormat/>
    <w:uiPriority w:val="34"/>
    <w:pPr>
      <w:ind w:firstLine="420" w:firstLineChars="200"/>
    </w:pPr>
  </w:style>
  <w:style w:type="character" w:customStyle="1" w:styleId="38">
    <w:name w:val="页眉 字符"/>
    <w:basedOn w:val="29"/>
    <w:link w:val="21"/>
    <w:qFormat/>
    <w:uiPriority w:val="99"/>
    <w:rPr>
      <w:sz w:val="18"/>
      <w:szCs w:val="18"/>
    </w:rPr>
  </w:style>
  <w:style w:type="character" w:customStyle="1" w:styleId="39">
    <w:name w:val="页脚 字符"/>
    <w:basedOn w:val="29"/>
    <w:link w:val="20"/>
    <w:qFormat/>
    <w:uiPriority w:val="99"/>
    <w:rPr>
      <w:sz w:val="18"/>
      <w:szCs w:val="18"/>
    </w:rPr>
  </w:style>
  <w:style w:type="character" w:customStyle="1" w:styleId="40">
    <w:name w:val="尾注文本 字符"/>
    <w:basedOn w:val="29"/>
    <w:link w:val="18"/>
    <w:semiHidden/>
    <w:qFormat/>
    <w:uiPriority w:val="99"/>
  </w:style>
  <w:style w:type="character" w:customStyle="1" w:styleId="41">
    <w:name w:val="脚注文本 字符"/>
    <w:basedOn w:val="29"/>
    <w:link w:val="23"/>
    <w:semiHidden/>
    <w:qFormat/>
    <w:uiPriority w:val="99"/>
    <w:rPr>
      <w:sz w:val="18"/>
      <w:szCs w:val="18"/>
    </w:rPr>
  </w:style>
  <w:style w:type="character" w:customStyle="1" w:styleId="42">
    <w:name w:val="标题 1 字符"/>
    <w:basedOn w:val="29"/>
    <w:link w:val="5"/>
    <w:qFormat/>
    <w:uiPriority w:val="0"/>
    <w:rPr>
      <w:rFonts w:ascii="Times New Roman" w:hAnsi="Times New Roman" w:eastAsia="仿宋" w:cs="Times New Roman"/>
      <w:b/>
      <w:bCs/>
      <w:kern w:val="44"/>
      <w:sz w:val="32"/>
      <w:szCs w:val="44"/>
      <w:lang w:eastAsia="zh-TW"/>
    </w:rPr>
  </w:style>
  <w:style w:type="character" w:customStyle="1" w:styleId="43">
    <w:name w:val="标题 2 字符"/>
    <w:basedOn w:val="29"/>
    <w:link w:val="6"/>
    <w:qFormat/>
    <w:uiPriority w:val="0"/>
    <w:rPr>
      <w:rFonts w:ascii="Arial" w:hAnsi="Arial" w:eastAsia="黑体" w:cs="Times New Roman"/>
      <w:b/>
      <w:sz w:val="32"/>
      <w:szCs w:val="24"/>
      <w:lang w:eastAsia="zh-TW"/>
    </w:rPr>
  </w:style>
  <w:style w:type="character" w:customStyle="1" w:styleId="44">
    <w:name w:val="标题 3 字符"/>
    <w:basedOn w:val="29"/>
    <w:link w:val="7"/>
    <w:semiHidden/>
    <w:qFormat/>
    <w:uiPriority w:val="0"/>
    <w:rPr>
      <w:rFonts w:ascii="Times New Roman" w:hAnsi="Times New Roman" w:eastAsia="仿宋" w:cs="Times New Roman"/>
      <w:b/>
      <w:sz w:val="32"/>
      <w:szCs w:val="24"/>
      <w:lang w:eastAsia="zh-TW"/>
    </w:rPr>
  </w:style>
  <w:style w:type="character" w:customStyle="1" w:styleId="45">
    <w:name w:val="标题 4 字符"/>
    <w:basedOn w:val="29"/>
    <w:link w:val="8"/>
    <w:semiHidden/>
    <w:qFormat/>
    <w:uiPriority w:val="0"/>
    <w:rPr>
      <w:rFonts w:ascii="Arial" w:hAnsi="Arial" w:eastAsia="黑体" w:cs="Times New Roman"/>
      <w:b/>
      <w:sz w:val="28"/>
      <w:szCs w:val="24"/>
      <w:lang w:eastAsia="zh-TW"/>
    </w:rPr>
  </w:style>
  <w:style w:type="character" w:customStyle="1" w:styleId="46">
    <w:name w:val="标题 5 字符"/>
    <w:basedOn w:val="29"/>
    <w:link w:val="9"/>
    <w:semiHidden/>
    <w:qFormat/>
    <w:uiPriority w:val="0"/>
    <w:rPr>
      <w:rFonts w:ascii="Times New Roman" w:hAnsi="Times New Roman" w:eastAsia="仿宋" w:cs="Times New Roman"/>
      <w:b/>
      <w:sz w:val="28"/>
      <w:szCs w:val="24"/>
      <w:lang w:eastAsia="zh-TW"/>
    </w:rPr>
  </w:style>
  <w:style w:type="character" w:customStyle="1" w:styleId="47">
    <w:name w:val="标题 6 字符"/>
    <w:basedOn w:val="29"/>
    <w:link w:val="10"/>
    <w:semiHidden/>
    <w:qFormat/>
    <w:uiPriority w:val="0"/>
    <w:rPr>
      <w:rFonts w:ascii="Arial" w:hAnsi="Arial" w:eastAsia="黑体" w:cs="Times New Roman"/>
      <w:b/>
      <w:sz w:val="24"/>
      <w:szCs w:val="24"/>
      <w:lang w:eastAsia="zh-TW"/>
    </w:rPr>
  </w:style>
  <w:style w:type="character" w:customStyle="1" w:styleId="48">
    <w:name w:val="标题 7 字符"/>
    <w:basedOn w:val="29"/>
    <w:link w:val="11"/>
    <w:semiHidden/>
    <w:qFormat/>
    <w:uiPriority w:val="0"/>
    <w:rPr>
      <w:rFonts w:ascii="Times New Roman" w:hAnsi="Times New Roman" w:eastAsia="仿宋" w:cs="Times New Roman"/>
      <w:b/>
      <w:sz w:val="24"/>
      <w:szCs w:val="24"/>
      <w:lang w:eastAsia="zh-TW"/>
    </w:rPr>
  </w:style>
  <w:style w:type="character" w:customStyle="1" w:styleId="49">
    <w:name w:val="标题 8 字符"/>
    <w:basedOn w:val="29"/>
    <w:link w:val="12"/>
    <w:semiHidden/>
    <w:qFormat/>
    <w:uiPriority w:val="0"/>
    <w:rPr>
      <w:rFonts w:ascii="Arial" w:hAnsi="Arial" w:eastAsia="黑体" w:cs="Times New Roman"/>
      <w:sz w:val="24"/>
      <w:szCs w:val="24"/>
      <w:lang w:eastAsia="zh-TW"/>
    </w:rPr>
  </w:style>
  <w:style w:type="character" w:customStyle="1" w:styleId="50">
    <w:name w:val="标题 9 字符"/>
    <w:basedOn w:val="29"/>
    <w:link w:val="13"/>
    <w:semiHidden/>
    <w:qFormat/>
    <w:uiPriority w:val="0"/>
    <w:rPr>
      <w:rFonts w:ascii="Arial" w:hAnsi="Arial" w:eastAsia="黑体" w:cs="Times New Roman"/>
      <w:szCs w:val="24"/>
      <w:lang w:eastAsia="zh-TW"/>
    </w:rPr>
  </w:style>
  <w:style w:type="character" w:customStyle="1" w:styleId="51">
    <w:name w:val="正文文本 字符"/>
    <w:basedOn w:val="29"/>
    <w:link w:val="3"/>
    <w:qFormat/>
    <w:uiPriority w:val="1"/>
    <w:rPr>
      <w:rFonts w:ascii="宋体" w:hAnsi="宋体" w:eastAsia="宋体" w:cs="宋体"/>
      <w:kern w:val="0"/>
      <w:sz w:val="32"/>
      <w:szCs w:val="32"/>
      <w:lang w:val="zh-CN" w:bidi="zh-CN"/>
    </w:rPr>
  </w:style>
  <w:style w:type="character" w:customStyle="1" w:styleId="52">
    <w:name w:val="批注文字 字符"/>
    <w:basedOn w:val="29"/>
    <w:link w:val="16"/>
    <w:qFormat/>
    <w:uiPriority w:val="0"/>
  </w:style>
  <w:style w:type="character" w:customStyle="1" w:styleId="53">
    <w:name w:val="批注主题 字符"/>
    <w:basedOn w:val="52"/>
    <w:link w:val="26"/>
    <w:semiHidden/>
    <w:qFormat/>
    <w:uiPriority w:val="99"/>
    <w:rPr>
      <w:b/>
      <w:bCs/>
    </w:rPr>
  </w:style>
  <w:style w:type="character" w:customStyle="1" w:styleId="54">
    <w:name w:val="批注框文本 字符"/>
    <w:basedOn w:val="29"/>
    <w:link w:val="19"/>
    <w:semiHidden/>
    <w:qFormat/>
    <w:uiPriority w:val="99"/>
    <w:rPr>
      <w:sz w:val="18"/>
      <w:szCs w:val="18"/>
    </w:rPr>
  </w:style>
  <w:style w:type="paragraph" w:customStyle="1" w:styleId="55">
    <w:name w:val="TOC 标题1"/>
    <w:basedOn w:val="5"/>
    <w:next w:val="1"/>
    <w:unhideWhenUsed/>
    <w:qFormat/>
    <w:uiPriority w:val="39"/>
    <w:pPr>
      <w:widowControl/>
      <w:tabs>
        <w:tab w:val="clear" w:pos="0"/>
      </w:tabs>
      <w:spacing w:before="240" w:after="0" w:line="259" w:lineRule="auto"/>
      <w:jc w:val="left"/>
      <w:outlineLvl w:val="9"/>
    </w:pPr>
    <w:rPr>
      <w:rFonts w:asciiTheme="majorHAnsi" w:hAnsiTheme="majorHAnsi" w:eastAsiaTheme="majorEastAsia" w:cstheme="majorBidi"/>
      <w:b w:val="0"/>
      <w:bCs w:val="0"/>
      <w:color w:val="2F5597" w:themeColor="accent1" w:themeShade="BF"/>
      <w:kern w:val="0"/>
      <w:szCs w:val="32"/>
      <w:lang w:eastAsia="zh-CN"/>
    </w:rPr>
  </w:style>
  <w:style w:type="character" w:customStyle="1" w:styleId="56">
    <w:name w:val="font31"/>
    <w:basedOn w:val="29"/>
    <w:qFormat/>
    <w:uiPriority w:val="0"/>
    <w:rPr>
      <w:rFonts w:hint="eastAsia" w:ascii="宋体" w:hAnsi="宋体" w:eastAsia="宋体"/>
      <w:color w:val="000000"/>
      <w:sz w:val="20"/>
      <w:szCs w:val="20"/>
      <w:u w:val="none"/>
    </w:rPr>
  </w:style>
  <w:style w:type="paragraph" w:customStyle="1" w:styleId="57">
    <w:name w:val="报告正文"/>
    <w:basedOn w:val="1"/>
    <w:link w:val="59"/>
    <w:qFormat/>
    <w:uiPriority w:val="0"/>
    <w:pPr>
      <w:spacing w:line="600" w:lineRule="exact"/>
      <w:ind w:firstLine="200" w:firstLineChars="200"/>
      <w:jc w:val="left"/>
    </w:pPr>
    <w:rPr>
      <w:rFonts w:ascii="仿宋_GB2312" w:hAnsi="仿宋" w:eastAsia="仿宋_GB2312" w:cs="仿宋"/>
      <w:sz w:val="32"/>
      <w:szCs w:val="32"/>
    </w:rPr>
  </w:style>
  <w:style w:type="character" w:customStyle="1" w:styleId="58">
    <w:name w:val="二级标题 字符"/>
    <w:basedOn w:val="29"/>
    <w:link w:val="36"/>
    <w:qFormat/>
    <w:uiPriority w:val="0"/>
    <w:rPr>
      <w:rFonts w:ascii="Times New Roman" w:hAnsi="Times New Roman" w:eastAsia="楷体" w:cs="Times New Roman"/>
      <w:b/>
      <w:bCs/>
      <w:sz w:val="28"/>
      <w:szCs w:val="28"/>
    </w:rPr>
  </w:style>
  <w:style w:type="character" w:customStyle="1" w:styleId="59">
    <w:name w:val="报告正文 字符"/>
    <w:basedOn w:val="29"/>
    <w:link w:val="57"/>
    <w:qFormat/>
    <w:uiPriority w:val="0"/>
    <w:rPr>
      <w:rFonts w:ascii="仿宋_GB2312" w:hAnsi="仿宋" w:eastAsia="仿宋_GB2312" w:cs="仿宋"/>
      <w:sz w:val="32"/>
      <w:szCs w:val="32"/>
    </w:rPr>
  </w:style>
  <w:style w:type="character" w:customStyle="1" w:styleId="60">
    <w:name w:val="qowt-font6"/>
    <w:basedOn w:val="29"/>
    <w:qFormat/>
    <w:uiPriority w:val="0"/>
  </w:style>
  <w:style w:type="character" w:customStyle="1" w:styleId="61">
    <w:name w:val="GH-正文 Char"/>
    <w:link w:val="62"/>
    <w:qFormat/>
    <w:uiPriority w:val="0"/>
    <w:rPr>
      <w:rFonts w:eastAsia="仿宋_GB2312"/>
      <w:sz w:val="32"/>
      <w:szCs w:val="32"/>
    </w:rPr>
  </w:style>
  <w:style w:type="paragraph" w:customStyle="1" w:styleId="62">
    <w:name w:val="GH-正文"/>
    <w:basedOn w:val="1"/>
    <w:link w:val="61"/>
    <w:qFormat/>
    <w:uiPriority w:val="0"/>
    <w:pPr>
      <w:spacing w:line="574" w:lineRule="exact"/>
      <w:ind w:firstLine="640" w:firstLineChars="200"/>
    </w:pPr>
    <w:rPr>
      <w:rFonts w:eastAsia="仿宋_GB2312"/>
      <w:sz w:val="32"/>
      <w:szCs w:val="32"/>
    </w:rPr>
  </w:style>
  <w:style w:type="paragraph" w:customStyle="1" w:styleId="63">
    <w:name w:val="表格文字"/>
    <w:basedOn w:val="1"/>
    <w:qFormat/>
    <w:uiPriority w:val="0"/>
    <w:pPr>
      <w:spacing w:line="300" w:lineRule="auto"/>
    </w:pPr>
    <w:rPr>
      <w:rFonts w:ascii="Times New Roman" w:hAnsi="Times New Roman" w:eastAsia="宋体" w:cs="Times New Roman"/>
      <w:spacing w:val="10"/>
      <w:szCs w:val="24"/>
    </w:rPr>
  </w:style>
  <w:style w:type="paragraph" w:customStyle="1" w:styleId="64">
    <w:name w:val="深圳报告正文"/>
    <w:basedOn w:val="1"/>
    <w:link w:val="65"/>
    <w:qFormat/>
    <w:uiPriority w:val="0"/>
    <w:pPr>
      <w:adjustRightInd w:val="0"/>
      <w:snapToGrid w:val="0"/>
      <w:spacing w:line="600" w:lineRule="exact"/>
      <w:ind w:firstLine="640" w:firstLineChars="200"/>
    </w:pPr>
    <w:rPr>
      <w:rFonts w:ascii="仿宋_GB2312" w:hAnsi="仿宋" w:eastAsia="仿宋_GB2312" w:cs="仿宋_GB2312"/>
      <w:sz w:val="32"/>
      <w:szCs w:val="32"/>
    </w:rPr>
  </w:style>
  <w:style w:type="character" w:customStyle="1" w:styleId="65">
    <w:name w:val="深圳报告正文 字符"/>
    <w:basedOn w:val="29"/>
    <w:link w:val="64"/>
    <w:qFormat/>
    <w:uiPriority w:val="0"/>
    <w:rPr>
      <w:rFonts w:ascii="仿宋_GB2312" w:hAnsi="仿宋" w:eastAsia="仿宋_GB2312" w:cs="仿宋_GB2312"/>
      <w:kern w:val="2"/>
      <w:sz w:val="32"/>
      <w:szCs w:val="32"/>
    </w:rPr>
  </w:style>
  <w:style w:type="paragraph" w:customStyle="1" w:styleId="66">
    <w:name w:val="日浩正文"/>
    <w:basedOn w:val="1"/>
    <w:link w:val="67"/>
    <w:qFormat/>
    <w:uiPriority w:val="3"/>
    <w:pPr>
      <w:spacing w:line="560" w:lineRule="exact"/>
      <w:ind w:firstLine="200" w:firstLineChars="200"/>
    </w:pPr>
    <w:rPr>
      <w:rFonts w:ascii="Times New Roman" w:hAnsi="Times New Roman" w:eastAsia="仿宋_GB2312" w:cs="Times New Roman"/>
      <w:kern w:val="0"/>
      <w:sz w:val="32"/>
      <w:szCs w:val="28"/>
      <w:lang w:val="zh-CN"/>
    </w:rPr>
  </w:style>
  <w:style w:type="character" w:customStyle="1" w:styleId="67">
    <w:name w:val="闻政正文 Char"/>
    <w:link w:val="66"/>
    <w:qFormat/>
    <w:uiPriority w:val="3"/>
    <w:rPr>
      <w:rFonts w:eastAsia="仿宋_GB2312"/>
      <w:sz w:val="32"/>
      <w:szCs w:val="28"/>
      <w:lang w:val="zh-CN"/>
    </w:rPr>
  </w:style>
  <w:style w:type="paragraph" w:customStyle="1" w:styleId="68">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69">
    <w:name w:val="p1"/>
    <w:basedOn w:val="1"/>
    <w:qFormat/>
    <w:uiPriority w:val="0"/>
    <w:pPr>
      <w:jc w:val="left"/>
    </w:pPr>
    <w:rPr>
      <w:rFonts w:ascii="PingFang SC" w:hAnsi="PingFang SC" w:eastAsia="PingFang SC" w:cs="Times New Roman"/>
      <w:color w:val="000000"/>
      <w:kern w:val="0"/>
      <w:sz w:val="26"/>
      <w:szCs w:val="26"/>
    </w:rPr>
  </w:style>
  <w:style w:type="character" w:customStyle="1" w:styleId="70">
    <w:name w:val="s1"/>
    <w:basedOn w:val="29"/>
    <w:qFormat/>
    <w:uiPriority w:val="0"/>
    <w:rPr>
      <w:rFonts w:ascii="Helvetica Neue" w:hAnsi="Helvetica Neue" w:eastAsia="Helvetica Neue" w:cs="Helvetica Neue"/>
      <w:sz w:val="26"/>
      <w:szCs w:val="26"/>
    </w:rPr>
  </w:style>
  <w:style w:type="paragraph" w:customStyle="1" w:styleId="71">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72">
    <w:name w:val="WPSOffice手动目录 1"/>
    <w:qFormat/>
    <w:uiPriority w:val="0"/>
    <w:rPr>
      <w:rFonts w:ascii="Times New Roman" w:hAnsi="Times New Roman" w:eastAsia="宋体" w:cs="Times New Roman"/>
      <w:lang w:val="en-US" w:eastAsia="zh-CN" w:bidi="ar-SA"/>
    </w:rPr>
  </w:style>
  <w:style w:type="paragraph" w:customStyle="1" w:styleId="7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74">
    <w:name w:val="修订3"/>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75">
    <w:name w:val="星耀正文"/>
    <w:basedOn w:val="1"/>
    <w:qFormat/>
    <w:uiPriority w:val="3"/>
    <w:pPr>
      <w:spacing w:line="560" w:lineRule="exact"/>
      <w:ind w:firstLine="200" w:firstLineChars="200"/>
    </w:pPr>
    <w:rPr>
      <w:rFonts w:ascii="Times New Roman" w:hAnsi="Times New Roman" w:eastAsia="仿宋_GB2312" w:cs="Times New Roman"/>
      <w:kern w:val="0"/>
      <w:sz w:val="32"/>
      <w:szCs w:val="28"/>
      <w:lang w:val="zh-CN"/>
    </w:rPr>
  </w:style>
  <w:style w:type="paragraph" w:customStyle="1" w:styleId="76">
    <w:name w:val="修订4"/>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77">
    <w:name w:val="修订5"/>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78">
    <w:name w:val="修订6"/>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79">
    <w:name w:val="修订7"/>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80">
    <w:name w:val="正文文本首行缩进 字符"/>
    <w:qFormat/>
    <w:uiPriority w:val="0"/>
    <w:rPr>
      <w:rFonts w:hint="eastAsia" w:ascii="等线" w:hAnsi="等线" w:eastAsia="等线" w:cs="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4095</Words>
  <Characters>4351</Characters>
  <Lines>308</Lines>
  <Paragraphs>86</Paragraphs>
  <TotalTime>5</TotalTime>
  <ScaleCrop>false</ScaleCrop>
  <LinksUpToDate>false</LinksUpToDate>
  <CharactersWithSpaces>4358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2023-12-06T11:51:00Z</dcterms:created>
  <dc:creator>Rocky</dc:creator>
  <cp:lastModifiedBy>hzj</cp:lastModifiedBy>
  <cp:lastPrinted>2023-12-06T11:53:00Z</cp:lastPrinted>
  <dcterms:modified xsi:type="dcterms:W3CDTF">2024-02-27T09:46:57Z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3717C4D9F5C34C6E8B56EC52C19EFAA8_13</vt:lpwstr>
  </property>
</Properties>
</file>