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</w:pPr>
    </w:p>
    <w:p>
      <w:pPr>
        <w:spacing w:line="560" w:lineRule="exact"/>
        <w:rPr>
          <w:rFonts w:ascii="Times New Roman" w:hAnsi="Times New Roman" w:cs="Times New Roman"/>
          <w:lang w:eastAsia="zh-Hans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坪山区2022年度环卫服务一体化项目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（清扫保洁、公厕管养、雾炮抑尘部分）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绩效评价报告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pStyle w:val="8"/>
        <w:spacing w:line="560" w:lineRule="exact"/>
        <w:ind w:left="0"/>
        <w:rPr>
          <w:rFonts w:cs="Times New Roma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/>
        <w:rPr>
          <w:rFonts w:ascii="Times New Roman" w:hAnsi="Times New Roman" w:eastAsia="宋体" w:cs="Times New Roman"/>
        </w:rPr>
      </w:pPr>
    </w:p>
    <w:p>
      <w:pPr>
        <w:pStyle w:val="2"/>
        <w:ind w:left="0" w:leftChars="0"/>
        <w:rPr>
          <w:rFonts w:ascii="Times New Roman" w:hAnsi="Times New Roman" w:cs="Times New Roman"/>
        </w:rPr>
      </w:pPr>
    </w:p>
    <w:p>
      <w:pPr>
        <w:pStyle w:val="8"/>
        <w:spacing w:line="560" w:lineRule="exact"/>
        <w:ind w:left="0"/>
        <w:rPr>
          <w:rFonts w:cs="Times New Roman"/>
        </w:rPr>
      </w:pPr>
    </w:p>
    <w:p>
      <w:pPr>
        <w:widowControl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" w:eastAsia="zh-CN"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坪山区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2022年度环卫服务一体化项目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项目主管部门：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深圳市坪山区城市管理和综合执法局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项目实施单位：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深圳市坪山区坪山街道办事处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深圳市坪山区坑梓街道办</w:t>
      </w:r>
      <w:bookmarkStart w:id="130" w:name="_GoBack"/>
      <w:bookmarkEnd w:id="13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事处</w:t>
      </w:r>
    </w:p>
    <w:p>
      <w:pPr>
        <w:widowControl/>
        <w:spacing w:line="560" w:lineRule="exact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深圳市坪山区龙田街道办事处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深圳市坪山区石井街道办事处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深圳市坪山区马峦街道办事处</w:t>
      </w:r>
    </w:p>
    <w:p>
      <w:pPr>
        <w:widowControl/>
        <w:spacing w:line="560" w:lineRule="exact"/>
        <w:ind w:firstLine="2880" w:firstLineChars="9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深圳市坪山区碧岭街道办事处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评价组织单位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深圳市坪山区财政局</w:t>
      </w:r>
    </w:p>
    <w:p>
      <w:pPr>
        <w:widowControl/>
        <w:spacing w:line="560" w:lineRule="exact"/>
        <w:ind w:firstLine="642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eastAsia="zh-Hans" w:bidi="ar"/>
        </w:rPr>
        <w:sectPr>
          <w:footerReference r:id="rId4" w:type="even"/>
          <w:footnotePr>
            <w:numFmt w:val="decimalEnclosedCircleChinese"/>
          </w:footnote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评价时间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7月-2023年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11月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 Regular" w:hAnsi="Times New Roman Regular" w:eastAsia="黑体" w:cs="Times New Roman Regular"/>
          <w:sz w:val="32"/>
          <w:szCs w:val="32"/>
        </w:rPr>
        <w:sectPr>
          <w:footerReference r:id="rId5" w:type="default"/>
          <w:footnotePr>
            <w:numFmt w:val="decimalEnclosedCircleChinese"/>
          </w:footnotePr>
          <w:pgSz w:w="11906" w:h="16838"/>
          <w:pgMar w:top="2098" w:right="1474" w:bottom="1984" w:left="1587" w:header="851" w:footer="992" w:gutter="0"/>
          <w:pgNumType w:start="1"/>
          <w:cols w:space="0" w:num="1"/>
          <w:docGrid w:type="lines" w:linePitch="312" w:charSpace="0"/>
        </w:sect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为贯彻《中共中央 国务院关于全面实施预算绩效管理的意见》（中发〔2018〕34号）文件精神，落实预算执行和绩效管理主体责任，综合评价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坪山区环卫服务一体化项目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坪山区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辖区范围环境卫生改善和环卫管理水平提高的实际效果，提高财政资金使用效益，深圳市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坪山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区财政局（以下简称“区财政局”）组建绩效评价工作小组（以下简称“评价组”），对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2022年度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环卫服务一体化项目（清扫保洁、公厕管养、雾炮抑尘部分）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开展绩效评价工作，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评价范围将根据项目实际情况向2023年适度延伸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。经书面评价、现场核查与综合分析，最终得出评价结论并形成本绩效评价报告。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</w:rPr>
      </w:pPr>
      <w:bookmarkStart w:id="0" w:name="_Toc1874338099"/>
      <w:bookmarkStart w:id="1" w:name="_Toc29280"/>
      <w:bookmarkStart w:id="2" w:name="_Toc24178"/>
      <w:bookmarkStart w:id="3" w:name="_Toc2140937781"/>
      <w:bookmarkStart w:id="4" w:name="_Toc1091367303"/>
      <w:bookmarkStart w:id="5" w:name="_Toc1889607511"/>
      <w:bookmarkStart w:id="6" w:name="_Toc134498363"/>
      <w:bookmarkStart w:id="7" w:name="_Toc2090872788"/>
      <w:r>
        <w:rPr>
          <w:szCs w:val="32"/>
          <w:lang w:val="en-US" w:eastAsia="zh-Hans"/>
        </w:rPr>
        <w:t>项目</w:t>
      </w:r>
      <w:r>
        <w:rPr>
          <w:szCs w:val="32"/>
        </w:rPr>
        <w:t>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8" w:name="_Toc952432494"/>
      <w:bookmarkStart w:id="9" w:name="_Toc2024032055"/>
      <w:bookmarkStart w:id="10" w:name="_Toc562812050"/>
      <w:bookmarkStart w:id="11" w:name="_Toc1645265541"/>
      <w:bookmarkStart w:id="12" w:name="_Toc1652779782"/>
      <w:bookmarkStart w:id="13" w:name="_Toc1361190297"/>
      <w:bookmarkStart w:id="14" w:name="_Toc8120"/>
      <w:r>
        <w:rPr>
          <w:rFonts w:hint="eastAsia" w:ascii="楷体_GB2312" w:hAnsi="楷体_GB2312" w:eastAsia="楷体_GB2312" w:cs="楷体_GB2312"/>
          <w:b w:val="0"/>
          <w:bCs w:val="0"/>
        </w:rPr>
        <w:t>项目背景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2023年3月，深圳市城市管理和综合执法局印发《深圳市推进环卫事业高质量发展三年行动计划（2023-2025年）》，提出推进新一轮环卫改革，加快打造全国最洁净城市。同年4月，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深圳市人大常务委员会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修订《深圳经济特区市容和环境卫生管理条例》，进一步落实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市容和环境卫生管理工作主体责任制度。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为落实市委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市政府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以上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工作部署，有效提升全区环境卫生水平，坪山区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Hans"/>
        </w:rPr>
        <w:t>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（以下简称“区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城管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局”）自2016年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起组织各街道办事处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（以下简称“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”）通过政府购买服务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形式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环卫保洁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工作。2019年初步整合清扫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保洁、垃圾清运、公厕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管养等服务内容，落实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环卫服务一体化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，细化环卫服务计费标准（以下简称“旧标准”）</w:t>
      </w:r>
      <w:r>
        <w:rPr>
          <w:rStyle w:val="2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footnoteReference w:id="0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年，为贯彻执行市、区大气污染强化减排措施，首次将雾炮抑尘纳入项目范围。2022年12月，区城管局进一步整合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环卫标段，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提升服务标准（以下简称“新标准”）</w:t>
      </w:r>
      <w:r>
        <w:rPr>
          <w:rStyle w:val="2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footnoteReference w:id="1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，并鼓励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将清扫保洁服务纳入城市物业改革范畴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，以适应环卫指数考核向市容综合指数考核转变。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截至2023年4月，除石井街道外，各街道基本完成新一轮招标工作。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15" w:name="_Toc23126"/>
      <w:bookmarkStart w:id="16" w:name="_Toc1664142962"/>
      <w:bookmarkStart w:id="17" w:name="_Toc568822129"/>
      <w:bookmarkStart w:id="18" w:name="_Toc382030188"/>
      <w:bookmarkStart w:id="19" w:name="_Toc1765779905"/>
      <w:bookmarkStart w:id="20" w:name="_Toc978508815"/>
      <w:bookmarkStart w:id="21" w:name="_Toc189821920"/>
      <w:r>
        <w:rPr>
          <w:rFonts w:hint="eastAsia" w:ascii="楷体_GB2312" w:hAnsi="楷体_GB2312" w:eastAsia="楷体_GB2312" w:cs="楷体_GB2312"/>
          <w:b w:val="0"/>
          <w:bCs w:val="0"/>
        </w:rPr>
        <w:t>项目管理及实施</w:t>
      </w:r>
      <w:bookmarkEnd w:id="15"/>
      <w:r>
        <w:rPr>
          <w:rFonts w:hint="eastAsia" w:ascii="楷体_GB2312" w:hAnsi="楷体_GB2312" w:eastAsia="楷体_GB2312" w:cs="楷体_GB2312"/>
          <w:b w:val="0"/>
          <w:bCs w:val="0"/>
        </w:rPr>
        <w:t>情况</w:t>
      </w:r>
      <w:bookmarkEnd w:id="16"/>
      <w:bookmarkEnd w:id="17"/>
      <w:bookmarkEnd w:id="18"/>
      <w:bookmarkEnd w:id="19"/>
      <w:bookmarkEnd w:id="20"/>
      <w:bookmarkEnd w:id="21"/>
    </w:p>
    <w:p>
      <w:pPr>
        <w:widowControl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1.项目管理情况</w:t>
      </w:r>
    </w:p>
    <w:p>
      <w:pPr>
        <w:pStyle w:val="5"/>
        <w:ind w:firstLine="653"/>
        <w:rPr>
          <w:szCs w:val="32"/>
          <w:lang w:eastAsia="zh-Hans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Hans" w:bidi="ar"/>
        </w:rPr>
        <w:t>本项目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主要由区城管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局和坪山区6个街道（坪山街道办事处、石井街道办事处、马峦街道办事处、坑梓街道办事处、碧岭街道办事处、龙田街道办事处）负责。</w:t>
      </w:r>
    </w:p>
    <w:p>
      <w:pPr>
        <w:widowControl/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Hans" w:bidi="ar"/>
        </w:rPr>
        <w:t>.项目实施情况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年，坪山区环卫标段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共计11个。其中清扫清运一体化</w:t>
      </w:r>
      <w:r>
        <w:rPr>
          <w:rStyle w:val="26"/>
          <w:rFonts w:hint="eastAsia" w:ascii="仿宋_GB2312" w:hAnsi="仿宋_GB2312" w:eastAsia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标段6个，主要道路清扫保洁标段3个，市政道路一体化</w:t>
      </w:r>
      <w:r>
        <w:rPr>
          <w:rStyle w:val="26"/>
          <w:rFonts w:hint="eastAsia" w:ascii="仿宋_GB2312" w:hAnsi="仿宋_GB2312" w:eastAsia="仿宋_GB2312" w:cs="仿宋_GB2312"/>
          <w:sz w:val="32"/>
          <w:szCs w:val="32"/>
        </w:rPr>
        <w:footnoteReference w:id="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管养改革试点标段1个，物业化改革服务标段1个。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新标准发布后，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区城管局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要求各街道仅设立1个清扫保洁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综合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采购标段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，不再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拆分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设立主干道标段和市政道路一体化管养标段。</w:t>
      </w:r>
    </w:p>
    <w:p>
      <w:pPr>
        <w:numPr>
          <w:ilvl w:val="1"/>
          <w:numId w:val="0"/>
        </w:num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22" w:name="_Toc2873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.项目实施成效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 w:bidi="ar"/>
        </w:rPr>
        <w:t>根据新一轮测绘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情况，2022年坪山区各街道清扫保洁总面积约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1,851.21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万平方米</w:t>
      </w:r>
      <w:r>
        <w:rPr>
          <w:rStyle w:val="2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footnoteReference w:id="4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，维护管养公厕31座。区城管局、各街道着力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推进环卫指数测评、环卫管理、环卫设施建设等工作，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城区环境卫生品质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得到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改善，全市环卫指数排名第9，较2021年成绩提升1位，第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四季度全市公厕环境指数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排名第1。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23" w:name="_Toc1952748833"/>
      <w:bookmarkStart w:id="24" w:name="_Toc1323793645"/>
      <w:bookmarkStart w:id="25" w:name="_Toc367884979"/>
      <w:bookmarkStart w:id="26" w:name="_Toc1743809306"/>
      <w:bookmarkStart w:id="27" w:name="_Toc423743806"/>
      <w:bookmarkStart w:id="28" w:name="_Toc1386345442"/>
      <w:r>
        <w:rPr>
          <w:rFonts w:hint="eastAsia" w:ascii="楷体_GB2312" w:hAnsi="楷体_GB2312" w:eastAsia="楷体_GB2312" w:cs="楷体_GB2312"/>
          <w:b w:val="0"/>
          <w:bCs w:val="0"/>
        </w:rPr>
        <w:t>预算安排及执行情况</w:t>
      </w:r>
      <w:bookmarkEnd w:id="23"/>
      <w:bookmarkEnd w:id="24"/>
      <w:bookmarkEnd w:id="25"/>
      <w:bookmarkEnd w:id="26"/>
      <w:bookmarkEnd w:id="27"/>
      <w:bookmarkEnd w:id="28"/>
    </w:p>
    <w:bookmarkEnd w:id="22"/>
    <w:p>
      <w:pPr>
        <w:pStyle w:val="5"/>
        <w:ind w:firstLine="640"/>
        <w:rPr>
          <w:rFonts w:ascii="仿宋_GB2312" w:hAnsi="仿宋_GB2312" w:cs="仿宋_GB2312"/>
          <w:color w:val="000000"/>
          <w:szCs w:val="32"/>
          <w:lang w:val="en-US" w:eastAsia="zh-Hans" w:bidi="ar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本项目预算纳入各街道部门预算安排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202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2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年项目年初预算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21,293.75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万元，实际安排预算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20,860.07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万元。截至202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2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年12月31日，项目实际支出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20,820.95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万元，预算执行率99.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81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%。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29" w:name="_Toc626998903"/>
      <w:bookmarkStart w:id="30" w:name="_Toc117488301"/>
      <w:bookmarkStart w:id="31" w:name="_Toc45698069"/>
      <w:bookmarkStart w:id="32" w:name="_Toc6256"/>
      <w:bookmarkStart w:id="33" w:name="_Toc92428047"/>
      <w:bookmarkStart w:id="34" w:name="_Toc920744699"/>
      <w:bookmarkStart w:id="35" w:name="_Toc2105837360"/>
      <w:r>
        <w:rPr>
          <w:szCs w:val="32"/>
          <w:lang w:val="en-US" w:eastAsia="zh-Hans"/>
        </w:rPr>
        <w:t>绩效评价工作开展情况</w:t>
      </w:r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36" w:name="_Toc130523313"/>
      <w:bookmarkStart w:id="37" w:name="_Toc1088403314"/>
      <w:bookmarkStart w:id="38" w:name="_Toc807509148"/>
      <w:bookmarkStart w:id="39" w:name="_Toc1395783704"/>
      <w:bookmarkStart w:id="40" w:name="_Toc188995811"/>
      <w:bookmarkStart w:id="41" w:name="_Toc268306892"/>
      <w:r>
        <w:rPr>
          <w:rFonts w:hint="eastAsia" w:ascii="楷体_GB2312" w:hAnsi="楷体_GB2312" w:eastAsia="楷体_GB2312" w:cs="楷体_GB2312"/>
          <w:b w:val="0"/>
          <w:bCs w:val="0"/>
        </w:rPr>
        <w:t>评价目的</w:t>
      </w:r>
      <w:bookmarkEnd w:id="36"/>
      <w:bookmarkEnd w:id="37"/>
      <w:bookmarkEnd w:id="38"/>
      <w:bookmarkEnd w:id="39"/>
      <w:bookmarkEnd w:id="40"/>
      <w:bookmarkEnd w:id="41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为了客观评价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环卫服务一体化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项目的经费使用情况，衡量2022年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支出整体绩效，本项目从资金使用经济性、效率性、效果性和公平性进行客观、公正的综合评判。通过本次绩效评价，旨在总结既有经验、分析存在问题，强化预算绩效管理意识，促进各街道进一步提升预算绩效管理水平，强化支出责任，提高财政资金使用效益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42" w:name="_Toc528793252"/>
      <w:bookmarkStart w:id="43" w:name="_Toc1124518004"/>
      <w:bookmarkStart w:id="44" w:name="_Toc324281564"/>
      <w:bookmarkStart w:id="45" w:name="_Toc1865758791"/>
      <w:bookmarkStart w:id="46" w:name="_Toc1972836947"/>
      <w:bookmarkStart w:id="47" w:name="_Toc1857085043"/>
      <w:r>
        <w:rPr>
          <w:rFonts w:hint="eastAsia" w:ascii="楷体_GB2312" w:hAnsi="楷体_GB2312" w:eastAsia="楷体_GB2312" w:cs="楷体_GB2312"/>
          <w:b w:val="0"/>
          <w:bCs w:val="0"/>
        </w:rPr>
        <w:t>评价对象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  <w:t>及</w:t>
      </w:r>
      <w:r>
        <w:rPr>
          <w:rFonts w:hint="eastAsia" w:ascii="楷体_GB2312" w:hAnsi="楷体_GB2312" w:eastAsia="楷体_GB2312" w:cs="楷体_GB2312"/>
          <w:b w:val="0"/>
          <w:bCs w:val="0"/>
        </w:rPr>
        <w:t>范围</w:t>
      </w:r>
      <w:bookmarkEnd w:id="42"/>
      <w:bookmarkEnd w:id="43"/>
      <w:bookmarkEnd w:id="44"/>
      <w:bookmarkEnd w:id="45"/>
      <w:bookmarkEnd w:id="46"/>
      <w:bookmarkEnd w:id="47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本次绩效评价对象为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坪山区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环卫服务一体化项目（清扫保洁、公厕管养、雾炮抑尘部分）。评价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年全年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并根据项目实际情况向2023年适当延伸。项目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涉及财政资金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计20,860.07万元。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48" w:name="_Toc1900295122"/>
      <w:bookmarkStart w:id="49" w:name="_Toc1696575998"/>
      <w:bookmarkStart w:id="50" w:name="_Toc1351809273"/>
      <w:bookmarkStart w:id="51" w:name="_Toc2072352841"/>
      <w:bookmarkStart w:id="52" w:name="_Toc233952158"/>
      <w:bookmarkStart w:id="53" w:name="_Toc10748004"/>
      <w:r>
        <w:rPr>
          <w:szCs w:val="32"/>
          <w:lang w:val="en-US" w:eastAsia="zh-Hans"/>
        </w:rPr>
        <w:t>评价结论及指标分析</w:t>
      </w:r>
      <w:bookmarkEnd w:id="48"/>
      <w:bookmarkEnd w:id="49"/>
      <w:bookmarkEnd w:id="50"/>
      <w:bookmarkEnd w:id="51"/>
      <w:bookmarkEnd w:id="52"/>
      <w:bookmarkEnd w:id="53"/>
    </w:p>
    <w:p>
      <w:pPr>
        <w:adjustRightInd w:val="0"/>
        <w:snapToGrid w:val="0"/>
        <w:spacing w:beforeLines="0" w:line="560" w:lineRule="atLeas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根据财政部《项目支出绩效评价管理办法》(财预〔2020〕</w:t>
      </w:r>
    </w:p>
    <w:p>
      <w:pPr>
        <w:adjustRightInd w:val="0"/>
        <w:snapToGrid w:val="0"/>
        <w:spacing w:beforeLines="0" w:line="56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10 号),本次绩效评价采取评分和评级相结合的方式,将绩效评价结果按级划分为四档:90(含)-100 分为优、80(含)-90 分为良、60(含)-80 分为中、60 分以下为差。基于书面、现场核查结果及相关佐证材料分析，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Hans"/>
        </w:rPr>
        <w:t>坪山区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2022年度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Hans"/>
        </w:rPr>
        <w:t>环卫服务一体化项目（清扫保洁、公厕管养、雾炮抑尘部分）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综合评价得分为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Hans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分，绩效等级为“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Hans"/>
        </w:rPr>
        <w:t>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54" w:name="_Toc1899154813"/>
      <w:bookmarkStart w:id="55" w:name="_Toc1104351911"/>
      <w:bookmarkStart w:id="56" w:name="_Toc1941916472"/>
      <w:bookmarkStart w:id="57" w:name="_Toc91977524"/>
      <w:bookmarkStart w:id="58" w:name="_Toc856362672"/>
      <w:bookmarkStart w:id="59" w:name="_Toc892840106"/>
      <w:r>
        <w:rPr>
          <w:rFonts w:hint="eastAsia"/>
          <w:szCs w:val="32"/>
          <w:lang w:val="en-US" w:eastAsia="zh-CN"/>
        </w:rPr>
        <w:t>项目相关履职情况</w:t>
      </w:r>
      <w:bookmarkEnd w:id="54"/>
      <w:bookmarkEnd w:id="55"/>
      <w:bookmarkEnd w:id="56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2022年度区城管局作为全区环卫工作主管部门，通过修订环卫作业及计费标准、优化服务质量要求，规划、指导各街道项目招标工作，以及定期收集、汇总和通报市、区监管考核情况等多项举措，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大大提升了全区环卫业务体系建设水平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如统筹整合全区环卫标段，改善各标段环卫服务机构间因管养界限导致责任不清的问题，将环卫实施主体责任清晰、准确地落实到位。制定区环卫企业监督考核办法，发布《坪山区环境卫生服务企业考核办法》，实行考核扣款和履约评价“双考核机制”，强化履约评价运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同时，各街道作为环卫工作的责任主体和环卫项目的采购主体，自觉接受市、区城管局的监督指导，夯实环卫管理基础，完善环卫设施建设，积极实践环卫一体化项目的标段合并，推进新一轮环卫招标交接工作，推动新标准的实施，创新工作方式多措并举，如龙田、坑梓、碧岭街道均整合设立1个环卫清扫保洁服务标段，坪山、马峦街道转变环卫服务模式，启动城市物业管理改革项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2022年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坪山区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环卫指数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全市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排名第9，较2021年成绩提升1位，第四季度全市公厕环境指数排名第1。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/>
          <w:lang w:eastAsia="zh-Hans" w:bidi="ar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/>
          <w:lang w:val="en-US" w:eastAsia="zh-Hans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/>
          <w:lang w:val="en-US" w:eastAsia="zh-Hans" w:bidi="ar"/>
        </w:rPr>
        <w:t>坪山区第二季度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市容环境综合指数排名全市第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  <w:lang w:val="en-US" w:eastAsia="zh-Hans" w:bidi="ar"/>
        </w:rPr>
        <w:footnoteReference w:id="5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年环卫指数排名提升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 w:bidi="ar"/>
        </w:rPr>
        <w:t>各街道“干净”指数等次均在A等次及以上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Hans" w:bidi="ar"/>
        </w:rPr>
        <w:footnoteReference w:id="6"/>
      </w:r>
      <w:r>
        <w:rPr>
          <w:rFonts w:hint="eastAsia" w:ascii="仿宋_GB2312" w:hAnsi="仿宋_GB2312" w:eastAsia="仿宋_GB2312" w:cs="仿宋_GB231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公厕指数连续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 w:bidi="ar"/>
        </w:rPr>
        <w:t>个季度排名全市第1位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 w:bidi="ar"/>
        </w:rPr>
        <w:t>城区环境卫生品质取得明显提升。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60" w:name="_Toc333677798"/>
      <w:bookmarkStart w:id="61" w:name="_Toc141407156"/>
      <w:bookmarkStart w:id="62" w:name="_Toc1045496730"/>
      <w:r>
        <w:rPr>
          <w:szCs w:val="32"/>
          <w:lang w:val="en-US" w:eastAsia="zh-Hans"/>
        </w:rPr>
        <w:t>主要成效及经验</w:t>
      </w:r>
      <w:bookmarkEnd w:id="57"/>
      <w:bookmarkEnd w:id="58"/>
      <w:bookmarkEnd w:id="59"/>
      <w:bookmarkEnd w:id="60"/>
      <w:bookmarkEnd w:id="61"/>
      <w:bookmarkEnd w:id="62"/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63" w:name="_Toc1495419953"/>
      <w:bookmarkStart w:id="64" w:name="_Toc452026110"/>
      <w:bookmarkStart w:id="65" w:name="_Toc1825503675"/>
      <w:bookmarkStart w:id="66" w:name="_Toc952341356"/>
      <w:bookmarkStart w:id="67" w:name="_Toc1042948669"/>
      <w:bookmarkStart w:id="68" w:name="_Toc1513157310"/>
      <w:r>
        <w:rPr>
          <w:rFonts w:hint="eastAsia" w:ascii="楷体_GB2312" w:hAnsi="楷体_GB2312" w:eastAsia="楷体_GB2312" w:cs="楷体_GB2312"/>
          <w:b w:val="0"/>
          <w:bCs w:val="0"/>
        </w:rPr>
        <w:t>提升环卫服务新标准，健全环卫企业</w:t>
      </w:r>
      <w:r>
        <w:rPr>
          <w:rFonts w:hint="eastAsia" w:ascii="楷体_GB2312" w:hAnsi="楷体_GB2312" w:eastAsia="楷体_GB2312" w:cs="楷体_GB2312"/>
          <w:b w:val="0"/>
          <w:bCs w:val="0"/>
          <w:lang w:eastAsia="zh-Hans"/>
        </w:rPr>
        <w:t>监督考核</w:t>
      </w:r>
      <w:r>
        <w:rPr>
          <w:rFonts w:hint="eastAsia" w:ascii="楷体_GB2312" w:hAnsi="楷体_GB2312" w:eastAsia="楷体_GB2312" w:cs="楷体_GB2312"/>
          <w:b w:val="0"/>
          <w:bCs w:val="0"/>
        </w:rPr>
        <w:t>机制</w:t>
      </w:r>
      <w:bookmarkEnd w:id="63"/>
      <w:bookmarkEnd w:id="64"/>
      <w:bookmarkEnd w:id="65"/>
      <w:r>
        <w:rPr>
          <w:rFonts w:ascii="楷体_GB2312" w:hAnsi="楷体_GB2312" w:eastAsia="楷体_GB2312" w:cs="楷体_GB2312"/>
          <w:b w:val="0"/>
          <w:bCs w:val="0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lang w:eastAsia="zh-Hans"/>
        </w:rPr>
        <w:t>统筹开展项目招标工作</w:t>
      </w:r>
      <w:bookmarkEnd w:id="66"/>
      <w:bookmarkEnd w:id="67"/>
      <w:bookmarkEnd w:id="68"/>
    </w:p>
    <w:p>
      <w:pPr>
        <w:numPr>
          <w:ilvl w:val="1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优化环卫作业面积、作业标准、管养等级、计费标准等。区城管局会同各街道完成全区环卫保洁面积新一轮测绘工作，明确了各街道市政道路、城中村分级，并对清扫保洁、垃圾转运、公厕管理、雾炮抑尘的经费标准进行调整，细化坪山区环卫服务管理，进一步提高重点区域环卫服务质量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建立“区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街-社”三级监管体系，提高精细化管理水平，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将智慧环卫作业监管平台考核、环卫服务质量考核、市容环境综合指数测评得分、社区履约考核评价、专项检查等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纳入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考核内容，形成监管月通报，精准通报环卫痛点问题。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统筹开展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新一轮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环卫招标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区城管局通过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整合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全区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环卫标段，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改善各标段间易发生管养界限推诿的问题，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对评标、定标等重要环节进一步规范，采用“评定分离法”选定中标供应商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全区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环卫品质提升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四是</w:t>
      </w:r>
      <w:r>
        <w:rPr>
          <w:rFonts w:hint="eastAsia" w:ascii="仿宋_GB2312" w:eastAsia="仿宋_GB2312"/>
          <w:sz w:val="32"/>
          <w:szCs w:val="32"/>
          <w:lang w:eastAsia="zh-Hans"/>
        </w:rPr>
        <w:t>新标段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坚持低碳环保理念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环卫作业模式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推陈出新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使用“以洗代扫+机械为主、人工为辅”的作业模式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在主干道采取“机扫冲刷+雾炮洒水+人工冲洗+护栏冲洗+小型作业”组合作业模式；在城中村，运用小型化机械设备配合人工的方式，实施分时段环卫作业管理，全面提升环卫工作效率和清洁化水平。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69" w:name="_Toc805549201"/>
      <w:bookmarkStart w:id="70" w:name="_Toc1133561396"/>
      <w:bookmarkStart w:id="71" w:name="_Toc1553171331"/>
      <w:bookmarkStart w:id="72" w:name="_Toc1076753069"/>
      <w:bookmarkStart w:id="73" w:name="_Toc1522029230"/>
      <w:bookmarkStart w:id="74" w:name="_Toc141401036"/>
      <w:r>
        <w:rPr>
          <w:rFonts w:hint="eastAsia" w:ascii="楷体_GB2312" w:hAnsi="楷体_GB2312" w:eastAsia="楷体_GB2312" w:cs="楷体_GB2312"/>
          <w:b w:val="0"/>
          <w:bCs w:val="0"/>
          <w:lang w:eastAsia="zh-Hans"/>
        </w:rPr>
        <w:t>开展专项增效行动，大力提升</w:t>
      </w:r>
      <w:r>
        <w:rPr>
          <w:rFonts w:hint="eastAsia" w:ascii="楷体_GB2312" w:hAnsi="楷体_GB2312" w:eastAsia="楷体_GB2312" w:cs="楷体_GB2312"/>
          <w:b w:val="0"/>
          <w:bCs w:val="0"/>
        </w:rPr>
        <w:t>环卫质量监管力度，责任压力传导到边到底</w:t>
      </w:r>
      <w:bookmarkEnd w:id="69"/>
      <w:bookmarkEnd w:id="70"/>
      <w:bookmarkEnd w:id="71"/>
      <w:bookmarkEnd w:id="72"/>
      <w:bookmarkEnd w:id="73"/>
      <w:bookmarkEnd w:id="74"/>
    </w:p>
    <w:p>
      <w:pPr>
        <w:pStyle w:val="10"/>
        <w:autoSpaceDE w:val="0"/>
        <w:autoSpaceDN w:val="0"/>
        <w:spacing w:line="560" w:lineRule="exact"/>
        <w:ind w:firstLine="640" w:firstLineChars="200"/>
        <w:rPr>
          <w:kern w:val="0"/>
          <w:lang w:val="en-US" w:eastAsia="zh-Hans" w:bidi="ar-SA"/>
        </w:rPr>
      </w:pPr>
      <w:r>
        <w:rPr>
          <w:rFonts w:hint="eastAsia"/>
          <w:b w:val="0"/>
          <w:bCs w:val="0"/>
          <w:lang w:val="en-US" w:eastAsia="zh-Hans"/>
        </w:rPr>
        <w:t>一是</w:t>
      </w:r>
      <w:r>
        <w:rPr>
          <w:rFonts w:hint="eastAsia"/>
        </w:rPr>
        <w:t>开展“环卫质量提升月”行动。</w:t>
      </w:r>
      <w:r>
        <w:rPr>
          <w:rFonts w:hint="eastAsia"/>
          <w:kern w:val="0"/>
          <w:lang w:bidi="ar"/>
        </w:rPr>
        <w:t>全面理清基础配置情况，固化作业模式，在市政道</w:t>
      </w:r>
      <w:r>
        <w:rPr>
          <w:rFonts w:hint="eastAsia"/>
        </w:rPr>
        <w:t>路、城中村等区域全面开展“大冲洗、大清扫”行动，对公厕、垃圾转运站、环卫车等重点场所开展专项增效行动</w:t>
      </w:r>
      <w:r>
        <w:rPr>
          <w:rFonts w:hint="eastAsia"/>
          <w:kern w:val="0"/>
          <w:lang w:bidi="ar"/>
        </w:rPr>
        <w:t>。</w:t>
      </w:r>
      <w:r>
        <w:rPr>
          <w:rFonts w:hint="eastAsia"/>
          <w:b w:val="0"/>
          <w:bCs w:val="0"/>
          <w:kern w:val="0"/>
          <w:lang w:val="en-US" w:eastAsia="zh-Hans" w:bidi="ar-SA"/>
        </w:rPr>
        <w:t>二</w:t>
      </w:r>
      <w:r>
        <w:rPr>
          <w:rFonts w:hint="eastAsia"/>
          <w:b w:val="0"/>
          <w:bCs w:val="0"/>
          <w:lang w:val="en-US"/>
        </w:rPr>
        <w:t>是</w:t>
      </w:r>
      <w:r>
        <w:rPr>
          <w:rFonts w:hint="eastAsia"/>
          <w:kern w:val="0"/>
          <w:lang w:val="en-US" w:bidi="ar-SA"/>
        </w:rPr>
        <w:t>强化环卫专项检查。</w:t>
      </w:r>
      <w:r>
        <w:rPr>
          <w:rFonts w:hint="eastAsia" w:ascii="仿宋_GB2312" w:hAnsi="仿宋_GB2312" w:cs="仿宋_GB2312"/>
          <w:kern w:val="0"/>
          <w:lang w:bidi="ar-SA"/>
        </w:rPr>
        <w:t>2022</w:t>
      </w:r>
      <w:r>
        <w:rPr>
          <w:rFonts w:hint="eastAsia"/>
          <w:kern w:val="0"/>
          <w:lang w:val="en-US" w:eastAsia="zh-Hans" w:bidi="ar-SA"/>
        </w:rPr>
        <w:t>年</w:t>
      </w:r>
      <w:r>
        <w:rPr>
          <w:rFonts w:hint="eastAsia"/>
          <w:kern w:val="0"/>
          <w:lang w:eastAsia="zh-Hans" w:bidi="ar-SA"/>
        </w:rPr>
        <w:t>，</w:t>
      </w:r>
      <w:r>
        <w:rPr>
          <w:rFonts w:hint="eastAsia"/>
          <w:kern w:val="0"/>
          <w:lang w:val="en-US" w:eastAsia="zh-Hans" w:bidi="ar-SA"/>
        </w:rPr>
        <w:t>区城管局多次开展</w:t>
      </w:r>
      <w:r>
        <w:rPr>
          <w:rFonts w:hint="eastAsia"/>
          <w:kern w:val="0"/>
          <w:lang w:val="en-US" w:bidi="ar-SA"/>
        </w:rPr>
        <w:t>人车设备配置检查、夜间突击检查、现场作业检查等系列监管检查行动，</w:t>
      </w:r>
      <w:r>
        <w:rPr>
          <w:rFonts w:hint="eastAsia"/>
          <w:kern w:val="0"/>
          <w:lang w:bidi="ar-SA"/>
        </w:rPr>
        <w:t>同时结合监管平台</w:t>
      </w:r>
      <w:r>
        <w:rPr>
          <w:rFonts w:hint="eastAsia"/>
          <w:kern w:val="0"/>
          <w:lang w:val="en-US" w:bidi="ar-SA"/>
        </w:rPr>
        <w:t>分析情况，落实“严管重罚”工作要求</w:t>
      </w:r>
      <w:r>
        <w:rPr>
          <w:rFonts w:hint="eastAsia"/>
          <w:kern w:val="0"/>
          <w:lang w:bidi="ar-SA"/>
        </w:rPr>
        <w:t>。</w:t>
      </w:r>
      <w:r>
        <w:rPr>
          <w:rFonts w:hint="eastAsia"/>
          <w:b w:val="0"/>
          <w:bCs w:val="0"/>
          <w:lang w:val="en-US" w:eastAsia="zh-Hans"/>
        </w:rPr>
        <w:t>三</w:t>
      </w:r>
      <w:r>
        <w:rPr>
          <w:rFonts w:hint="eastAsia"/>
          <w:b w:val="0"/>
          <w:bCs w:val="0"/>
          <w:kern w:val="0"/>
          <w:lang w:val="en-US" w:eastAsia="zh-Hans" w:bidi="ar-SA"/>
        </w:rPr>
        <w:t>是</w:t>
      </w:r>
      <w:r>
        <w:rPr>
          <w:rFonts w:hint="eastAsia"/>
          <w:lang w:val="en-US"/>
        </w:rPr>
        <w:t>持续完善样本框管理机制。印发《关于深化环卫指数样本</w:t>
      </w:r>
      <w:r>
        <w:rPr>
          <w:rFonts w:hint="eastAsia"/>
          <w:b w:val="0"/>
          <w:bCs w:val="0"/>
          <w:lang w:val="en-US"/>
        </w:rPr>
        <w:t>框管理责任制的通知》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val="en-US"/>
        </w:rPr>
        <w:t>推进环卫基层治理参与度的提升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kern w:val="0"/>
          <w:lang w:val="en-US" w:eastAsia="zh-Hans" w:bidi="ar-SA"/>
        </w:rPr>
        <w:t>四</w:t>
      </w:r>
      <w:r>
        <w:rPr>
          <w:rFonts w:hint="eastAsia"/>
          <w:b w:val="0"/>
          <w:bCs w:val="0"/>
          <w:lang w:val="en-US" w:bidi="ar-SA"/>
        </w:rPr>
        <w:t>是压</w:t>
      </w:r>
      <w:r>
        <w:rPr>
          <w:rFonts w:hint="eastAsia"/>
          <w:lang w:val="en-US" w:bidi="ar-SA"/>
        </w:rPr>
        <w:t>实社区主体责任。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75" w:name="_Toc1486830832"/>
      <w:bookmarkStart w:id="76" w:name="_Toc1438950035"/>
      <w:bookmarkStart w:id="77" w:name="_Toc144137414"/>
      <w:bookmarkStart w:id="78" w:name="_Toc2067549193"/>
      <w:bookmarkStart w:id="79" w:name="_Toc1128510519"/>
      <w:bookmarkStart w:id="80" w:name="_Toc1410298470"/>
      <w:r>
        <w:rPr>
          <w:rFonts w:hint="eastAsia" w:ascii="楷体_GB2312" w:hAnsi="楷体_GB2312" w:eastAsia="楷体_GB2312" w:cs="楷体_GB2312"/>
          <w:b w:val="0"/>
          <w:bCs w:val="0"/>
        </w:rPr>
        <w:t>探索“站格制”管理模式，</w:t>
      </w:r>
      <w:r>
        <w:rPr>
          <w:rFonts w:hint="eastAsia" w:ascii="楷体_GB2312" w:hAnsi="楷体_GB2312" w:eastAsia="楷体_GB2312" w:cs="楷体_GB2312"/>
          <w:b w:val="0"/>
          <w:bCs w:val="0"/>
          <w:lang w:eastAsia="zh-Hans"/>
        </w:rPr>
        <w:t>搭建</w:t>
      </w:r>
      <w:r>
        <w:rPr>
          <w:rFonts w:hint="eastAsia" w:ascii="楷体_GB2312" w:hAnsi="楷体_GB2312" w:eastAsia="楷体_GB2312" w:cs="楷体_GB2312"/>
          <w:b w:val="0"/>
          <w:bCs w:val="0"/>
        </w:rPr>
        <w:t>市容环卫综合治理</w:t>
      </w:r>
      <w:r>
        <w:rPr>
          <w:rFonts w:hint="eastAsia" w:ascii="楷体_GB2312" w:hAnsi="楷体_GB2312" w:eastAsia="楷体_GB2312" w:cs="楷体_GB2312"/>
          <w:b w:val="0"/>
          <w:bCs w:val="0"/>
          <w:lang w:eastAsia="zh-Hans"/>
        </w:rPr>
        <w:t>平台</w:t>
      </w:r>
      <w:r>
        <w:rPr>
          <w:rFonts w:hint="eastAsia" w:ascii="楷体_GB2312" w:hAnsi="楷体_GB2312" w:eastAsia="楷体_GB2312" w:cs="楷体_GB2312"/>
          <w:b w:val="0"/>
          <w:bCs w:val="0"/>
        </w:rPr>
        <w:t>，环境品质提升成效显著</w:t>
      </w:r>
      <w:bookmarkEnd w:id="75"/>
      <w:bookmarkEnd w:id="76"/>
      <w:bookmarkEnd w:id="77"/>
      <w:bookmarkEnd w:id="78"/>
      <w:bookmarkEnd w:id="79"/>
      <w:bookmarkEnd w:id="80"/>
    </w:p>
    <w:p>
      <w:pPr>
        <w:pStyle w:val="5"/>
        <w:ind w:firstLine="640"/>
        <w:rPr>
          <w:rFonts w:hint="eastAsia" w:ascii="仿宋_GB2312" w:hAnsi="仿宋_GB2312" w:cs="仿宋_GB2312"/>
          <w:szCs w:val="32"/>
          <w:lang w:eastAsia="zh-Hans"/>
        </w:rPr>
      </w:pPr>
      <w:r>
        <w:rPr>
          <w:rFonts w:hint="eastAsia" w:ascii="仿宋_GB2312" w:hAnsi="仿宋_GB2312" w:cs="仿宋_GB2312"/>
          <w:szCs w:val="32"/>
          <w:lang w:eastAsia="zh-Hans"/>
        </w:rPr>
        <w:t>2023</w:t>
      </w:r>
      <w:r>
        <w:rPr>
          <w:rFonts w:hint="eastAsia" w:ascii="仿宋_GB2312" w:hAnsi="仿宋_GB2312" w:cs="仿宋_GB2312"/>
          <w:szCs w:val="32"/>
          <w:lang w:val="en-US" w:eastAsia="zh-Hans"/>
        </w:rPr>
        <w:t>年以来</w:t>
      </w:r>
      <w:r>
        <w:rPr>
          <w:rFonts w:hint="eastAsia" w:ascii="仿宋_GB2312" w:hAnsi="仿宋_GB2312" w:cs="仿宋_GB2312"/>
          <w:szCs w:val="32"/>
          <w:lang w:eastAsia="zh-Hans"/>
        </w:rPr>
        <w:t>，</w:t>
      </w:r>
      <w:r>
        <w:rPr>
          <w:rFonts w:hint="eastAsia" w:ascii="仿宋_GB2312" w:hAnsi="仿宋_GB2312" w:cs="仿宋_GB2312"/>
          <w:szCs w:val="32"/>
          <w:lang w:val="en-US" w:eastAsia="zh-Hans"/>
        </w:rPr>
        <w:t>坪山区</w:t>
      </w:r>
      <w:r>
        <w:rPr>
          <w:rFonts w:hint="eastAsia" w:ascii="仿宋_GB2312" w:hAnsi="仿宋_GB2312" w:cs="仿宋_GB2312"/>
          <w:szCs w:val="32"/>
          <w:lang w:eastAsia="zh-Hans"/>
        </w:rPr>
        <w:t>以</w:t>
      </w:r>
      <w:r>
        <w:rPr>
          <w:rFonts w:hint="eastAsia" w:ascii="仿宋_GB2312" w:hAnsi="仿宋_GB2312" w:cs="仿宋_GB2312"/>
          <w:szCs w:val="32"/>
          <w:lang w:val="en-US" w:eastAsia="zh-Hans"/>
        </w:rPr>
        <w:t>全市环境卫生指数测评向</w:t>
      </w:r>
      <w:r>
        <w:rPr>
          <w:rFonts w:hint="eastAsia" w:ascii="仿宋_GB2312" w:hAnsi="仿宋_GB2312" w:cs="仿宋_GB2312"/>
          <w:szCs w:val="32"/>
          <w:lang w:eastAsia="zh-Hans"/>
        </w:rPr>
        <w:t>市容环境综合指数测评转变为契机，</w:t>
      </w:r>
      <w:r>
        <w:rPr>
          <w:rFonts w:hint="eastAsia" w:ascii="仿宋_GB2312" w:hAnsi="仿宋_GB2312" w:cs="仿宋_GB2312"/>
          <w:szCs w:val="32"/>
          <w:lang w:val="en-US" w:eastAsia="zh-Hans"/>
        </w:rPr>
        <w:t>率先以</w:t>
      </w:r>
      <w:r>
        <w:rPr>
          <w:rFonts w:hint="eastAsia" w:ascii="仿宋_GB2312" w:hAnsi="仿宋_GB2312" w:cs="仿宋_GB2312"/>
          <w:szCs w:val="32"/>
          <w:lang w:eastAsia="zh-Hans"/>
        </w:rPr>
        <w:t>龙田街道</w:t>
      </w:r>
      <w:r>
        <w:rPr>
          <w:rFonts w:hint="eastAsia" w:ascii="仿宋_GB2312" w:hAnsi="仿宋_GB2312" w:cs="仿宋_GB2312"/>
          <w:szCs w:val="32"/>
          <w:lang w:val="en-US" w:eastAsia="zh-Hans"/>
        </w:rPr>
        <w:t>为试点</w:t>
      </w:r>
      <w:r>
        <w:rPr>
          <w:rFonts w:ascii="仿宋_GB2312" w:hAnsi="仿宋_GB2312" w:cs="仿宋_GB2312"/>
          <w:szCs w:val="32"/>
          <w:lang w:eastAsia="zh-Hans"/>
        </w:rPr>
        <w:t>，</w:t>
      </w:r>
      <w:r>
        <w:rPr>
          <w:rFonts w:hint="eastAsia" w:ascii="仿宋_GB2312" w:hAnsi="仿宋_GB2312" w:cs="仿宋_GB2312"/>
          <w:szCs w:val="32"/>
          <w:lang w:eastAsia="zh-Hans"/>
        </w:rPr>
        <w:t>整合搭建市容环卫综合治理平台，探索“站格制”城市管理模式</w:t>
      </w:r>
      <w:r>
        <w:rPr>
          <w:rFonts w:ascii="仿宋_GB2312" w:hAnsi="仿宋_GB2312" w:cs="仿宋_GB2312"/>
          <w:szCs w:val="32"/>
          <w:lang w:eastAsia="zh-Hans"/>
        </w:rPr>
        <w:t>，</w:t>
      </w:r>
      <w:r>
        <w:rPr>
          <w:rFonts w:hint="eastAsia" w:ascii="仿宋_GB2312" w:hAnsi="仿宋_GB2312" w:cs="仿宋_GB2312"/>
          <w:szCs w:val="32"/>
          <w:lang w:val="en-US" w:eastAsia="zh-Hans"/>
        </w:rPr>
        <w:t>助力</w:t>
      </w:r>
      <w:r>
        <w:rPr>
          <w:rFonts w:hint="eastAsia" w:ascii="仿宋_GB2312" w:hAnsi="仿宋_GB2312" w:cs="仿宋_GB2312"/>
          <w:szCs w:val="32"/>
          <w:lang w:eastAsia="zh-Hans"/>
        </w:rPr>
        <w:t>环境品质高质量发展。自4月</w:t>
      </w:r>
      <w:r>
        <w:rPr>
          <w:rFonts w:hint="eastAsia" w:ascii="仿宋_GB2312" w:hAnsi="仿宋_GB2312" w:cs="仿宋_GB2312"/>
          <w:szCs w:val="32"/>
          <w:lang w:val="en-US" w:eastAsia="zh-Hans"/>
        </w:rPr>
        <w:t>项目</w:t>
      </w:r>
      <w:r>
        <w:rPr>
          <w:rFonts w:hint="eastAsia" w:ascii="仿宋_GB2312" w:hAnsi="仿宋_GB2312" w:cs="仿宋_GB2312"/>
          <w:szCs w:val="32"/>
          <w:lang w:eastAsia="zh-Hans"/>
        </w:rPr>
        <w:t>启动以来，</w:t>
      </w:r>
      <w:r>
        <w:rPr>
          <w:rFonts w:hint="eastAsia" w:ascii="仿宋_GB2312" w:hAnsi="仿宋_GB2312" w:cs="仿宋_GB2312"/>
          <w:szCs w:val="32"/>
          <w:lang w:val="en-US" w:eastAsia="zh-Hans"/>
        </w:rPr>
        <w:t>龙田</w:t>
      </w:r>
      <w:r>
        <w:rPr>
          <w:rFonts w:hint="eastAsia" w:ascii="仿宋_GB2312" w:hAnsi="仿宋_GB2312" w:cs="仿宋_GB2312"/>
          <w:szCs w:val="32"/>
          <w:lang w:eastAsia="zh-Hans"/>
        </w:rPr>
        <w:t>街道第二季度市容环境综合指数测评现场考察得</w:t>
      </w:r>
      <w:r>
        <w:rPr>
          <w:rFonts w:hint="eastAsia" w:ascii="仿宋_GB2312" w:hAnsi="仿宋_GB2312" w:cs="仿宋_GB2312"/>
          <w:szCs w:val="32"/>
          <w:lang w:val="en-US" w:eastAsia="zh-Hans"/>
        </w:rPr>
        <w:t>分</w:t>
      </w:r>
      <w:r>
        <w:rPr>
          <w:rFonts w:hint="eastAsia" w:ascii="仿宋_GB2312" w:hAnsi="仿宋_GB2312" w:cs="仿宋_GB2312"/>
          <w:szCs w:val="32"/>
          <w:lang w:eastAsia="zh-Hans"/>
        </w:rPr>
        <w:t>91.73，</w:t>
      </w:r>
      <w:r>
        <w:rPr>
          <w:rFonts w:hint="eastAsia" w:ascii="仿宋_GB2312" w:hAnsi="仿宋_GB2312" w:cs="仿宋_GB2312"/>
          <w:szCs w:val="32"/>
          <w:lang w:val="en-US" w:eastAsia="zh-Hans"/>
        </w:rPr>
        <w:t>相较</w:t>
      </w:r>
      <w:r>
        <w:rPr>
          <w:rFonts w:hint="eastAsia" w:ascii="仿宋_GB2312" w:hAnsi="仿宋_GB2312" w:cs="仿宋_GB2312"/>
          <w:szCs w:val="32"/>
          <w:lang w:eastAsia="zh-Hans"/>
        </w:rPr>
        <w:t>第一季度提升4.76分，进步指数全市第3名、全区第1</w:t>
      </w:r>
      <w:r>
        <w:rPr>
          <w:rFonts w:hint="eastAsia" w:ascii="仿宋_GB2312" w:hAnsi="仿宋_GB2312" w:cs="仿宋_GB2312"/>
          <w:szCs w:val="32"/>
          <w:lang w:val="en-US" w:eastAsia="zh-Hans"/>
        </w:rPr>
        <w:t>名</w:t>
      </w:r>
      <w:r>
        <w:rPr>
          <w:rFonts w:hint="eastAsia" w:ascii="仿宋_GB2312" w:hAnsi="仿宋_GB2312" w:cs="仿宋_GB2312"/>
          <w:szCs w:val="32"/>
          <w:lang w:eastAsia="zh-Hans"/>
        </w:rPr>
        <w:t>，改革成效初显。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81" w:name="_Toc1619889378"/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Hans" w:bidi="ar-SA"/>
        </w:rPr>
        <w:t>石井街道以旧标准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推动辖区市容环境品质提升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Hans" w:bidi="ar-SA"/>
        </w:rPr>
        <w:t>实现环卫项目成本经济效益最大化</w:t>
      </w:r>
      <w:bookmarkEnd w:id="81"/>
    </w:p>
    <w:p>
      <w:pPr>
        <w:pStyle w:val="5"/>
        <w:ind w:firstLine="640"/>
        <w:rPr>
          <w:rFonts w:hint="default" w:ascii="仿宋_GB2312" w:hAnsi="仿宋_GB2312" w:cs="仿宋_GB2312"/>
          <w:kern w:val="2"/>
          <w:szCs w:val="32"/>
          <w:lang w:eastAsia="zh-Hans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新标准发布以来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因原标段未到期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石井街道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仍延续旧标准开展环卫工作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并以低于全区各街道的环卫服务单价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在全市考核中取得亮眼成绩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在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2023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年深圳市市容环境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Hans"/>
        </w:rPr>
        <w:t>考核体系变革的背景下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该街道排名稳中求进，第二季度干净指数全市第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7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位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满意度指数全市第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2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位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综合排名全市第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6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位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全区第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1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位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环卫工作成本经济效益显著</w:t>
      </w:r>
      <w:r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lang w:eastAsia="zh-Hans" w:bidi="ar-SA"/>
        </w:rPr>
        <w:t>。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82" w:name="_Toc300722529"/>
      <w:bookmarkStart w:id="83" w:name="_Toc1109373351"/>
      <w:bookmarkStart w:id="84" w:name="_Toc866394644"/>
      <w:bookmarkStart w:id="85" w:name="_Toc155963282"/>
      <w:bookmarkStart w:id="86" w:name="_Toc1830583027"/>
      <w:bookmarkStart w:id="87" w:name="_Toc1046076932"/>
      <w:r>
        <w:rPr>
          <w:szCs w:val="32"/>
          <w:lang w:val="en-US" w:eastAsia="zh-Hans"/>
        </w:rPr>
        <w:t>存在问题</w:t>
      </w:r>
      <w:bookmarkEnd w:id="82"/>
      <w:bookmarkEnd w:id="83"/>
      <w:bookmarkEnd w:id="84"/>
      <w:bookmarkEnd w:id="85"/>
      <w:bookmarkEnd w:id="86"/>
      <w:bookmarkEnd w:id="87"/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88" w:name="_Toc1555655048"/>
      <w:bookmarkStart w:id="89" w:name="_Toc784887003"/>
      <w:bookmarkStart w:id="90" w:name="_Toc1758207867"/>
      <w:bookmarkStart w:id="91" w:name="_Toc1344831234"/>
      <w:bookmarkStart w:id="92" w:name="_Toc1214523512"/>
      <w:bookmarkStart w:id="93" w:name="_Toc2113861782"/>
      <w:r>
        <w:rPr>
          <w:rFonts w:hint="eastAsia" w:ascii="楷体_GB2312" w:hAnsi="楷体_GB2312" w:eastAsia="楷体_GB2312" w:cs="楷体_GB2312"/>
          <w:b w:val="0"/>
          <w:bCs w:val="0"/>
        </w:rPr>
        <w:t>政策规划性和衔接及时性有待提高，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  <w:t>部分街道</w:t>
      </w:r>
      <w:r>
        <w:rPr>
          <w:rFonts w:hint="eastAsia" w:ascii="楷体_GB2312" w:hAnsi="楷体_GB2312" w:eastAsia="楷体_GB2312" w:cs="楷体_GB2312"/>
          <w:b w:val="0"/>
          <w:bCs w:val="0"/>
        </w:rPr>
        <w:t>新标准落实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Hans"/>
        </w:rPr>
        <w:t>较慢</w:t>
      </w:r>
      <w:r>
        <w:rPr>
          <w:rFonts w:hint="eastAsia" w:ascii="楷体_GB2312" w:hAnsi="楷体_GB2312" w:eastAsia="楷体_GB2312" w:cs="楷体_GB2312"/>
          <w:b w:val="0"/>
          <w:bCs w:val="0"/>
        </w:rPr>
        <w:t>，影响项目整体实施进度</w:t>
      </w:r>
      <w:bookmarkEnd w:id="88"/>
      <w:bookmarkEnd w:id="89"/>
      <w:bookmarkEnd w:id="90"/>
      <w:bookmarkEnd w:id="91"/>
      <w:bookmarkEnd w:id="92"/>
      <w:bookmarkEnd w:id="93"/>
    </w:p>
    <w:p>
      <w:pPr>
        <w:pStyle w:val="5"/>
        <w:ind w:firstLine="653"/>
        <w:rPr>
          <w:rFonts w:ascii="仿宋_GB2312" w:hAnsi="仿宋_GB2312" w:cs="仿宋_GB2312"/>
          <w:color w:val="000000"/>
          <w:szCs w:val="32"/>
          <w:lang w:val="en-US" w:eastAsia="zh-Hans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Hans" w:bidi="ar"/>
        </w:rPr>
        <w:t>一方面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政策衔接规划性不足，新标准出台过晚，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招标时间安排不合理。</w:t>
      </w:r>
      <w:r>
        <w:rPr>
          <w:rFonts w:hint="eastAsia" w:ascii="仿宋_GB2312" w:hAnsi="仿宋_GB2312" w:cs="仿宋_GB2312"/>
          <w:color w:val="000000"/>
          <w:szCs w:val="32"/>
          <w:lang w:val="en-US" w:eastAsia="zh-CN" w:bidi="ar"/>
        </w:rPr>
        <w:t>区城管局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于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2022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年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12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月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1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日下发《关于开展坪山区环卫服务项目招标相关工作的函》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向各街道明确新一轮招标工作安排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。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仅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给街道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预留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1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个月时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间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用于开展招标工作</w:t>
      </w:r>
      <w:r>
        <w:rPr>
          <w:rFonts w:hint="eastAsia" w:ascii="仿宋_GB2312" w:hAnsi="仿宋_GB2312" w:cs="仿宋_GB2312"/>
          <w:color w:val="000000"/>
          <w:szCs w:val="32"/>
          <w:lang w:val="en-US" w:eastAsia="zh-CN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bidi="ar"/>
        </w:rPr>
        <w:t>时间安排过于紧密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。</w:t>
      </w:r>
    </w:p>
    <w:p>
      <w:pPr>
        <w:pStyle w:val="5"/>
        <w:ind w:firstLine="653"/>
        <w:rPr>
          <w:rFonts w:ascii="仿宋_GB2312" w:hAnsi="仿宋_GB2312" w:cs="仿宋_GB2312"/>
          <w:color w:val="000000"/>
          <w:szCs w:val="32"/>
          <w:lang w:eastAsia="zh-Hans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Hans" w:bidi="ar"/>
        </w:rPr>
        <w:t>另一方面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部分街道政策落实进度较慢。在新标准实施过程中，由于项目涉及各环卫标段整合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且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在清扫面积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、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计费标准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、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服务内容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、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考核形式等方面均做出较大调整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除石井街道外</w:t>
      </w:r>
      <w:r>
        <w:rPr>
          <w:rFonts w:hint="default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各街道招标工作进度相对滞后。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94" w:name="_Toc1852997753"/>
      <w:bookmarkStart w:id="95" w:name="_Toc664601449"/>
      <w:bookmarkStart w:id="96" w:name="_Toc1751299547"/>
      <w:bookmarkStart w:id="97" w:name="_Toc280989511"/>
      <w:bookmarkStart w:id="98" w:name="_Toc313165163"/>
      <w:bookmarkStart w:id="99" w:name="_Toc824637949"/>
      <w:r>
        <w:rPr>
          <w:rFonts w:hint="eastAsia" w:ascii="楷体_GB2312" w:hAnsi="楷体_GB2312" w:eastAsia="楷体_GB2312" w:cs="楷体_GB2312"/>
          <w:b w:val="0"/>
          <w:bCs w:val="0"/>
        </w:rPr>
        <w:t>新标段实施过渡期长，环卫资源配备履约</w:t>
      </w:r>
      <w:r>
        <w:rPr>
          <w:rFonts w:hint="default" w:ascii="楷体_GB2312" w:hAnsi="楷体_GB2312" w:eastAsia="楷体_GB2312" w:cs="楷体_GB2312"/>
          <w:b w:val="0"/>
          <w:bCs w:val="0"/>
          <w:lang w:val="en-US"/>
        </w:rPr>
        <w:t>情况差</w:t>
      </w:r>
      <w:r>
        <w:rPr>
          <w:rFonts w:hint="eastAsia" w:ascii="楷体_GB2312" w:hAnsi="楷体_GB2312" w:eastAsia="楷体_GB2312" w:cs="楷体_GB2312"/>
          <w:b w:val="0"/>
          <w:bCs w:val="0"/>
        </w:rPr>
        <w:t>，街道监管主体责任有待进一步压实</w:t>
      </w:r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一是各街道环卫资源配备情况不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Hans" w:bidi="ar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，配置数量和接入系统情况未达到合同规定。全区小型化作业器械设备系统录入率仅85.19%，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疑似存在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环卫服务企业相关器械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配置不到位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。</w:t>
      </w:r>
    </w:p>
    <w:p>
      <w:pPr>
        <w:pStyle w:val="18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Hans" w:bidi="ar"/>
        </w:rPr>
        <w:t>二是各街道未严格落实对小型环卫机械设备的管理要求。环卫企业配备的小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型环卫机械设备（如小型扫路机、清洗机、垃圾转运机等）均未设置标识号牌，较难实现对该类设备的日常管理。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100" w:name="_Toc680620647"/>
      <w:bookmarkStart w:id="101" w:name="_Toc274171624"/>
      <w:bookmarkStart w:id="102" w:name="_Toc1978034752"/>
      <w:bookmarkStart w:id="103" w:name="_Toc525385877"/>
      <w:bookmarkStart w:id="104" w:name="_Toc894105296"/>
      <w:bookmarkStart w:id="105" w:name="_Toc2031959391"/>
      <w:r>
        <w:rPr>
          <w:rFonts w:hint="eastAsia" w:ascii="楷体_GB2312" w:hAnsi="楷体_GB2312" w:eastAsia="楷体_GB2312" w:cs="楷体_GB2312"/>
          <w:b w:val="0"/>
          <w:bCs w:val="0"/>
        </w:rPr>
        <w:t>合同考核条款落实不到位，各街道间实际执行力度差异大，对环卫企业的约束性有限</w:t>
      </w:r>
      <w:bookmarkEnd w:id="100"/>
      <w:bookmarkEnd w:id="101"/>
      <w:bookmarkEnd w:id="102"/>
      <w:bookmarkEnd w:id="103"/>
      <w:bookmarkEnd w:id="104"/>
      <w:bookmarkEnd w:id="105"/>
    </w:p>
    <w:p>
      <w:pPr>
        <w:pStyle w:val="5"/>
        <w:ind w:firstLine="653"/>
        <w:rPr>
          <w:rFonts w:ascii="仿宋_GB2312" w:hAnsi="仿宋_GB2312" w:cs="仿宋_GB2312"/>
          <w:kern w:val="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Hans" w:bidi="ar"/>
        </w:rPr>
        <w:t>一是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街道之间考核标准执行力度差异较大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，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且部分街道内部存在不同标段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、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不同月份之间扣罚力度不一致的情况</w:t>
      </w:r>
      <w:r>
        <w:rPr>
          <w:rFonts w:hint="eastAsia" w:ascii="仿宋_GB2312" w:hAnsi="仿宋_GB2312" w:cs="仿宋_GB2312"/>
          <w:color w:val="000000"/>
          <w:szCs w:val="32"/>
          <w:lang w:eastAsia="zh-Hans" w:bidi="ar"/>
        </w:rPr>
        <w:t>。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Hans" w:bidi="ar"/>
        </w:rPr>
        <w:t>二是</w:t>
      </w:r>
      <w:r>
        <w:rPr>
          <w:rFonts w:hint="eastAsia" w:ascii="仿宋_GB2312" w:hAnsi="仿宋_GB2312" w:cs="仿宋_GB2312"/>
          <w:color w:val="000000"/>
          <w:szCs w:val="32"/>
          <w:lang w:val="en-US" w:eastAsia="zh-Hans" w:bidi="ar"/>
        </w:rPr>
        <w:t>各街道未严格执行安全生产考核要求。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Hans" w:bidi="ar"/>
        </w:rPr>
        <w:t>三是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 w:eastAsia="zh-Hans"/>
        </w:rPr>
        <w:t>各街道对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/>
        </w:rPr>
        <w:t>环卫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 w:eastAsia="zh-Hans"/>
        </w:rPr>
        <w:t>问题处置情况的跟踪落实不到位</w:t>
      </w:r>
      <w:r>
        <w:rPr>
          <w:rFonts w:ascii="仿宋_GB2312" w:hAnsi="仿宋_GB2312" w:cs="仿宋_GB2312"/>
          <w:kern w:val="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 w:eastAsia="zh-Hans"/>
        </w:rPr>
        <w:t>环卫管理工作普遍存在</w:t>
      </w:r>
      <w:r>
        <w:rPr>
          <w:rFonts w:hint="eastAsia" w:ascii="仿宋_GB2312" w:hAnsi="仿宋_GB2312" w:cs="仿宋_GB2312"/>
          <w:color w:val="000000" w:themeColor="text1"/>
          <w:kern w:val="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“重考核</w:t>
      </w:r>
      <w:r>
        <w:rPr>
          <w:rFonts w:ascii="仿宋_GB2312" w:hAnsi="仿宋_GB2312" w:cs="仿宋_GB2312"/>
          <w:color w:val="000000" w:themeColor="text1"/>
          <w:kern w:val="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kern w:val="2"/>
          <w:szCs w:val="32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轻整改”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 w:eastAsia="zh-Hans"/>
        </w:rPr>
        <w:t>的现象</w:t>
      </w:r>
      <w:r>
        <w:rPr>
          <w:rFonts w:hint="eastAsia" w:ascii="仿宋_GB2312" w:hAnsi="仿宋_GB2312" w:cs="仿宋_GB2312"/>
          <w:kern w:val="2"/>
          <w:szCs w:val="32"/>
          <w:shd w:val="clear" w:color="auto" w:fill="FFFFFF"/>
          <w:lang w:val="en-US" w:eastAsia="zh-CN"/>
        </w:rPr>
        <w:t xml:space="preserve">。 </w:t>
      </w:r>
    </w:p>
    <w:p>
      <w:pPr>
        <w:pStyle w:val="4"/>
        <w:adjustRightInd w:val="0"/>
        <w:snapToGrid w:val="0"/>
        <w:spacing w:before="0" w:after="0"/>
        <w:ind w:left="0" w:firstLine="640" w:firstLineChars="200"/>
        <w:rPr>
          <w:szCs w:val="32"/>
          <w:lang w:val="en-US" w:eastAsia="zh-Hans"/>
        </w:rPr>
      </w:pPr>
      <w:bookmarkStart w:id="106" w:name="_Toc621171466"/>
      <w:bookmarkStart w:id="107" w:name="_Toc210308754"/>
      <w:bookmarkStart w:id="108" w:name="_Toc695309033"/>
      <w:bookmarkStart w:id="109" w:name="_Toc559130768"/>
      <w:bookmarkStart w:id="110" w:name="_Toc577731030"/>
      <w:bookmarkStart w:id="111" w:name="_Toc1862523513"/>
      <w:r>
        <w:rPr>
          <w:szCs w:val="32"/>
          <w:lang w:val="en-US" w:eastAsia="zh-Hans"/>
        </w:rPr>
        <w:t>有关建议</w:t>
      </w:r>
      <w:bookmarkEnd w:id="106"/>
      <w:bookmarkEnd w:id="107"/>
      <w:bookmarkEnd w:id="108"/>
      <w:bookmarkEnd w:id="109"/>
      <w:bookmarkEnd w:id="110"/>
      <w:bookmarkEnd w:id="111"/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112" w:name="_Toc1711044319"/>
      <w:bookmarkStart w:id="113" w:name="_Toc1600394304"/>
      <w:bookmarkStart w:id="114" w:name="_Toc1151853123"/>
      <w:bookmarkStart w:id="115" w:name="_Toc1110820995"/>
      <w:bookmarkStart w:id="116" w:name="_Toc2069862151"/>
      <w:bookmarkStart w:id="117" w:name="_Toc2048629163"/>
      <w:r>
        <w:rPr>
          <w:rFonts w:hint="eastAsia" w:ascii="楷体_GB2312" w:hAnsi="楷体_GB2312" w:eastAsia="楷体_GB2312" w:cs="楷体_GB2312"/>
          <w:b w:val="0"/>
          <w:bCs w:val="0"/>
        </w:rPr>
        <w:t>提前规划，科学统筹，上下合力推进坪山区环卫新标准全面落地</w:t>
      </w:r>
      <w:bookmarkEnd w:id="112"/>
      <w:bookmarkEnd w:id="113"/>
      <w:bookmarkEnd w:id="114"/>
      <w:bookmarkEnd w:id="115"/>
      <w:bookmarkEnd w:id="116"/>
      <w:bookmarkEnd w:id="117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各街道应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新环卫企业资源配置情况进行梳理，督促环卫企业尽快配备足量的人员、车辆，并按照区城管局要求及时录入、接入相关系统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对环卫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的监督管理力度。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各街道应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加强落实小型化设备相关管理规定，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督促环卫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及时配置设备号牌。</w:t>
      </w:r>
    </w:p>
    <w:p>
      <w:pPr>
        <w:pStyle w:val="6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118" w:name="_Toc1777844203"/>
      <w:bookmarkStart w:id="119" w:name="_Toc568352456"/>
      <w:bookmarkStart w:id="120" w:name="_Toc1085574104"/>
      <w:bookmarkStart w:id="121" w:name="_Toc705030190"/>
      <w:bookmarkStart w:id="122" w:name="_Toc1493119594"/>
      <w:bookmarkStart w:id="123" w:name="_Toc594388653"/>
      <w:r>
        <w:rPr>
          <w:rFonts w:hint="eastAsia" w:ascii="楷体_GB2312" w:hAnsi="楷体_GB2312" w:eastAsia="楷体_GB2312" w:cs="楷体_GB2312"/>
          <w:b w:val="0"/>
          <w:bCs w:val="0"/>
        </w:rPr>
        <w:t>完善服务评价体系，强化招标履约监管，全力推动考核标准化、规范化</w:t>
      </w:r>
      <w:bookmarkEnd w:id="118"/>
      <w:bookmarkEnd w:id="119"/>
      <w:bookmarkEnd w:id="120"/>
      <w:bookmarkEnd w:id="121"/>
      <w:bookmarkEnd w:id="122"/>
      <w:bookmarkEnd w:id="123"/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各街道应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严格执行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考核办法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强化结果导向监管，以最高标准、最严要求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落实“标后履约”检查工作。综合智慧环卫系统统计数据、环卫服务质量考核情况、社区履约考核评价等，对企业服务情况开展每月综合评价和季度履约评价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各街道应定期提交考核扣款情况至区城管局备案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并就考核内容缺漏、考核标准不统一、扣款计费与规则不符等问题进行整改补罚。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各街道应以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考核办法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为依据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进一步健全环卫管理制度建设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推动环卫管理由结果考核为主向加强过程管理并重转变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强化对发现问题的整治力度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p>
      <w:pPr>
        <w:pStyle w:val="6"/>
        <w:keepNext w:val="0"/>
        <w:adjustRightInd w:val="0"/>
        <w:snapToGrid w:val="0"/>
        <w:ind w:left="0" w:firstLine="640" w:firstLineChars="200"/>
        <w:rPr>
          <w:rFonts w:ascii="楷体_GB2312" w:hAnsi="楷体_GB2312" w:eastAsia="楷体_GB2312" w:cs="楷体_GB2312"/>
          <w:b w:val="0"/>
          <w:bCs w:val="0"/>
        </w:rPr>
      </w:pPr>
      <w:bookmarkStart w:id="124" w:name="_Toc292466136"/>
      <w:bookmarkStart w:id="125" w:name="_Toc1775122831"/>
      <w:bookmarkStart w:id="126" w:name="_Toc1514601163"/>
      <w:bookmarkStart w:id="127" w:name="_Toc140055463"/>
      <w:bookmarkStart w:id="128" w:name="_Toc1943648774"/>
      <w:bookmarkStart w:id="129" w:name="_Toc222901016"/>
      <w:r>
        <w:rPr>
          <w:rFonts w:hint="eastAsia" w:ascii="楷体_GB2312" w:hAnsi="楷体_GB2312" w:eastAsia="楷体_GB2312" w:cs="楷体_GB2312"/>
          <w:b w:val="0"/>
          <w:bCs w:val="0"/>
        </w:rPr>
        <w:t>健全部门协调联动机制，督促环卫企业工作规范，进一步提升市容环境质量水平</w:t>
      </w:r>
      <w:bookmarkEnd w:id="124"/>
      <w:bookmarkEnd w:id="125"/>
      <w:bookmarkEnd w:id="126"/>
      <w:bookmarkEnd w:id="127"/>
      <w:bookmarkEnd w:id="128"/>
      <w:bookmarkEnd w:id="129"/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28"/>
          <w:lang w:eastAsia="zh-Hans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Hans"/>
        </w:rPr>
        <w:t>加强落实</w:t>
      </w:r>
      <w:r>
        <w:rPr>
          <w:rFonts w:ascii="仿宋_GB2312" w:hAnsi="仿宋_GB2312" w:eastAsia="仿宋_GB2312" w:cs="仿宋_GB2312"/>
          <w:kern w:val="0"/>
          <w:sz w:val="32"/>
          <w:szCs w:val="28"/>
          <w:lang w:eastAsia="zh-Hans"/>
        </w:rPr>
        <w:t>跨部门联动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工作。建议各街道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学习龙田街道经验，结合街道实际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建立市容环卫综合治理机制，多措并举强化环卫政策法规执行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督促环卫服务企业加强环卫人员培训，提升作业车辆及设备管理水平。各街道应要求环卫服务企业严格落实作业人员规范着装，强化安全文明作业意识，做到不占用车道，不阻碍他人，同时对环卫作业车辆、小型化器械等开展常态化检查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重视人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车精细化管理。各街道应加强作业排班方案核查，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确保人车数量、作业区域和作业频次等不低于合同要求，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对于每月人员出勤及车辆作业情况未达预期的，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严格执行相关扣款规定，必要时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应对企业进行问责。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Hans" w:bidi="ar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Hans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完善诉求反馈处理机制，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强化负面清单动态管理，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提升居民满意度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6" w:type="default"/>
      <w:footnotePr>
        <w:numFmt w:val="decimalEnclosedCircleChinese"/>
      </w:footnotePr>
      <w:pgSz w:w="11906" w:h="16838"/>
      <w:pgMar w:top="2098" w:right="1474" w:bottom="1984" w:left="158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DejaVu Math TeX Gyre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Noto Sans Mono CJK HK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宋体-简">
    <w:altName w:val="方正书宋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4"/>
      </w:rPr>
      <w:id w:val="-1"/>
    </w:sdtPr>
    <w:sdtEndPr>
      <w:rPr>
        <w:rStyle w:val="24"/>
      </w:rPr>
    </w:sdtEndPr>
    <w:sdtContent>
      <w:p>
        <w:pPr>
          <w:pStyle w:val="13"/>
          <w:framePr w:wrap="auto" w:vAnchor="text" w:hAnchor="margin" w:xAlign="center" w:y="1"/>
          <w:rPr>
            <w:rStyle w:val="24"/>
          </w:rPr>
        </w:pPr>
        <w:r>
          <w:rPr>
            <w:rStyle w:val="24"/>
          </w:rPr>
          <w:fldChar w:fldCharType="begin"/>
        </w:r>
        <w:r>
          <w:rPr>
            <w:rStyle w:val="24"/>
          </w:rPr>
          <w:instrText xml:space="preserve"> PAGE </w:instrText>
        </w:r>
        <w:r>
          <w:rPr>
            <w:rStyle w:val="24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IkRNFQIAABsEAAAOAAAAZHJz&#10;L2Uyb0RvYy54bWytU8uO0zAU3SPxD5b3NGlH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dXrMv9w8SC5MqiR5jg3m6TYbbp+uI2tj5jN&#10;2zM9guOrBsXXLMQH5sEHNAyOx3s8UlkUsb1Eyc76z3+zp3isCV5KWvCrogYHQIl6Z7C+RMVB8IOw&#10;GQSz17cWhB3jdhzPIn7wUQ2i9FZ/AvGXqYZkKiAxMxzVsJpBvI3QeicOiIvl8qKDfI7FtXl0vF9m&#10;wjK45T4CzwxzwugMTA8dGJgX1V9Loviveo56vunF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9IkRN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16"/>
        <w:jc w:val="both"/>
        <w:rPr>
          <w:rFonts w:ascii="仿宋_GB2312" w:hAnsi="仿宋_GB2312" w:cs="仿宋_GB2312"/>
          <w:sz w:val="21"/>
          <w:szCs w:val="21"/>
          <w:lang w:eastAsia="zh-Hans"/>
        </w:rPr>
      </w:pPr>
      <w:r>
        <w:rPr>
          <w:rStyle w:val="26"/>
          <w:rFonts w:hint="eastAsia" w:ascii="仿宋_GB2312" w:hAnsi="仿宋_GB2312" w:cs="仿宋_GB2312"/>
          <w:sz w:val="21"/>
          <w:szCs w:val="21"/>
          <w:vertAlign w:val="baseline"/>
        </w:rPr>
        <w:footnoteRef/>
      </w:r>
      <w:r>
        <w:rPr>
          <w:rFonts w:hint="eastAsia" w:ascii="仿宋_GB2312" w:hAnsi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cs="仿宋_GB2312"/>
          <w:sz w:val="21"/>
          <w:szCs w:val="21"/>
          <w:lang w:eastAsia="zh-Hans"/>
        </w:rPr>
        <w:t>本报告所提及“旧标准”，即指区城管局于2019年7月发布《关于开展坪山区环卫服务一体化相关工作的函》（深坪城管函〔2019〕881号）中的</w:t>
      </w:r>
      <w:r>
        <w:rPr>
          <w:rFonts w:hint="eastAsia" w:ascii="仿宋_GB2312" w:hAnsi="仿宋_GB2312" w:cs="仿宋_GB2312"/>
          <w:sz w:val="21"/>
          <w:szCs w:val="21"/>
        </w:rPr>
        <w:t>环卫服务作业标准、计费标准。</w:t>
      </w:r>
    </w:p>
  </w:footnote>
  <w:footnote w:id="1">
    <w:p>
      <w:pPr>
        <w:pStyle w:val="16"/>
        <w:jc w:val="both"/>
        <w:rPr>
          <w:rFonts w:hint="eastAsia" w:ascii="仿宋_GB2312" w:hAnsi="仿宋_GB2312" w:cs="仿宋_GB2312"/>
          <w:sz w:val="21"/>
          <w:szCs w:val="21"/>
          <w:lang w:eastAsia="zh-Hans"/>
        </w:rPr>
      </w:pPr>
      <w:r>
        <w:rPr>
          <w:rFonts w:hint="eastAsia" w:ascii="仿宋_GB2312" w:hAnsi="仿宋_GB2312" w:cs="仿宋_GB2312"/>
          <w:sz w:val="21"/>
          <w:szCs w:val="21"/>
          <w:lang w:eastAsia="zh-Hans"/>
        </w:rPr>
        <w:footnoteRef/>
      </w:r>
      <w:r>
        <w:rPr>
          <w:rFonts w:hint="eastAsia" w:ascii="仿宋_GB2312" w:hAnsi="仿宋_GB2312" w:cs="仿宋_GB2312"/>
          <w:sz w:val="21"/>
          <w:szCs w:val="21"/>
          <w:lang w:eastAsia="zh-Hans"/>
        </w:rPr>
        <w:t xml:space="preserve"> 本报告所提及“新标准”，即指区城管局于2022年12月发布《关于开展坪山区环卫服务项目招标相关工作的函》（</w:t>
      </w:r>
      <w:r>
        <w:rPr>
          <w:rFonts w:hint="eastAsia" w:ascii="仿宋_GB2312" w:hAnsi="仿宋_GB2312" w:cs="仿宋_GB2312"/>
          <w:sz w:val="21"/>
          <w:szCs w:val="21"/>
        </w:rPr>
        <w:t>深坪城管函〔2022〕32号</w:t>
      </w:r>
      <w:r>
        <w:rPr>
          <w:rFonts w:hint="eastAsia" w:ascii="仿宋_GB2312" w:hAnsi="仿宋_GB2312" w:cs="仿宋_GB2312"/>
          <w:sz w:val="21"/>
          <w:szCs w:val="21"/>
          <w:lang w:eastAsia="zh-Hans"/>
        </w:rPr>
        <w:t>）中的</w:t>
      </w:r>
      <w:r>
        <w:rPr>
          <w:rFonts w:hint="eastAsia" w:ascii="仿宋_GB2312" w:hAnsi="仿宋_GB2312" w:cs="仿宋_GB2312"/>
          <w:sz w:val="21"/>
          <w:szCs w:val="21"/>
        </w:rPr>
        <w:t>环卫服务作业标准、计费标准。</w:t>
      </w:r>
    </w:p>
  </w:footnote>
  <w:footnote w:id="2">
    <w:p>
      <w:pPr>
        <w:pStyle w:val="16"/>
        <w:jc w:val="both"/>
        <w:rPr>
          <w:rFonts w:ascii="仿宋_GB2312" w:hAnsi="仿宋_GB2312" w:cs="仿宋_GB2312"/>
          <w:sz w:val="21"/>
          <w:szCs w:val="21"/>
        </w:rPr>
      </w:pPr>
      <w:r>
        <w:rPr>
          <w:rStyle w:val="26"/>
          <w:rFonts w:hint="eastAsia" w:ascii="仿宋_GB2312" w:hAnsi="仿宋_GB2312" w:cs="仿宋_GB2312"/>
          <w:sz w:val="21"/>
          <w:szCs w:val="21"/>
          <w:vertAlign w:val="baseline"/>
        </w:rPr>
        <w:footnoteRef/>
      </w:r>
      <w:r>
        <w:rPr>
          <w:rFonts w:hint="eastAsia" w:ascii="仿宋_GB2312" w:hAnsi="仿宋_GB2312" w:cs="仿宋_GB2312"/>
          <w:sz w:val="21"/>
          <w:szCs w:val="21"/>
        </w:rPr>
        <w:t xml:space="preserve"> 清扫清运一体化：2019年区城管局统筹各街道将原来环卫清扫标和清运标合并一体化。</w:t>
      </w:r>
    </w:p>
  </w:footnote>
  <w:footnote w:id="3">
    <w:p>
      <w:pPr>
        <w:pStyle w:val="13"/>
        <w:jc w:val="both"/>
        <w:rPr>
          <w:rFonts w:ascii="仿宋_GB2312" w:hAnsi="仿宋_GB2312" w:eastAsia="仿宋_GB2312" w:cs="仿宋_GB2312"/>
          <w:sz w:val="21"/>
          <w:szCs w:val="21"/>
          <w:lang w:eastAsia="zh-Hans"/>
        </w:rPr>
      </w:pPr>
      <w:r>
        <w:rPr>
          <w:rStyle w:val="26"/>
          <w:rFonts w:hint="eastAsia" w:ascii="仿宋_GB2312" w:hAnsi="仿宋_GB2312" w:eastAsia="仿宋_GB2312" w:cs="仿宋_GB2312"/>
          <w:sz w:val="21"/>
          <w:szCs w:val="21"/>
          <w:vertAlign w:val="baseline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市政道路一体化：2020年区交通局将试点区域（京基片区、生物医药片区）的环卫、绿化、路灯、道路管养合并一体化，管养区域涉及坪山、坑梓、马峦、碧岭街道。</w:t>
      </w:r>
      <w:r>
        <w:rPr>
          <w:rFonts w:hint="eastAsia" w:ascii="仿宋_GB2312" w:hAnsi="仿宋_GB2312" w:eastAsia="仿宋_GB2312" w:cs="仿宋_GB2312"/>
          <w:sz w:val="21"/>
          <w:szCs w:val="21"/>
          <w:lang w:eastAsia="zh-Hans"/>
        </w:rPr>
        <w:t>该标段不纳入本次评价范围。</w:t>
      </w:r>
    </w:p>
  </w:footnote>
  <w:footnote w:id="4">
    <w:p>
      <w:pPr>
        <w:pStyle w:val="16"/>
        <w:rPr>
          <w:sz w:val="21"/>
          <w:szCs w:val="21"/>
          <w:lang w:eastAsia="zh-Hans"/>
        </w:rPr>
      </w:pPr>
      <w:r>
        <w:rPr>
          <w:rStyle w:val="26"/>
          <w:rFonts w:hint="eastAsia" w:ascii="仿宋_GB2312" w:hAnsi="仿宋_GB2312" w:cs="仿宋_GB2312"/>
          <w:sz w:val="21"/>
          <w:szCs w:val="21"/>
          <w:vertAlign w:val="baseline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Hans"/>
        </w:rPr>
        <w:t>此处不包含区交通局管理范围</w:t>
      </w:r>
      <w:r>
        <w:rPr>
          <w:sz w:val="21"/>
          <w:szCs w:val="21"/>
          <w:lang w:eastAsia="zh-Hans"/>
        </w:rPr>
        <w:t>。</w:t>
      </w:r>
    </w:p>
  </w:footnote>
  <w:footnote w:id="5">
    <w:p>
      <w:pPr>
        <w:pStyle w:val="16"/>
        <w:rPr>
          <w:rFonts w:hint="eastAsia" w:ascii="仿宋_GB2312" w:hAnsi="仿宋_GB2312" w:cs="仿宋_GB2312"/>
          <w:sz w:val="21"/>
          <w:szCs w:val="21"/>
        </w:rPr>
      </w:pPr>
      <w:r>
        <w:rPr>
          <w:rStyle w:val="26"/>
          <w:rFonts w:hint="eastAsia" w:ascii="仿宋_GB2312" w:hAnsi="仿宋_GB2312" w:cs="仿宋_GB2312"/>
          <w:sz w:val="21"/>
          <w:szCs w:val="21"/>
          <w:vertAlign w:val="baseline"/>
        </w:rPr>
        <w:footnoteRef/>
      </w:r>
      <w:r>
        <w:rPr>
          <w:rFonts w:hint="eastAsia" w:ascii="仿宋_GB2312" w:hAnsi="仿宋_GB2312" w:cs="仿宋_GB2312"/>
          <w:sz w:val="21"/>
          <w:szCs w:val="21"/>
        </w:rPr>
        <w:t xml:space="preserve"> 自2023年起，原深圳市环境卫生指数测评优化升级为市容环境综合指数测评。一季度试行按新标准测评，二季度首次发布综合指数。测评成绩按A+、A、B、C等次发布，暂定A+等次为93（含）分以上，A等次为90（含）—93分，B等次为87（含）—90分，C等次为87分以下。</w:t>
      </w:r>
    </w:p>
  </w:footnote>
  <w:footnote w:id="6">
    <w:p>
      <w:pPr>
        <w:pStyle w:val="16"/>
        <w:rPr>
          <w:rFonts w:hint="eastAsia" w:ascii="仿宋_GB2312" w:hAnsi="仿宋_GB2312" w:cs="仿宋_GB2312"/>
          <w:sz w:val="21"/>
          <w:szCs w:val="21"/>
        </w:rPr>
      </w:pPr>
      <w:r>
        <w:rPr>
          <w:rStyle w:val="26"/>
          <w:rFonts w:hint="eastAsia" w:ascii="仿宋_GB2312" w:hAnsi="仿宋_GB2312" w:cs="仿宋_GB2312"/>
          <w:sz w:val="21"/>
          <w:szCs w:val="21"/>
          <w:vertAlign w:val="baseline"/>
        </w:rPr>
        <w:footnoteRef/>
      </w:r>
      <w:r>
        <w:rPr>
          <w:rFonts w:hint="eastAsia" w:ascii="仿宋_GB2312" w:hAnsi="仿宋_GB2312" w:cs="仿宋_GB2312"/>
          <w:sz w:val="21"/>
          <w:szCs w:val="21"/>
        </w:rPr>
        <w:t xml:space="preserve"> 按业务类型分类统计“干净”“整洁”“有序”“绿美”四类指数，其中干净指数主要评价清扫保洁、垃圾收集点管理等环境卫生情况。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671B8"/>
    <w:multiLevelType w:val="multilevel"/>
    <w:tmpl w:val="610671B8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6"/>
      <w:suff w:val="nothing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7"/>
      <w:suff w:val="nothing"/>
      <w:lvlText w:val="%3. "/>
      <w:lvlJc w:val="left"/>
      <w:pPr>
        <w:ind w:left="992" w:hanging="567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992" w:hanging="425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992" w:hanging="113"/>
      </w:pPr>
      <w:rPr>
        <w:rFonts w:hint="eastAsia"/>
      </w:rPr>
    </w:lvl>
    <w:lvl w:ilvl="5" w:tentative="0">
      <w:start w:val="1"/>
      <w:numFmt w:val="decimal"/>
      <w:suff w:val="nothing"/>
      <w:lvlText w:val="附件%6 "/>
      <w:lvlJc w:val="left"/>
      <w:pPr>
        <w:ind w:left="0" w:firstLine="0"/>
      </w:pPr>
      <w:rPr>
        <w:rFonts w:hint="eastAsia"/>
      </w:rPr>
    </w:lvl>
    <w:lvl w:ilvl="6" w:tentative="0">
      <w:start w:val="1"/>
      <w:numFmt w:val="chineseCountingThousand"/>
      <w:suff w:val="nothing"/>
      <w:lvlText w:val="%7、"/>
      <w:lvlJc w:val="left"/>
      <w:pPr>
        <w:ind w:left="992" w:hanging="567"/>
      </w:pPr>
      <w:rPr>
        <w:rFonts w:hint="eastAsia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992" w:hanging="567"/>
      </w:pPr>
      <w:rPr>
        <w:rFonts w:hint="eastAsia"/>
      </w:rPr>
    </w:lvl>
    <w:lvl w:ilvl="8" w:tentative="0">
      <w:start w:val="1"/>
      <w:numFmt w:val="decimal"/>
      <w:suff w:val="nothing"/>
      <w:lvlText w:val="%9. "/>
      <w:lvlJc w:val="left"/>
      <w:pPr>
        <w:ind w:left="992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EnclosedCircleChinese"/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1E77E5B6"/>
    <w:rsid w:val="000150B3"/>
    <w:rsid w:val="00016FB8"/>
    <w:rsid w:val="00033BB6"/>
    <w:rsid w:val="000B7DAC"/>
    <w:rsid w:val="000D0A06"/>
    <w:rsid w:val="00182301"/>
    <w:rsid w:val="001A1CEE"/>
    <w:rsid w:val="00213F79"/>
    <w:rsid w:val="00267F88"/>
    <w:rsid w:val="00360778"/>
    <w:rsid w:val="003D0255"/>
    <w:rsid w:val="0041695C"/>
    <w:rsid w:val="00426631"/>
    <w:rsid w:val="005B15E0"/>
    <w:rsid w:val="0072461D"/>
    <w:rsid w:val="0072697D"/>
    <w:rsid w:val="00776E98"/>
    <w:rsid w:val="007C6954"/>
    <w:rsid w:val="008747B2"/>
    <w:rsid w:val="008A0806"/>
    <w:rsid w:val="00905547"/>
    <w:rsid w:val="0097037D"/>
    <w:rsid w:val="0099222D"/>
    <w:rsid w:val="00AA6DB5"/>
    <w:rsid w:val="00B07442"/>
    <w:rsid w:val="00B21118"/>
    <w:rsid w:val="00B92DF8"/>
    <w:rsid w:val="00BF7B42"/>
    <w:rsid w:val="00C7610A"/>
    <w:rsid w:val="00C8784D"/>
    <w:rsid w:val="00D100FE"/>
    <w:rsid w:val="00D81200"/>
    <w:rsid w:val="00D911F6"/>
    <w:rsid w:val="00DD48E5"/>
    <w:rsid w:val="00E00CDD"/>
    <w:rsid w:val="00E6462F"/>
    <w:rsid w:val="00E90739"/>
    <w:rsid w:val="00EF42F0"/>
    <w:rsid w:val="00F06306"/>
    <w:rsid w:val="00F2419A"/>
    <w:rsid w:val="0DF8D18F"/>
    <w:rsid w:val="0F5F4ED1"/>
    <w:rsid w:val="0FFFDB62"/>
    <w:rsid w:val="179F4944"/>
    <w:rsid w:val="1AD912E3"/>
    <w:rsid w:val="1BDA5701"/>
    <w:rsid w:val="1DBFE675"/>
    <w:rsid w:val="1E77E5B6"/>
    <w:rsid w:val="1FEFBD9B"/>
    <w:rsid w:val="246C4A50"/>
    <w:rsid w:val="272FEDE4"/>
    <w:rsid w:val="27DFC5D5"/>
    <w:rsid w:val="293FEA21"/>
    <w:rsid w:val="2BD5078A"/>
    <w:rsid w:val="2DCE33CE"/>
    <w:rsid w:val="2EFF4DD6"/>
    <w:rsid w:val="2FDA2579"/>
    <w:rsid w:val="2FFBA3AE"/>
    <w:rsid w:val="31686FCC"/>
    <w:rsid w:val="33C71E7E"/>
    <w:rsid w:val="33FAFEF7"/>
    <w:rsid w:val="34E7D077"/>
    <w:rsid w:val="35E747C4"/>
    <w:rsid w:val="363F6E5B"/>
    <w:rsid w:val="373B8CD2"/>
    <w:rsid w:val="3773F9E8"/>
    <w:rsid w:val="377F6DDA"/>
    <w:rsid w:val="37952DB6"/>
    <w:rsid w:val="37DB9A92"/>
    <w:rsid w:val="37FAAAEF"/>
    <w:rsid w:val="37FB789B"/>
    <w:rsid w:val="39BC0C3F"/>
    <w:rsid w:val="3BF75222"/>
    <w:rsid w:val="3D371678"/>
    <w:rsid w:val="3D8FE216"/>
    <w:rsid w:val="3E393CF1"/>
    <w:rsid w:val="3EFFA44E"/>
    <w:rsid w:val="3EFFF73A"/>
    <w:rsid w:val="3F35EC9D"/>
    <w:rsid w:val="3F6F43E0"/>
    <w:rsid w:val="3FBEFE1D"/>
    <w:rsid w:val="3FD728A3"/>
    <w:rsid w:val="3FDCC715"/>
    <w:rsid w:val="3FDE0AD9"/>
    <w:rsid w:val="3FDEF306"/>
    <w:rsid w:val="3FDF7FB4"/>
    <w:rsid w:val="3FEFBF67"/>
    <w:rsid w:val="3FFA6044"/>
    <w:rsid w:val="3FFD55FC"/>
    <w:rsid w:val="3FFF48BF"/>
    <w:rsid w:val="456D3BB1"/>
    <w:rsid w:val="47FEC004"/>
    <w:rsid w:val="49EE1784"/>
    <w:rsid w:val="4B475B2A"/>
    <w:rsid w:val="4C5B41B6"/>
    <w:rsid w:val="4C7B0AD1"/>
    <w:rsid w:val="4CD6771E"/>
    <w:rsid w:val="4EC4ED8B"/>
    <w:rsid w:val="4FFEDB01"/>
    <w:rsid w:val="4FFF3E8E"/>
    <w:rsid w:val="51F36275"/>
    <w:rsid w:val="545FFAFA"/>
    <w:rsid w:val="56BFDA27"/>
    <w:rsid w:val="57F1E4A6"/>
    <w:rsid w:val="5A6E3CA8"/>
    <w:rsid w:val="5A9E2449"/>
    <w:rsid w:val="5AFE3156"/>
    <w:rsid w:val="5B7F5F1B"/>
    <w:rsid w:val="5BF1AE16"/>
    <w:rsid w:val="5BFB566B"/>
    <w:rsid w:val="5D772ACE"/>
    <w:rsid w:val="5DBB31E6"/>
    <w:rsid w:val="5DFFE337"/>
    <w:rsid w:val="5EAC08C7"/>
    <w:rsid w:val="5F7AA302"/>
    <w:rsid w:val="5F7E1535"/>
    <w:rsid w:val="5F7FD527"/>
    <w:rsid w:val="5FDB2444"/>
    <w:rsid w:val="5FDF0A0B"/>
    <w:rsid w:val="65BF9CC1"/>
    <w:rsid w:val="675B3B22"/>
    <w:rsid w:val="67E73C79"/>
    <w:rsid w:val="67F6A1B4"/>
    <w:rsid w:val="683F683C"/>
    <w:rsid w:val="6897A7C3"/>
    <w:rsid w:val="6B7D40E4"/>
    <w:rsid w:val="6B7F4B72"/>
    <w:rsid w:val="6BDD0A63"/>
    <w:rsid w:val="6BEE5E52"/>
    <w:rsid w:val="6BFDAF12"/>
    <w:rsid w:val="6BFFD8D7"/>
    <w:rsid w:val="6D7D0A3D"/>
    <w:rsid w:val="6D7D7B66"/>
    <w:rsid w:val="6DEFBCE0"/>
    <w:rsid w:val="6DF50DFB"/>
    <w:rsid w:val="6EAF2F64"/>
    <w:rsid w:val="6EBB3AAD"/>
    <w:rsid w:val="6EEBA134"/>
    <w:rsid w:val="6EF7E18B"/>
    <w:rsid w:val="6F1D677D"/>
    <w:rsid w:val="6F71D692"/>
    <w:rsid w:val="6FB4E4D4"/>
    <w:rsid w:val="6FEB22CA"/>
    <w:rsid w:val="6FFD54BD"/>
    <w:rsid w:val="6FFFEEC6"/>
    <w:rsid w:val="72777AE9"/>
    <w:rsid w:val="736F14C7"/>
    <w:rsid w:val="73FEDFF1"/>
    <w:rsid w:val="74EF30AC"/>
    <w:rsid w:val="75FE1BC2"/>
    <w:rsid w:val="75FEC36E"/>
    <w:rsid w:val="75FF6F32"/>
    <w:rsid w:val="7636371C"/>
    <w:rsid w:val="7676D485"/>
    <w:rsid w:val="767B2B6E"/>
    <w:rsid w:val="76B31878"/>
    <w:rsid w:val="76FFA50E"/>
    <w:rsid w:val="773631C7"/>
    <w:rsid w:val="777F61D5"/>
    <w:rsid w:val="778F1B78"/>
    <w:rsid w:val="7977F39A"/>
    <w:rsid w:val="799C4C46"/>
    <w:rsid w:val="79C66428"/>
    <w:rsid w:val="79FF139F"/>
    <w:rsid w:val="7A1CEA41"/>
    <w:rsid w:val="7A57A189"/>
    <w:rsid w:val="7ACB3A10"/>
    <w:rsid w:val="7B5DEFAF"/>
    <w:rsid w:val="7BFF4D1B"/>
    <w:rsid w:val="7CBCDAB8"/>
    <w:rsid w:val="7CBF0506"/>
    <w:rsid w:val="7CDF8C41"/>
    <w:rsid w:val="7CFF5A20"/>
    <w:rsid w:val="7D3F2FC0"/>
    <w:rsid w:val="7DDA1F55"/>
    <w:rsid w:val="7DEB2B95"/>
    <w:rsid w:val="7DEE0422"/>
    <w:rsid w:val="7DF9C388"/>
    <w:rsid w:val="7DFACCEF"/>
    <w:rsid w:val="7DFF9075"/>
    <w:rsid w:val="7E6AA3E6"/>
    <w:rsid w:val="7EAD6A74"/>
    <w:rsid w:val="7EAEA766"/>
    <w:rsid w:val="7EDA70D4"/>
    <w:rsid w:val="7EDB9619"/>
    <w:rsid w:val="7EF5D7DA"/>
    <w:rsid w:val="7EFA8949"/>
    <w:rsid w:val="7EFF2271"/>
    <w:rsid w:val="7EFF4F38"/>
    <w:rsid w:val="7F05FD56"/>
    <w:rsid w:val="7F538CBA"/>
    <w:rsid w:val="7F6FB70E"/>
    <w:rsid w:val="7F7F51B9"/>
    <w:rsid w:val="7F7F68CB"/>
    <w:rsid w:val="7F9BE419"/>
    <w:rsid w:val="7FAFE0CA"/>
    <w:rsid w:val="7FB6EB98"/>
    <w:rsid w:val="7FDA969D"/>
    <w:rsid w:val="7FDF94C2"/>
    <w:rsid w:val="7FDFA34D"/>
    <w:rsid w:val="7FEC9FB8"/>
    <w:rsid w:val="7FF1407F"/>
    <w:rsid w:val="7FF8E630"/>
    <w:rsid w:val="7FF93492"/>
    <w:rsid w:val="7FFB234E"/>
    <w:rsid w:val="7FFB642F"/>
    <w:rsid w:val="7FFBFA09"/>
    <w:rsid w:val="7FFE8086"/>
    <w:rsid w:val="7FFEAF07"/>
    <w:rsid w:val="7FFF0747"/>
    <w:rsid w:val="7FFF2E86"/>
    <w:rsid w:val="7FFF5F4E"/>
    <w:rsid w:val="7FFFD720"/>
    <w:rsid w:val="7FFFFD71"/>
    <w:rsid w:val="8AE7DA9A"/>
    <w:rsid w:val="8B6B4466"/>
    <w:rsid w:val="8B936500"/>
    <w:rsid w:val="8BD64E6D"/>
    <w:rsid w:val="8C1F79AA"/>
    <w:rsid w:val="8E38BFB3"/>
    <w:rsid w:val="8FE350D0"/>
    <w:rsid w:val="915DC1FC"/>
    <w:rsid w:val="93F24C17"/>
    <w:rsid w:val="97DF69E6"/>
    <w:rsid w:val="97FB7912"/>
    <w:rsid w:val="9BEF6080"/>
    <w:rsid w:val="9CEFDBE1"/>
    <w:rsid w:val="9DFEC1A5"/>
    <w:rsid w:val="9EA6C097"/>
    <w:rsid w:val="9EFD7B2C"/>
    <w:rsid w:val="9F5DF1C8"/>
    <w:rsid w:val="9FDA19B8"/>
    <w:rsid w:val="A7674E58"/>
    <w:rsid w:val="A77917AE"/>
    <w:rsid w:val="A7D46027"/>
    <w:rsid w:val="A7D46B8B"/>
    <w:rsid w:val="A8EC8656"/>
    <w:rsid w:val="AE7F2F46"/>
    <w:rsid w:val="AFF6E8EF"/>
    <w:rsid w:val="B26E10B4"/>
    <w:rsid w:val="B2FFFDC5"/>
    <w:rsid w:val="B5FB230B"/>
    <w:rsid w:val="B697A3FB"/>
    <w:rsid w:val="B6FB26C0"/>
    <w:rsid w:val="B7AC05BC"/>
    <w:rsid w:val="B7B7DF6D"/>
    <w:rsid w:val="B7BD9821"/>
    <w:rsid w:val="B9FEB1E7"/>
    <w:rsid w:val="BB7E199D"/>
    <w:rsid w:val="BB7EE987"/>
    <w:rsid w:val="BBCA644F"/>
    <w:rsid w:val="BBFF18CE"/>
    <w:rsid w:val="BD181385"/>
    <w:rsid w:val="BDE2104F"/>
    <w:rsid w:val="BF2B7639"/>
    <w:rsid w:val="BF622815"/>
    <w:rsid w:val="BF7DD73F"/>
    <w:rsid w:val="BF7DDDB9"/>
    <w:rsid w:val="BFBEA3A1"/>
    <w:rsid w:val="BFCA4ED9"/>
    <w:rsid w:val="BFEDDE69"/>
    <w:rsid w:val="BFFBD816"/>
    <w:rsid w:val="BFFF98FB"/>
    <w:rsid w:val="C7B5A309"/>
    <w:rsid w:val="C7BF6EAF"/>
    <w:rsid w:val="CAF817ED"/>
    <w:rsid w:val="CDE6AEB4"/>
    <w:rsid w:val="CE3F7C73"/>
    <w:rsid w:val="CE7B0162"/>
    <w:rsid w:val="CE8F636E"/>
    <w:rsid w:val="CF2E94BC"/>
    <w:rsid w:val="CFFDC843"/>
    <w:rsid w:val="CFFDCC35"/>
    <w:rsid w:val="CFFF1F6E"/>
    <w:rsid w:val="D3BD8A7A"/>
    <w:rsid w:val="D6F20628"/>
    <w:rsid w:val="D7F756F8"/>
    <w:rsid w:val="DBBF8BD9"/>
    <w:rsid w:val="DC3D087F"/>
    <w:rsid w:val="DDB7C096"/>
    <w:rsid w:val="DE5F13F2"/>
    <w:rsid w:val="DEBF9D27"/>
    <w:rsid w:val="DEBFBDA5"/>
    <w:rsid w:val="DF1D188C"/>
    <w:rsid w:val="DF6F6AB0"/>
    <w:rsid w:val="DF7F622A"/>
    <w:rsid w:val="DFB7D516"/>
    <w:rsid w:val="DFDF4356"/>
    <w:rsid w:val="DFFF5D68"/>
    <w:rsid w:val="E54FAF8D"/>
    <w:rsid w:val="E5F96089"/>
    <w:rsid w:val="E8DE2DF7"/>
    <w:rsid w:val="EB6FA444"/>
    <w:rsid w:val="EB787396"/>
    <w:rsid w:val="ECB31C6F"/>
    <w:rsid w:val="ED3FFC0C"/>
    <w:rsid w:val="ED573440"/>
    <w:rsid w:val="ED6F2B42"/>
    <w:rsid w:val="EDBAD855"/>
    <w:rsid w:val="EDBFE780"/>
    <w:rsid w:val="EDDBF101"/>
    <w:rsid w:val="EE93A53A"/>
    <w:rsid w:val="EEA6ECBE"/>
    <w:rsid w:val="EEF70EE9"/>
    <w:rsid w:val="EF7F919B"/>
    <w:rsid w:val="EFBFDD60"/>
    <w:rsid w:val="EFD70952"/>
    <w:rsid w:val="EFDE7349"/>
    <w:rsid w:val="EFDE9A57"/>
    <w:rsid w:val="EFF5A9EF"/>
    <w:rsid w:val="EFFD0D4E"/>
    <w:rsid w:val="EFFF17DC"/>
    <w:rsid w:val="EFFFD8AA"/>
    <w:rsid w:val="F2FB0CA3"/>
    <w:rsid w:val="F36703A2"/>
    <w:rsid w:val="F3BFBF7E"/>
    <w:rsid w:val="F5E7025F"/>
    <w:rsid w:val="F6FD1686"/>
    <w:rsid w:val="F77FA21C"/>
    <w:rsid w:val="F79D7210"/>
    <w:rsid w:val="F79DC84F"/>
    <w:rsid w:val="F7DD5AEA"/>
    <w:rsid w:val="F7FD82AB"/>
    <w:rsid w:val="F95DB7EA"/>
    <w:rsid w:val="F9CF71AC"/>
    <w:rsid w:val="F9FD249F"/>
    <w:rsid w:val="FA53BB1E"/>
    <w:rsid w:val="FA7B75E6"/>
    <w:rsid w:val="FABF3341"/>
    <w:rsid w:val="FB1318D6"/>
    <w:rsid w:val="FB5FD41C"/>
    <w:rsid w:val="FBD057B4"/>
    <w:rsid w:val="FBDB4B27"/>
    <w:rsid w:val="FBDF64B4"/>
    <w:rsid w:val="FBDF71A0"/>
    <w:rsid w:val="FBFB0C4A"/>
    <w:rsid w:val="FBFDD934"/>
    <w:rsid w:val="FC4CE2EC"/>
    <w:rsid w:val="FCD4346C"/>
    <w:rsid w:val="FCFBD94F"/>
    <w:rsid w:val="FD370A3C"/>
    <w:rsid w:val="FD3F2633"/>
    <w:rsid w:val="FD6B737B"/>
    <w:rsid w:val="FDCD2080"/>
    <w:rsid w:val="FDCEF182"/>
    <w:rsid w:val="FDDF8694"/>
    <w:rsid w:val="FDDFA34F"/>
    <w:rsid w:val="FE3BA878"/>
    <w:rsid w:val="FE5A6AB5"/>
    <w:rsid w:val="FEDB1EBF"/>
    <w:rsid w:val="FEEFB0A4"/>
    <w:rsid w:val="FEF52ECE"/>
    <w:rsid w:val="FF3E36AA"/>
    <w:rsid w:val="FF5E0B76"/>
    <w:rsid w:val="FF5E65F5"/>
    <w:rsid w:val="FF5EDE8C"/>
    <w:rsid w:val="FF7DCD94"/>
    <w:rsid w:val="FFBFDAFE"/>
    <w:rsid w:val="FFBFEF32"/>
    <w:rsid w:val="FFBFF269"/>
    <w:rsid w:val="FFC5B2D8"/>
    <w:rsid w:val="FFD36BAC"/>
    <w:rsid w:val="FFDE6347"/>
    <w:rsid w:val="FFE753F8"/>
    <w:rsid w:val="FFEC1F26"/>
    <w:rsid w:val="FFF1EC0E"/>
    <w:rsid w:val="FFF5DE9C"/>
    <w:rsid w:val="FFF6DDF9"/>
    <w:rsid w:val="FFF6FD0F"/>
    <w:rsid w:val="FFF6FE17"/>
    <w:rsid w:val="FFFADFF7"/>
    <w:rsid w:val="FFFE226F"/>
    <w:rsid w:val="FFFE9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numPr>
        <w:ilvl w:val="0"/>
        <w:numId w:val="1"/>
      </w:numPr>
      <w:spacing w:before="120" w:after="60"/>
      <w:ind w:firstLine="0" w:firstLineChars="0"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560" w:lineRule="exact"/>
      <w:outlineLvl w:val="1"/>
    </w:pPr>
    <w:rPr>
      <w:rFonts w:eastAsia="楷体" w:cstheme="majorBidi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2"/>
    <w:pPr>
      <w:keepNext/>
      <w:keepLines/>
      <w:numPr>
        <w:ilvl w:val="2"/>
        <w:numId w:val="1"/>
      </w:numPr>
      <w:spacing w:line="560" w:lineRule="exact"/>
      <w:ind w:left="0" w:firstLine="420" w:firstLineChars="200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3"/>
    <w:next w:val="1"/>
    <w:qFormat/>
    <w:uiPriority w:val="0"/>
    <w:rPr>
      <w:rFonts w:ascii="Arial" w:hAnsi="Arial"/>
      <w:sz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日浩正文"/>
    <w:basedOn w:val="1"/>
    <w:link w:val="29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28"/>
      <w:lang w:val="zh-CN"/>
    </w:rPr>
  </w:style>
  <w:style w:type="paragraph" w:styleId="8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/>
    </w:rPr>
  </w:style>
  <w:style w:type="paragraph" w:styleId="9">
    <w:name w:val="annotation text"/>
    <w:basedOn w:val="1"/>
    <w:link w:val="37"/>
    <w:qFormat/>
    <w:uiPriority w:val="0"/>
    <w:pPr>
      <w:jc w:val="left"/>
    </w:pPr>
  </w:style>
  <w:style w:type="paragraph" w:styleId="10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1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12">
    <w:name w:val="endnote text"/>
    <w:basedOn w:val="1"/>
    <w:link w:val="46"/>
    <w:qFormat/>
    <w:uiPriority w:val="0"/>
    <w:pPr>
      <w:snapToGrid w:val="0"/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9"/>
    <w:next w:val="9"/>
    <w:link w:val="38"/>
    <w:qFormat/>
    <w:uiPriority w:val="0"/>
    <w:rPr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qFormat/>
    <w:uiPriority w:val="0"/>
    <w:rPr>
      <w:vertAlign w:val="superscript"/>
    </w:rPr>
  </w:style>
  <w:style w:type="character" w:styleId="24">
    <w:name w:val="page number"/>
    <w:basedOn w:val="22"/>
    <w:qFormat/>
    <w:uiPriority w:val="0"/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character" w:styleId="26">
    <w:name w:val="footnote reference"/>
    <w:basedOn w:val="22"/>
    <w:qFormat/>
    <w:uiPriority w:val="0"/>
    <w:rPr>
      <w:vertAlign w:val="superscript"/>
    </w:rPr>
  </w:style>
  <w:style w:type="paragraph" w:customStyle="1" w:styleId="27">
    <w:name w:val="日浩封面项目信息"/>
    <w:basedOn w:val="1"/>
    <w:qFormat/>
    <w:uiPriority w:val="0"/>
    <w:pPr>
      <w:spacing w:before="120"/>
      <w:ind w:left="800" w:leftChars="800"/>
      <w:jc w:val="left"/>
    </w:pPr>
    <w:rPr>
      <w:rFonts w:ascii="Times New Roman" w:hAnsi="Times New Roman" w:eastAsia="仿宋_GB2312" w:cs="Times New Roman"/>
      <w:kern w:val="0"/>
      <w:sz w:val="32"/>
      <w:szCs w:val="28"/>
      <w:lang w:val="zh-CN"/>
    </w:rPr>
  </w:style>
  <w:style w:type="paragraph" w:customStyle="1" w:styleId="28">
    <w:name w:val="日浩图表名"/>
    <w:basedOn w:val="1"/>
    <w:qFormat/>
    <w:uiPriority w:val="4"/>
    <w:pPr>
      <w:spacing w:before="60" w:after="60"/>
      <w:jc w:val="center"/>
    </w:pPr>
    <w:rPr>
      <w:rFonts w:ascii="Times New Roman" w:hAnsi="Times New Roman" w:eastAsia="仿宋_GB2312" w:cs="Times New Roman"/>
      <w:b/>
      <w:kern w:val="0"/>
      <w:sz w:val="24"/>
      <w:szCs w:val="28"/>
    </w:rPr>
  </w:style>
  <w:style w:type="character" w:customStyle="1" w:styleId="29">
    <w:name w:val="闻政正文 Char"/>
    <w:link w:val="5"/>
    <w:qFormat/>
    <w:uiPriority w:val="3"/>
    <w:rPr>
      <w:rFonts w:ascii="Times New Roman" w:hAnsi="Times New Roman" w:eastAsia="仿宋_GB2312" w:cs="Times New Roman"/>
      <w:kern w:val="0"/>
      <w:sz w:val="32"/>
      <w:szCs w:val="28"/>
      <w:lang w:val="zh-CN"/>
    </w:rPr>
  </w:style>
  <w:style w:type="character" w:customStyle="1" w:styleId="30">
    <w:name w:val="s1"/>
    <w:basedOn w:val="22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31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000000"/>
      <w:kern w:val="0"/>
      <w:sz w:val="28"/>
      <w:szCs w:val="28"/>
    </w:rPr>
  </w:style>
  <w:style w:type="paragraph" w:customStyle="1" w:styleId="32">
    <w:name w:val="样式正文1"/>
    <w:basedOn w:val="1"/>
    <w:qFormat/>
    <w:uiPriority w:val="0"/>
    <w:pPr>
      <w:spacing w:line="360" w:lineRule="auto"/>
      <w:ind w:firstLine="20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33">
    <w:name w:val="font01"/>
    <w:basedOn w:val="22"/>
    <w:qFormat/>
    <w:uiPriority w:val="0"/>
    <w:rPr>
      <w:rFonts w:ascii="宋体-简" w:hAnsi="宋体-简" w:eastAsia="宋体-简" w:cs="宋体-简"/>
      <w:color w:val="333333"/>
      <w:sz w:val="20"/>
      <w:szCs w:val="20"/>
      <w:u w:val="none"/>
    </w:rPr>
  </w:style>
  <w:style w:type="paragraph" w:customStyle="1" w:styleId="3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37">
    <w:name w:val="批注文字 字符"/>
    <w:basedOn w:val="22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38">
    <w:name w:val="批注主题 字符"/>
    <w:basedOn w:val="37"/>
    <w:link w:val="1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1"/>
    </w:rPr>
  </w:style>
  <w:style w:type="character" w:customStyle="1" w:styleId="39">
    <w:name w:val="页眉 字符"/>
    <w:basedOn w:val="22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41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42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43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44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4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6">
    <w:name w:val="尾注文本 字符"/>
    <w:basedOn w:val="22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4788</Words>
  <Characters>4987</Characters>
  <Lines>278</Lines>
  <Paragraphs>78</Paragraphs>
  <TotalTime>261</TotalTime>
  <ScaleCrop>false</ScaleCrop>
  <LinksUpToDate>false</LinksUpToDate>
  <CharactersWithSpaces>4994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2023-11-08T05:15:00Z</dcterms:created>
  <dc:creator>鲤鱼兔v</dc:creator>
  <cp:lastModifiedBy>zhjj</cp:lastModifiedBy>
  <cp:lastPrinted>2023-12-05T08:45:00Z</cp:lastPrinted>
  <dcterms:modified xsi:type="dcterms:W3CDTF">2023-12-20T12:54:42Z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64E13D1BBA5B41F4B0C865A553C52DD3_13</vt:lpwstr>
  </property>
</Properties>
</file>