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CESI黑体-GB2312" w:hAnsi="CESI黑体-GB2312" w:eastAsia="CESI黑体-GB2312" w:cs="CESI黑体-GB2312"/>
          <w:sz w:val="32"/>
          <w:szCs w:val="32"/>
          <w:lang w:val="en-US" w:eastAsia="zh-CN"/>
        </w:rPr>
      </w:pPr>
      <w:bookmarkStart w:id="0" w:name="文号"/>
      <w:bookmarkEnd w:id="0"/>
      <w:bookmarkStart w:id="1" w:name="紧急程度"/>
      <w:bookmarkEnd w:id="1"/>
      <w:bookmarkStart w:id="2" w:name="SENDDOCUMENT_ORGAN"/>
      <w:bookmarkEnd w:id="2"/>
      <w:bookmarkStart w:id="3" w:name="CONTENT"/>
      <w:bookmarkEnd w:id="3"/>
      <w:bookmarkStart w:id="4" w:name="单位名称"/>
      <w:bookmarkEnd w:id="4"/>
      <w:bookmarkStart w:id="5" w:name="text"/>
      <w:bookmarkEnd w:id="5"/>
      <w:bookmarkStart w:id="6" w:name="文件标题"/>
      <w:bookmarkEnd w:id="6"/>
      <w:bookmarkStart w:id="7" w:name="biaoti"/>
      <w:bookmarkEnd w:id="7"/>
      <w:bookmarkStart w:id="8" w:name="主送机关"/>
      <w:bookmarkEnd w:id="8"/>
      <w:r>
        <w:rPr>
          <w:rFonts w:hint="eastAsia" w:ascii="CESI黑体-GB2312" w:hAnsi="CESI黑体-GB2312" w:eastAsia="CESI黑体-GB2312" w:cs="CESI黑体-GB2312"/>
          <w:sz w:val="32"/>
          <w:szCs w:val="32"/>
          <w:lang w:val="en" w:eastAsia="zh-CN"/>
        </w:rPr>
        <w:t>附件</w:t>
      </w:r>
      <w:r>
        <w:rPr>
          <w:rFonts w:hint="eastAsia" w:ascii="CESI黑体-GB2312" w:hAnsi="CESI黑体-GB2312" w:eastAsia="CESI黑体-GB2312" w:cs="CESI黑体-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市安委办关于开展深圳市安全教育基地</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星级评定活动的通知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各区（含大鹏新区、深汕特别合作区）安委会、市安委会各成员单位、市属国有企业、各有关单位：</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十四五”国家应急体系规划》《广东省应急管理“十四五”规划》《深圳市应急管理体系和能力建设“十四五”规划》《深圳市应急管理局关于印发&lt;深圳市安全教育基地评定指引&gt;的通知》（深应急规〔2022〕4号）等文件要求，进一步推动全市各级各类安全教育基地（含安全教育场馆、展馆、体验馆等，下同）建设和发展，深圳市安全管理委员会办公室（以下简称“市安委办”）决定在全市范围组织内开展安全教育基地星级评定工作。现将有关事项通知如下：</w:t>
      </w:r>
    </w:p>
    <w:p>
      <w:pPr>
        <w:pStyle w:val="8"/>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pPr>
        <w:pStyle w:val="8"/>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通过开展安全教育基地星级评定，</w:t>
      </w:r>
      <w:r>
        <w:rPr>
          <w:rFonts w:hint="default" w:ascii="仿宋_GB2312" w:hAnsi="仿宋_GB2312" w:eastAsia="仿宋_GB2312" w:cs="仿宋_GB2312"/>
          <w:sz w:val="32"/>
          <w:szCs w:val="32"/>
          <w:lang w:val="en-US" w:eastAsia="zh-CN"/>
        </w:rPr>
        <w:t>引导全市</w:t>
      </w:r>
      <w:r>
        <w:rPr>
          <w:rFonts w:hint="eastAsia" w:ascii="仿宋_GB2312" w:hAnsi="仿宋_GB2312" w:eastAsia="仿宋_GB2312" w:cs="仿宋_GB2312"/>
          <w:sz w:val="32"/>
          <w:szCs w:val="32"/>
          <w:lang w:val="en-US" w:eastAsia="zh-CN"/>
        </w:rPr>
        <w:t>各级各类</w:t>
      </w:r>
      <w:r>
        <w:rPr>
          <w:rFonts w:hint="default" w:ascii="仿宋_GB2312" w:hAnsi="仿宋_GB2312" w:eastAsia="仿宋_GB2312" w:cs="仿宋_GB2312"/>
          <w:sz w:val="32"/>
          <w:szCs w:val="32"/>
          <w:lang w:val="en-US" w:eastAsia="zh-CN"/>
        </w:rPr>
        <w:t>安全教育基地专业化、规范化发展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着力提升安全教育基地</w:t>
      </w:r>
      <w:r>
        <w:rPr>
          <w:rFonts w:hint="eastAsia" w:ascii="仿宋_GB2312" w:hAnsi="仿宋_GB2312" w:eastAsia="仿宋_GB2312" w:cs="仿宋_GB2312"/>
          <w:sz w:val="32"/>
          <w:szCs w:val="32"/>
          <w:lang w:val="en-US" w:eastAsia="zh-CN"/>
        </w:rPr>
        <w:t>建设管理质量，充分发挥安全教育基地普及安全知识、宣传安全理念、培养安全行为等功能，切实提高市民群众的安全意识和安全防范能力。</w:t>
      </w:r>
    </w:p>
    <w:p>
      <w:pPr>
        <w:pStyle w:val="8"/>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二、评定范围</w:t>
      </w:r>
    </w:p>
    <w:p>
      <w:pPr>
        <w:pStyle w:val="8"/>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市范围内涵盖应急管理、安全生产、防灾减灾救灾等涉安全元素领域科普、宣传、教育、培训基地（场馆、场所），包括不限于面向公众或校园师生、产业工人、内部员工等开放的公益性安全教育基地（场馆、场所）。</w:t>
      </w:r>
    </w:p>
    <w:p>
      <w:pPr>
        <w:pStyle w:val="8"/>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三、评定程序</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（一）申报</w:t>
      </w:r>
    </w:p>
    <w:p>
      <w:pPr>
        <w:pStyle w:val="8"/>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"mailto:深圳市各有关单位对照《深圳市安全教育基地评定指引》（以下简称《评定指引》，详见附件1）向市应急管理局提交申报材料，相关材料请于11月X日（星期X）前发送至邮箱wangxiang@sz.gov.cn。"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各申报单位对照《深圳市安全教育基地星级评定分值表》（详见附件</w:t>
      </w:r>
      <w:r>
        <w:rPr>
          <w:rFonts w:hint="default"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val="en-US" w:eastAsia="zh-CN"/>
        </w:rPr>
        <w:t>）向市应急管理局提交申报材料，相关材料请压缩打包于2023年11月10日（星期五）前发送至电子邮箱wangxiang@sz.gov.cn，邮件名称统一命名为“申报单位+基地名称”。</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b w:val="0"/>
          <w:bCs w:val="0"/>
          <w:sz w:val="32"/>
          <w:szCs w:val="32"/>
          <w:lang w:val="en-US" w:eastAsia="zh-CN"/>
        </w:rPr>
        <w:t>报送材料清单如下：</w:t>
      </w:r>
    </w:p>
    <w:p>
      <w:pPr>
        <w:pStyle w:val="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深圳市安全教育基地星级评定申报审核表（其中安全教育基地基本情况描述需突出重点亮点，不少于500字；“申报单位”是指基地业主单位，“推荐单位”是指市安委会成员单位或区安委办；加盖公章后扫描成PDF版）。</w:t>
      </w:r>
    </w:p>
    <w:p>
      <w:pPr>
        <w:pStyle w:val="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2.深圳市安全教育基地星级评定分值表（填写自评得分栏）。</w:t>
      </w:r>
    </w:p>
    <w:p>
      <w:pPr>
        <w:pStyle w:val="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3.基地实景照片6-10张(每张照片不小于3M，JPG格式，含一张基地正面照，画面清晰，构图完整）。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（二）评定</w:t>
      </w:r>
    </w:p>
    <w:p>
      <w:pPr>
        <w:pStyle w:val="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市应急管理局邀请专家组成审核组，对各申报单位提交的申报材料进行真实性、完整性和规范性审查，根据评定指引对各申报基地进行考察，提出评定意见。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（三）公示</w:t>
      </w:r>
    </w:p>
    <w:p>
      <w:pPr>
        <w:pStyle w:val="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eastAsia="zh-CN"/>
        </w:rPr>
        <w:t>应急管理局</w:t>
      </w:r>
      <w:r>
        <w:rPr>
          <w:rFonts w:hint="default" w:ascii="仿宋_GB2312" w:hAnsi="仿宋_GB2312" w:eastAsia="仿宋_GB2312" w:cs="仿宋_GB2312"/>
          <w:sz w:val="32"/>
          <w:szCs w:val="32"/>
          <w:lang w:val="en-US" w:eastAsia="zh-CN"/>
        </w:rPr>
        <w:t>将安全教育基地评定结果在局门户网站上向社会公示，公示期为5个工作日</w:t>
      </w:r>
      <w:r>
        <w:rPr>
          <w:rFonts w:hint="eastAsia" w:ascii="仿宋_GB2312" w:hAnsi="仿宋_GB2312" w:eastAsia="仿宋_GB2312" w:cs="仿宋_GB2312"/>
          <w:sz w:val="32"/>
          <w:szCs w:val="32"/>
          <w:lang w:val="en-US" w:eastAsia="zh-CN"/>
        </w:rPr>
        <w:t>。在</w:t>
      </w:r>
      <w:r>
        <w:rPr>
          <w:rFonts w:hint="default" w:ascii="仿宋_GB2312" w:hAnsi="仿宋_GB2312" w:eastAsia="仿宋_GB2312" w:cs="仿宋_GB2312"/>
          <w:sz w:val="32"/>
          <w:szCs w:val="32"/>
          <w:lang w:val="en-US" w:eastAsia="zh-CN"/>
        </w:rPr>
        <w:t>公示期内，对评</w:t>
      </w:r>
      <w:r>
        <w:rPr>
          <w:rFonts w:hint="eastAsia" w:ascii="仿宋_GB2312" w:hAnsi="仿宋_GB2312" w:eastAsia="仿宋_GB2312" w:cs="仿宋_GB2312"/>
          <w:sz w:val="32"/>
          <w:szCs w:val="32"/>
          <w:lang w:val="en-US" w:eastAsia="zh-CN"/>
        </w:rPr>
        <w:t>定</w:t>
      </w:r>
      <w:r>
        <w:rPr>
          <w:rFonts w:hint="default" w:ascii="仿宋_GB2312" w:hAnsi="仿宋_GB2312" w:eastAsia="仿宋_GB2312" w:cs="仿宋_GB2312"/>
          <w:sz w:val="32"/>
          <w:szCs w:val="32"/>
          <w:lang w:val="en-US" w:eastAsia="zh-CN"/>
        </w:rPr>
        <w:t>结果有异议的，可以向市</w:t>
      </w:r>
      <w:r>
        <w:rPr>
          <w:rFonts w:hint="eastAsia" w:ascii="仿宋_GB2312" w:hAnsi="仿宋_GB2312" w:eastAsia="仿宋_GB2312" w:cs="仿宋_GB2312"/>
          <w:sz w:val="32"/>
          <w:szCs w:val="32"/>
          <w:lang w:val="en-US" w:eastAsia="zh-CN"/>
        </w:rPr>
        <w:t>应急管理局</w:t>
      </w:r>
      <w:r>
        <w:rPr>
          <w:rFonts w:hint="default" w:ascii="仿宋_GB2312" w:hAnsi="仿宋_GB2312" w:eastAsia="仿宋_GB2312" w:cs="仿宋_GB2312"/>
          <w:sz w:val="32"/>
          <w:szCs w:val="32"/>
          <w:lang w:val="en-US" w:eastAsia="zh-CN"/>
        </w:rPr>
        <w:t>提交书面质询意见和佐证材料，市</w:t>
      </w:r>
      <w:r>
        <w:rPr>
          <w:rFonts w:hint="eastAsia" w:ascii="仿宋_GB2312" w:hAnsi="仿宋_GB2312" w:eastAsia="仿宋_GB2312" w:cs="仿宋_GB2312"/>
          <w:sz w:val="32"/>
          <w:szCs w:val="32"/>
          <w:lang w:val="en-US" w:eastAsia="zh-CN"/>
        </w:rPr>
        <w:t>应急管理局</w:t>
      </w:r>
      <w:r>
        <w:rPr>
          <w:rFonts w:hint="default" w:ascii="仿宋_GB2312" w:hAnsi="仿宋_GB2312" w:eastAsia="仿宋_GB2312" w:cs="仿宋_GB2312"/>
          <w:sz w:val="32"/>
          <w:szCs w:val="32"/>
          <w:lang w:val="en-US" w:eastAsia="zh-CN"/>
        </w:rPr>
        <w:t>进行核查后予以答复。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（四）授牌</w:t>
      </w:r>
    </w:p>
    <w:p>
      <w:pPr>
        <w:pStyle w:val="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eastAsia="zh-CN"/>
        </w:rPr>
        <w:t>应急管理局</w:t>
      </w:r>
      <w:r>
        <w:rPr>
          <w:rFonts w:hint="default" w:ascii="仿宋_GB2312" w:hAnsi="仿宋_GB2312" w:eastAsia="仿宋_GB2312" w:cs="仿宋_GB2312"/>
          <w:sz w:val="32"/>
          <w:szCs w:val="32"/>
          <w:lang w:val="en-US" w:eastAsia="zh-CN"/>
        </w:rPr>
        <w:t>对公示无异议或经消除异议的单位正式授予</w:t>
      </w:r>
      <w:r>
        <w:rPr>
          <w:rFonts w:hint="eastAsia" w:ascii="仿宋_GB2312" w:hAnsi="仿宋_GB2312" w:eastAsia="仿宋_GB2312" w:cs="仿宋_GB2312"/>
          <w:sz w:val="32"/>
          <w:szCs w:val="32"/>
          <w:lang w:val="en-US" w:eastAsia="zh-CN"/>
        </w:rPr>
        <w:t>等级</w:t>
      </w:r>
      <w:r>
        <w:rPr>
          <w:rFonts w:hint="default" w:ascii="仿宋_GB2312" w:hAnsi="仿宋_GB2312" w:eastAsia="仿宋_GB2312" w:cs="仿宋_GB2312"/>
          <w:sz w:val="32"/>
          <w:szCs w:val="32"/>
          <w:lang w:val="en-US" w:eastAsia="zh-CN"/>
        </w:rPr>
        <w:t>称号</w:t>
      </w:r>
      <w:r>
        <w:rPr>
          <w:rFonts w:hint="eastAsia" w:ascii="仿宋_GB2312" w:hAnsi="仿宋_GB2312" w:eastAsia="仿宋_GB2312" w:cs="仿宋_GB2312"/>
          <w:sz w:val="32"/>
          <w:szCs w:val="32"/>
          <w:lang w:val="en-US" w:eastAsia="zh-CN"/>
        </w:rPr>
        <w:t>和牌匾，并</w:t>
      </w:r>
      <w:r>
        <w:rPr>
          <w:rFonts w:hint="default" w:ascii="仿宋_GB2312" w:hAnsi="仿宋_GB2312" w:eastAsia="仿宋_GB2312" w:cs="仿宋_GB2312"/>
          <w:sz w:val="32"/>
          <w:szCs w:val="32"/>
          <w:lang w:val="en-US" w:eastAsia="zh-CN"/>
        </w:rPr>
        <w:t>通过局门户网站向社会公告</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（五）管理</w:t>
      </w:r>
    </w:p>
    <w:p>
      <w:pPr>
        <w:pStyle w:val="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获得授牌的安全教育基地，需制定年度科普活动工作计划每年组织不同类型的教育科普活动不少于2次，并于次年1月30日前向市</w:t>
      </w:r>
      <w:r>
        <w:rPr>
          <w:rFonts w:hint="eastAsia" w:ascii="仿宋_GB2312" w:hAnsi="仿宋_GB2312" w:eastAsia="仿宋_GB2312" w:cs="仿宋_GB2312"/>
          <w:sz w:val="32"/>
          <w:szCs w:val="32"/>
          <w:lang w:val="en-US" w:eastAsia="zh-CN"/>
        </w:rPr>
        <w:t>应急管理局</w:t>
      </w:r>
      <w:r>
        <w:rPr>
          <w:rFonts w:hint="default" w:ascii="仿宋_GB2312" w:hAnsi="仿宋_GB2312" w:eastAsia="仿宋_GB2312" w:cs="仿宋_GB2312"/>
          <w:sz w:val="32"/>
          <w:szCs w:val="32"/>
          <w:lang w:val="en-US" w:eastAsia="zh-CN"/>
        </w:rPr>
        <w:t>报送本年度的科普活动工作总结和下一年度科普活动工作计划</w:t>
      </w:r>
      <w:r>
        <w:rPr>
          <w:rFonts w:hint="eastAsia" w:ascii="仿宋_GB2312" w:hAnsi="仿宋_GB2312" w:eastAsia="仿宋_GB2312" w:cs="仿宋_GB2312"/>
          <w:sz w:val="32"/>
          <w:szCs w:val="32"/>
          <w:lang w:val="en-US" w:eastAsia="zh-CN"/>
        </w:rPr>
        <w:t>。</w:t>
      </w:r>
    </w:p>
    <w:p>
      <w:pPr>
        <w:pStyle w:val="8"/>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四、工作要求</w:t>
      </w:r>
    </w:p>
    <w:p>
      <w:pPr>
        <w:pStyle w:val="8"/>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（一）高度重视，认真组织</w:t>
      </w:r>
    </w:p>
    <w:p>
      <w:pPr>
        <w:pStyle w:val="8"/>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单位要充分认识开展安全教育基地星级评定工作的重要意义，认真做好组织领导和宣传动员工作，广泛发动本行业、本领域、本系统、本辖区符合条件的对象积极申报。其中，请市国资委、市教育局、市人力资源保障局按照职责分工分别动员市属国有企业、中小学校、职业院校等单位申报。</w:t>
      </w:r>
    </w:p>
    <w:p>
      <w:pPr>
        <w:pStyle w:val="8"/>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（二）如实申报，严格把关</w:t>
      </w:r>
    </w:p>
    <w:p>
      <w:pPr>
        <w:pStyle w:val="8"/>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申报单位应当实事求是，如实填报有关材料、客观反映实际情况，不得弄虚作假，瞒报错报。各推荐单位要对申报材料认真审核把关，公正签署推荐意见，必要时应当开展实地考察，确保申报材料的真实性和准确性。</w:t>
      </w:r>
    </w:p>
    <w:p>
      <w:pPr>
        <w:pStyle w:val="8"/>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（三）发挥作用，提高成效</w:t>
      </w:r>
    </w:p>
    <w:p>
      <w:pPr>
        <w:pStyle w:val="8"/>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单位要加强对本行业、本领域、本系统、本辖区安全教育基地建设管理工作的指导，持续强化安全教育基地的安全科普功能。申报单位要积极开拓创新，充分发挥安全知识宣传教育阵地的典型示范作用，切实提高我市安全宣教工作成效。</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附件：</w:t>
      </w:r>
      <w:r>
        <w:rPr>
          <w:rFonts w:hint="eastAsia" w:ascii="仿宋_GB2312" w:hAnsi="仿宋_GB2312" w:eastAsia="仿宋_GB2312" w:cs="仿宋_GB2312"/>
          <w:sz w:val="32"/>
          <w:szCs w:val="32"/>
          <w:lang w:val="en-US" w:eastAsia="zh-CN"/>
        </w:rPr>
        <w:t>1.深圳市安全教育基地星级评定分值表</w:t>
      </w:r>
    </w:p>
    <w:p>
      <w:pPr>
        <w:pStyle w:val="8"/>
        <w:keepNext w:val="0"/>
        <w:keepLines w:val="0"/>
        <w:pageBreakBefore w:val="0"/>
        <w:widowControl w:val="0"/>
        <w:kinsoku/>
        <w:wordWrap/>
        <w:overflowPunct/>
        <w:topLinePunct w:val="0"/>
        <w:autoSpaceDE/>
        <w:autoSpaceDN/>
        <w:bidi w:val="0"/>
        <w:adjustRightInd/>
        <w:snapToGrid/>
        <w:spacing w:line="520" w:lineRule="exact"/>
        <w:ind w:firstLine="158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2.深圳市安全教育基地星级评定申报审核表</w:t>
      </w:r>
    </w:p>
    <w:p>
      <w:pPr>
        <w:pStyle w:val="8"/>
        <w:keepNext w:val="0"/>
        <w:keepLines w:val="0"/>
        <w:pageBreakBefore w:val="0"/>
        <w:widowControl w:val="0"/>
        <w:kinsoku/>
        <w:wordWrap/>
        <w:overflowPunct/>
        <w:topLinePunct w:val="0"/>
        <w:autoSpaceDE/>
        <w:autoSpaceDN/>
        <w:bidi w:val="0"/>
        <w:adjustRightInd/>
        <w:snapToGrid/>
        <w:spacing w:line="520" w:lineRule="exact"/>
        <w:ind w:firstLine="158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3.深圳市应急管理局关于印发《深圳市安全教育基地</w:t>
      </w:r>
    </w:p>
    <w:p>
      <w:pPr>
        <w:pStyle w:val="8"/>
        <w:keepNext w:val="0"/>
        <w:keepLines w:val="0"/>
        <w:pageBreakBefore w:val="0"/>
        <w:widowControl w:val="0"/>
        <w:kinsoku/>
        <w:wordWrap/>
        <w:overflowPunct/>
        <w:topLinePunct w:val="0"/>
        <w:autoSpaceDE/>
        <w:autoSpaceDN/>
        <w:bidi w:val="0"/>
        <w:adjustRightInd/>
        <w:snapToGrid/>
        <w:spacing w:line="520" w:lineRule="exact"/>
        <w:ind w:firstLine="1896"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评定指引》的通知</w:t>
      </w: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line="520" w:lineRule="exact"/>
        <w:ind w:right="5" w:righ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深圳市安全管理委员会办公室</w:t>
      </w:r>
    </w:p>
    <w:p>
      <w:pPr>
        <w:pStyle w:val="8"/>
        <w:keepNext w:val="0"/>
        <w:keepLines w:val="0"/>
        <w:pageBreakBefore w:val="0"/>
        <w:widowControl w:val="0"/>
        <w:kinsoku/>
        <w:wordWrap/>
        <w:overflowPunct/>
        <w:topLinePunct w:val="0"/>
        <w:autoSpaceDE/>
        <w:autoSpaceDN/>
        <w:bidi w:val="0"/>
        <w:adjustRightInd/>
        <w:snapToGrid/>
        <w:spacing w:line="520" w:lineRule="exact"/>
        <w:ind w:right="1106" w:rightChars="350" w:firstLine="632"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2023年10月</w:t>
      </w:r>
      <w:r>
        <w:rPr>
          <w:rFonts w:hint="eastAsia" w:ascii="仿宋_GB2312" w:hAnsi="仿宋_GB2312" w:cs="仿宋_GB2312"/>
          <w:sz w:val="32"/>
          <w:szCs w:val="32"/>
          <w:lang w:val="en-US" w:eastAsia="zh-CN"/>
        </w:rPr>
        <w:t>30</w:t>
      </w:r>
      <w:r>
        <w:rPr>
          <w:rFonts w:hint="eastAsia" w:ascii="仿宋_GB2312" w:hAnsi="仿宋_GB2312" w:eastAsia="仿宋_GB2312" w:cs="仿宋_GB2312"/>
          <w:sz w:val="32"/>
          <w:szCs w:val="32"/>
          <w:lang w:val="en-US" w:eastAsia="zh-CN"/>
        </w:rPr>
        <w:t>日</w:t>
      </w:r>
    </w:p>
    <w:p>
      <w:pPr>
        <w:pStyle w:val="8"/>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3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（联系人：杨华兴，联系电话：19925357794；</w:t>
      </w:r>
    </w:p>
    <w:p>
      <w:pPr>
        <w:keepNext w:val="0"/>
        <w:keepLines w:val="0"/>
        <w:pageBreakBefore w:val="0"/>
        <w:widowControl w:val="0"/>
        <w:kinsoku/>
        <w:wordWrap/>
        <w:overflowPunct/>
        <w:topLinePunct w:val="0"/>
        <w:autoSpaceDE/>
        <w:autoSpaceDN/>
        <w:bidi w:val="0"/>
        <w:adjustRightInd w:val="0"/>
        <w:snapToGrid w:val="0"/>
        <w:spacing w:line="520" w:lineRule="exact"/>
        <w:ind w:firstLine="2212" w:firstLineChars="7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王东翔，联系电话：15816874597）</w:t>
      </w:r>
    </w:p>
    <w:p>
      <w:pPr>
        <w:pStyle w:val="2"/>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p>
    <w:p>
      <w:pPr>
        <w:pStyle w:val="2"/>
        <w:rPr>
          <w:rFonts w:hint="eastAsia" w:ascii="仿宋_GB2312" w:hAnsi="仿宋_GB2312" w:eastAsia="仿宋_GB2312" w:cs="仿宋_GB2312"/>
          <w:kern w:val="2"/>
          <w:sz w:val="32"/>
          <w:szCs w:val="32"/>
          <w:lang w:val="en-US" w:eastAsia="zh-CN" w:bidi="ar-SA"/>
        </w:rPr>
      </w:pPr>
      <w:bookmarkStart w:id="9" w:name="_GoBack"/>
      <w:bookmarkEnd w:id="9"/>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 w:eastAsia="zh-CN"/>
        </w:rPr>
        <w:t>附件</w:t>
      </w:r>
      <w:r>
        <w:rPr>
          <w:rFonts w:hint="eastAsia" w:ascii="黑体" w:hAnsi="黑体" w:eastAsia="黑体" w:cs="黑体"/>
          <w:b w:val="0"/>
          <w:bCs w:val="0"/>
          <w:sz w:val="32"/>
          <w:szCs w:val="32"/>
          <w:u w:val="none"/>
          <w:lang w:val="en-US" w:eastAsia="zh-CN"/>
        </w:rPr>
        <w:t>1</w:t>
      </w:r>
    </w:p>
    <w:tbl>
      <w:tblPr>
        <w:tblStyle w:val="27"/>
        <w:tblpPr w:leftFromText="180" w:rightFromText="180" w:vertAnchor="text" w:horzAnchor="page" w:tblpXSpec="center" w:tblpY="883"/>
        <w:tblOverlap w:val="never"/>
        <w:tblW w:w="10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864"/>
        <w:gridCol w:w="3671"/>
        <w:gridCol w:w="675"/>
        <w:gridCol w:w="870"/>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7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黑体" w:hAnsi="黑体" w:eastAsia="黑体"/>
                <w:sz w:val="28"/>
                <w:szCs w:val="28"/>
                <w:u w:val="none"/>
              </w:rPr>
            </w:pPr>
            <w:r>
              <w:rPr>
                <w:rFonts w:hint="eastAsia" w:ascii="方正小标宋简体" w:hAnsi="方正小标宋简体" w:eastAsia="方正小标宋简体" w:cs="方正小标宋简体"/>
                <w:b w:val="0"/>
                <w:bCs w:val="0"/>
                <w:sz w:val="44"/>
                <w:szCs w:val="44"/>
                <w:u w:val="none"/>
              </w:rPr>
              <w:t>深圳市安全教育基地</w:t>
            </w:r>
            <w:r>
              <w:rPr>
                <w:rFonts w:hint="eastAsia" w:ascii="方正小标宋简体" w:hAnsi="方正小标宋简体" w:eastAsia="方正小标宋简体" w:cs="方正小标宋简体"/>
                <w:b w:val="0"/>
                <w:bCs w:val="0"/>
                <w:sz w:val="44"/>
                <w:szCs w:val="44"/>
                <w:u w:val="none"/>
                <w:lang w:eastAsia="zh-CN"/>
              </w:rPr>
              <w:t>星级</w:t>
            </w:r>
            <w:r>
              <w:rPr>
                <w:rFonts w:hint="eastAsia" w:ascii="方正小标宋简体" w:hAnsi="方正小标宋简体" w:eastAsia="方正小标宋简体" w:cs="方正小标宋简体"/>
                <w:b w:val="0"/>
                <w:bCs w:val="0"/>
                <w:sz w:val="44"/>
                <w:szCs w:val="44"/>
                <w:u w:val="none"/>
              </w:rPr>
              <w:t>评定</w:t>
            </w:r>
            <w:r>
              <w:rPr>
                <w:rFonts w:hint="eastAsia" w:ascii="方正小标宋简体" w:hAnsi="方正小标宋简体" w:eastAsia="方正小标宋简体" w:cs="方正小标宋简体"/>
                <w:b w:val="0"/>
                <w:bCs w:val="0"/>
                <w:sz w:val="44"/>
                <w:szCs w:val="44"/>
                <w:u w:val="none"/>
                <w:lang w:eastAsia="zh-CN"/>
              </w:rPr>
              <w:t>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0"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黑体" w:hAnsi="黑体" w:eastAsia="黑体"/>
                <w:sz w:val="24"/>
                <w:szCs w:val="24"/>
                <w:u w:val="none"/>
              </w:rPr>
            </w:pPr>
            <w:r>
              <w:rPr>
                <w:rFonts w:hint="eastAsia" w:ascii="黑体" w:hAnsi="黑体" w:eastAsia="黑体"/>
                <w:sz w:val="24"/>
                <w:szCs w:val="24"/>
                <w:u w:val="none"/>
              </w:rPr>
              <w:t>评定项目</w:t>
            </w:r>
          </w:p>
        </w:tc>
        <w:tc>
          <w:tcPr>
            <w:tcW w:w="75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firstLine="472" w:firstLineChars="200"/>
              <w:jc w:val="center"/>
              <w:textAlignment w:val="auto"/>
              <w:outlineLvl w:val="9"/>
              <w:rPr>
                <w:rFonts w:hint="eastAsia" w:ascii="黑体" w:hAnsi="黑体" w:eastAsia="黑体"/>
                <w:sz w:val="24"/>
                <w:szCs w:val="24"/>
                <w:u w:val="none"/>
              </w:rPr>
            </w:pPr>
            <w:r>
              <w:rPr>
                <w:rFonts w:hint="eastAsia" w:ascii="黑体" w:hAnsi="黑体" w:eastAsia="黑体"/>
                <w:sz w:val="24"/>
                <w:szCs w:val="24"/>
                <w:u w:val="none"/>
              </w:rPr>
              <w:t>评分标准（横向比较，分档评分）</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黑体" w:hAnsi="黑体" w:eastAsia="黑体"/>
                <w:sz w:val="24"/>
                <w:szCs w:val="24"/>
                <w:u w:val="none"/>
              </w:rPr>
            </w:pPr>
            <w:r>
              <w:rPr>
                <w:rFonts w:hint="eastAsia" w:ascii="黑体" w:hAnsi="黑体" w:eastAsia="黑体"/>
                <w:sz w:val="24"/>
                <w:szCs w:val="24"/>
                <w:u w:val="none"/>
              </w:rPr>
              <w:t>总分值</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黑体" w:hAnsi="黑体" w:eastAsia="黑体"/>
                <w:sz w:val="24"/>
                <w:szCs w:val="24"/>
                <w:u w:val="none"/>
              </w:rPr>
            </w:pPr>
            <w:r>
              <w:rPr>
                <w:rFonts w:hint="eastAsia" w:ascii="黑体" w:hAnsi="黑体" w:eastAsia="黑体"/>
                <w:sz w:val="24"/>
                <w:szCs w:val="24"/>
                <w:u w:val="none"/>
              </w:rPr>
              <w:t>自评得分</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黑体" w:hAnsi="黑体" w:eastAsia="黑体"/>
                <w:sz w:val="24"/>
                <w:szCs w:val="24"/>
                <w:u w:val="none"/>
              </w:rPr>
            </w:pPr>
            <w:r>
              <w:rPr>
                <w:rFonts w:hint="eastAsia" w:ascii="黑体" w:hAnsi="黑体" w:eastAsia="黑体"/>
                <w:sz w:val="24"/>
                <w:szCs w:val="24"/>
                <w:u w:val="none"/>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1.</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场</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馆</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条</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rPr>
              <w:t>件</w:t>
            </w:r>
          </w:p>
        </w:tc>
        <w:tc>
          <w:tcPr>
            <w:tcW w:w="3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按照安全教育基地的级别评定：</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1.市级安全教育基地建筑面积：</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4000㎡≦建筑面积，得6分；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2000㎡≦建筑面积&lt;4000㎡，得4分；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1000㎡≦建筑面积&lt;2000㎡，得2分；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建筑面积&lt;1000㎡，得1分；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2.区级安全教育基地建筑面积：</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1000㎡≦建筑面积，得6分；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500㎡≦建筑面积&lt;1000㎡，得4分；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建筑面积&lt;500㎡，得2分；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3.街道级安全教育基地建筑面积：</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500㎡≦建筑面积，得6分；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300㎡≦建筑面积&lt;500㎡，得4分；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lang w:val="en-US" w:eastAsia="zh-CN"/>
              </w:rPr>
              <w:t>建筑面积&lt;300㎡，得2分。</w:t>
            </w:r>
          </w:p>
        </w:tc>
        <w:tc>
          <w:tcPr>
            <w:tcW w:w="36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按照安全教育基地类别评定：</w:t>
            </w:r>
          </w:p>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1.综合性安全教育基地建筑面积：</w:t>
            </w:r>
          </w:p>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1000㎡≦建筑面积，得6分；</w:t>
            </w:r>
          </w:p>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500㎡≦建筑面积&lt;1000㎡，得4分；</w:t>
            </w:r>
          </w:p>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sz w:val="24"/>
                <w:szCs w:val="24"/>
                <w:u w:val="none"/>
                <w:lang w:val="en-US" w:eastAsia="zh-CN"/>
              </w:rPr>
              <w:t>建筑面积&lt;500㎡，得2分；</w:t>
            </w:r>
          </w:p>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2.专业性安全教育基地建筑面积：</w:t>
            </w:r>
          </w:p>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500㎡≦建筑面积，得6分；</w:t>
            </w:r>
          </w:p>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300㎡≦建筑面积&lt;500㎡，得4分；</w:t>
            </w:r>
          </w:p>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sz w:val="24"/>
                <w:szCs w:val="24"/>
                <w:u w:val="none"/>
                <w:lang w:val="en-US" w:eastAsia="zh-CN"/>
              </w:rPr>
              <w:t>建筑面积&lt;300㎡，得2分；</w:t>
            </w:r>
          </w:p>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3.移动式或其他特色安全教育基地建筑面积：</w:t>
            </w:r>
          </w:p>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40㎡≦移动式或其他特色安全教育基地建筑面积，得6分；</w:t>
            </w:r>
          </w:p>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4"/>
                <w:szCs w:val="24"/>
                <w:u w:val="none"/>
              </w:rPr>
            </w:pPr>
            <w:r>
              <w:rPr>
                <w:rFonts w:hint="eastAsia" w:ascii="仿宋_GB2312" w:hAnsi="仿宋_GB2312" w:eastAsia="仿宋_GB2312" w:cs="仿宋_GB2312"/>
                <w:sz w:val="24"/>
                <w:szCs w:val="24"/>
                <w:u w:val="none"/>
                <w:lang w:val="en-US" w:eastAsia="zh-CN"/>
              </w:rPr>
              <w:t>移动式或其他特色安全教育基地建筑面积&lt;40㎡，得4分。</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b/>
                <w:bCs w:val="0"/>
                <w:sz w:val="24"/>
                <w:szCs w:val="24"/>
                <w:u w:val="none"/>
                <w:lang w:val="en-US" w:eastAsia="zh-CN"/>
              </w:rPr>
              <w:t>6</w:t>
            </w:r>
          </w:p>
        </w:tc>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u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84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7535"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场馆布局：</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各级各类安全教育基地应灵活设置场馆主题空间、宣教培训空间、公共活动空间、“学习强安”线下体验空间、辅助空间（办公、仓储、设备等）等区域，空间规划应具有系统性、灵活性，全部符合得4分，符合1-3项得3分。</w:t>
            </w:r>
          </w:p>
        </w:tc>
        <w:tc>
          <w:tcPr>
            <w:tcW w:w="675" w:type="dxa"/>
            <w:tcBorders>
              <w:top w:val="single" w:color="auto" w:sz="4" w:space="0"/>
              <w:left w:val="single" w:color="auto" w:sz="4" w:space="0"/>
              <w:right w:val="single" w:color="auto" w:sz="4" w:space="0"/>
            </w:tcBorders>
            <w:noWrap w:val="0"/>
            <w:vAlign w:val="center"/>
          </w:tcPr>
          <w:p>
            <w:pPr>
              <w:pStyle w:val="54"/>
              <w:keepNext w:val="0"/>
              <w:keepLines w:val="0"/>
              <w:pageBreakBefore w:val="0"/>
              <w:kinsoku/>
              <w:wordWrap/>
              <w:overflowPunct/>
              <w:topLinePunct w:val="0"/>
              <w:autoSpaceDE/>
              <w:autoSpaceDN/>
              <w:bidi w:val="0"/>
              <w:adjustRightInd/>
              <w:snapToGrid/>
              <w:spacing w:line="380" w:lineRule="exact"/>
              <w:ind w:left="0" w:leftChars="0" w:firstLine="0" w:firstLineChars="0"/>
              <w:jc w:val="center"/>
              <w:textAlignment w:val="auto"/>
              <w:outlineLvl w:val="9"/>
              <w:rPr>
                <w:rFonts w:hint="eastAsia" w:ascii="仿宋_GB2312" w:hAnsi="仿宋_GB2312" w:eastAsia="仿宋_GB2312" w:cs="仿宋_GB2312"/>
                <w:b/>
                <w:bCs w:val="0"/>
                <w:sz w:val="24"/>
                <w:szCs w:val="24"/>
                <w:u w:val="none"/>
                <w:lang w:val="en-US" w:eastAsia="zh-CN"/>
              </w:rPr>
            </w:pPr>
            <w:r>
              <w:rPr>
                <w:rFonts w:hint="eastAsia" w:ascii="仿宋_GB2312" w:hAnsi="仿宋_GB2312" w:eastAsia="仿宋_GB2312" w:cs="仿宋_GB2312"/>
                <w:b/>
                <w:bCs w:val="0"/>
                <w:sz w:val="24"/>
                <w:szCs w:val="24"/>
                <w:u w:val="none"/>
                <w:lang w:val="en-US" w:eastAsia="zh-CN"/>
              </w:rPr>
              <w:t>4</w:t>
            </w:r>
          </w:p>
        </w:tc>
        <w:tc>
          <w:tcPr>
            <w:tcW w:w="870" w:type="dxa"/>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p>
        </w:tc>
        <w:tc>
          <w:tcPr>
            <w:tcW w:w="7535" w:type="dxa"/>
            <w:gridSpan w:val="2"/>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rPr>
            </w:pPr>
            <w:r>
              <w:rPr>
                <w:rFonts w:hint="eastAsia" w:ascii="仿宋_GB2312" w:hAnsi="仿宋_GB2312" w:eastAsia="仿宋_GB2312" w:cs="仿宋_GB2312"/>
                <w:b/>
                <w:bCs/>
                <w:sz w:val="24"/>
                <w:szCs w:val="24"/>
                <w:u w:val="none"/>
                <w:lang w:val="en-US" w:eastAsia="zh-CN"/>
              </w:rPr>
              <w:t>场馆智能化:</w:t>
            </w:r>
            <w:r>
              <w:rPr>
                <w:rFonts w:hint="eastAsia" w:ascii="仿宋_GB2312" w:hAnsi="仿宋_GB2312" w:eastAsia="仿宋_GB2312" w:cs="仿宋_GB2312"/>
                <w:sz w:val="24"/>
                <w:szCs w:val="24"/>
                <w:u w:val="none"/>
                <w:lang w:val="en-US" w:eastAsia="zh-CN"/>
              </w:rPr>
              <w:t>各级各类安全教育基地根据功能区域需要配置相应智能系统，主要涉及基础运行网络、计算机应用、模拟体验、3D互动、“学习强安”线下体验设备、远程加载、升级管理、音视频资源管理等，得4分。</w:t>
            </w:r>
          </w:p>
        </w:tc>
        <w:tc>
          <w:tcPr>
            <w:tcW w:w="67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r>
              <w:rPr>
                <w:rFonts w:hint="eastAsia" w:ascii="仿宋_GB2312" w:hAnsi="仿宋_GB2312" w:eastAsia="仿宋_GB2312" w:cs="仿宋_GB2312"/>
                <w:b/>
                <w:bCs w:val="0"/>
                <w:sz w:val="24"/>
                <w:szCs w:val="24"/>
                <w:u w:val="none"/>
                <w:lang w:val="en-US" w:eastAsia="zh-CN"/>
              </w:rPr>
              <w:t>4</w:t>
            </w:r>
          </w:p>
        </w:tc>
        <w:tc>
          <w:tcPr>
            <w:tcW w:w="870" w:type="dxa"/>
            <w:tcBorders>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9" w:hRule="atLeast"/>
          <w:jc w:val="center"/>
        </w:trPr>
        <w:tc>
          <w:tcPr>
            <w:tcW w:w="840"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2.</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场</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馆</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主</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题</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p>
        </w:tc>
        <w:tc>
          <w:tcPr>
            <w:tcW w:w="3864" w:type="dxa"/>
            <w:tcBorders>
              <w:left w:val="single" w:color="auto" w:sz="4" w:space="0"/>
              <w:bottom w:val="single" w:color="auto" w:sz="4" w:space="0"/>
              <w:right w:val="single" w:color="auto" w:sz="4" w:space="0"/>
            </w:tcBorders>
            <w:noWrap w:val="0"/>
            <w:vAlign w:val="top"/>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按照安全教育基地的级别评定：</w:t>
            </w: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b/>
                <w:bCs/>
                <w:sz w:val="24"/>
                <w:szCs w:val="24"/>
                <w:u w:val="none"/>
                <w:lang w:val="en-US" w:eastAsia="zh-CN"/>
              </w:rPr>
              <w:t>1.市级安全教育基地：</w:t>
            </w:r>
            <w:r>
              <w:rPr>
                <w:rFonts w:hint="eastAsia" w:ascii="仿宋_GB2312" w:hAnsi="仿宋_GB2312" w:eastAsia="仿宋_GB2312" w:cs="仿宋_GB2312"/>
                <w:sz w:val="24"/>
                <w:szCs w:val="24"/>
                <w:u w:val="none"/>
                <w:lang w:val="en-US" w:eastAsia="zh-CN"/>
              </w:rPr>
              <w:t>应涵盖公共安全知识、认识灾害、感受灾害、体验灾害等方面主题；</w:t>
            </w: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b/>
                <w:bCs/>
                <w:sz w:val="24"/>
                <w:szCs w:val="24"/>
                <w:u w:val="none"/>
                <w:lang w:val="en-US" w:eastAsia="zh-CN"/>
              </w:rPr>
              <w:t>2.区级安全教育基地：</w:t>
            </w:r>
            <w:r>
              <w:rPr>
                <w:rFonts w:hint="eastAsia" w:ascii="仿宋_GB2312" w:hAnsi="仿宋_GB2312" w:eastAsia="仿宋_GB2312" w:cs="仿宋_GB2312"/>
                <w:sz w:val="24"/>
                <w:szCs w:val="24"/>
                <w:u w:val="none"/>
                <w:lang w:val="en-US" w:eastAsia="zh-CN"/>
              </w:rPr>
              <w:t>应紧扣本区国民经济发展、产业布局及特点、应急管理、安全生产和防灾减灾救灾实际需要；</w:t>
            </w: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b/>
                <w:bCs/>
                <w:sz w:val="24"/>
                <w:szCs w:val="24"/>
                <w:u w:val="none"/>
                <w:lang w:val="en-US" w:eastAsia="zh-CN"/>
              </w:rPr>
              <w:t>3.街道级安全教育基地：</w:t>
            </w:r>
            <w:r>
              <w:rPr>
                <w:rFonts w:hint="eastAsia" w:ascii="仿宋_GB2312" w:hAnsi="仿宋_GB2312" w:eastAsia="仿宋_GB2312" w:cs="仿宋_GB2312"/>
                <w:sz w:val="24"/>
                <w:szCs w:val="24"/>
                <w:u w:val="none"/>
                <w:lang w:val="en-US" w:eastAsia="zh-CN"/>
              </w:rPr>
              <w:t>应凸显认识灾害、感受灾害并结合社区应急避难场所规划，展示内容科学准确、切合主题、突出重点。</w:t>
            </w:r>
          </w:p>
        </w:tc>
        <w:tc>
          <w:tcPr>
            <w:tcW w:w="3671" w:type="dxa"/>
            <w:tcBorders>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按照安全教育基地的类别评定：</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b/>
                <w:bCs/>
                <w:sz w:val="24"/>
                <w:szCs w:val="24"/>
                <w:u w:val="none"/>
                <w:lang w:val="en-US" w:eastAsia="zh-CN"/>
              </w:rPr>
              <w:t>1.综合性安全教育基地：</w:t>
            </w:r>
            <w:r>
              <w:rPr>
                <w:rFonts w:hint="eastAsia" w:ascii="仿宋_GB2312" w:hAnsi="仿宋_GB2312" w:eastAsia="仿宋_GB2312" w:cs="仿宋_GB2312"/>
                <w:sz w:val="24"/>
                <w:szCs w:val="24"/>
                <w:u w:val="none"/>
                <w:lang w:val="en-US" w:eastAsia="zh-CN"/>
              </w:rPr>
              <w:t>应根据城市公共安全隐患、易发多发类自然灾害、工矿商贸企业类型、受众群体等不同特点，面向市民、企业从业人员和中小学生等群体，普及涵盖安全生产、消防安全、食品安全、危险化学品、用电安全、交通安全等板块的综合性安全知识和常见的事故隐患，提升不同受众的安全生产、应急管理、防灾减灾救灾的意识和技能水平。</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b/>
                <w:bCs/>
                <w:sz w:val="24"/>
                <w:szCs w:val="24"/>
                <w:u w:val="none"/>
                <w:lang w:val="en-US" w:eastAsia="zh-CN"/>
              </w:rPr>
              <w:t>2.专业性、移动式或其他特色安全教育基地：</w:t>
            </w:r>
            <w:r>
              <w:rPr>
                <w:rFonts w:hint="eastAsia" w:ascii="仿宋_GB2312" w:hAnsi="仿宋_GB2312" w:eastAsia="仿宋_GB2312" w:cs="仿宋_GB2312"/>
                <w:sz w:val="24"/>
                <w:szCs w:val="24"/>
                <w:u w:val="none"/>
                <w:lang w:val="en-US" w:eastAsia="zh-CN"/>
              </w:rPr>
              <w:t>应以区域、行业领域的风险为重点，面向特定对象，侧重于宣传教育内容的针对性。</w:t>
            </w:r>
          </w:p>
        </w:tc>
        <w:tc>
          <w:tcPr>
            <w:tcW w:w="67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default" w:ascii="仿宋_GB2312" w:hAnsi="仿宋_GB2312" w:eastAsia="仿宋_GB2312" w:cs="仿宋_GB2312"/>
                <w:b/>
                <w:bCs w:val="0"/>
                <w:sz w:val="24"/>
                <w:szCs w:val="24"/>
                <w:u w:val="none"/>
                <w:lang w:val="en-US" w:eastAsia="zh-CN"/>
              </w:rPr>
            </w:pPr>
            <w:r>
              <w:rPr>
                <w:rFonts w:hint="eastAsia" w:ascii="仿宋_GB2312" w:hAnsi="仿宋_GB2312" w:cs="仿宋_GB2312"/>
                <w:b/>
                <w:bCs w:val="0"/>
                <w:sz w:val="24"/>
                <w:szCs w:val="24"/>
                <w:u w:val="none"/>
                <w:lang w:val="en-US" w:eastAsia="zh-CN"/>
              </w:rPr>
              <w:t>6</w:t>
            </w:r>
          </w:p>
        </w:tc>
        <w:tc>
          <w:tcPr>
            <w:tcW w:w="870" w:type="dxa"/>
            <w:tcBorders>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3.</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运</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营</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团</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val="en-US" w:eastAsia="zh-CN"/>
              </w:rPr>
              <w:t>队</w:t>
            </w:r>
          </w:p>
        </w:tc>
        <w:tc>
          <w:tcPr>
            <w:tcW w:w="3864" w:type="dxa"/>
            <w:tcBorders>
              <w:left w:val="single" w:color="auto" w:sz="4" w:space="0"/>
              <w:bottom w:val="single" w:color="auto" w:sz="4" w:space="0"/>
              <w:right w:val="single" w:color="auto" w:sz="4" w:space="0"/>
            </w:tcBorders>
            <w:noWrap w:val="0"/>
            <w:vAlign w:val="top"/>
          </w:tcPr>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b/>
                <w:bCs/>
                <w:sz w:val="24"/>
                <w:szCs w:val="24"/>
                <w:u w:val="none"/>
                <w:lang w:val="en-US" w:eastAsia="zh-CN"/>
              </w:rPr>
              <w:t>不同级别安全教育基地团队人数及专业资质：</w:t>
            </w:r>
            <w:r>
              <w:rPr>
                <w:rFonts w:hint="eastAsia" w:ascii="仿宋_GB2312" w:hAnsi="仿宋_GB2312" w:eastAsia="仿宋_GB2312" w:cs="仿宋_GB2312"/>
                <w:sz w:val="24"/>
                <w:szCs w:val="24"/>
                <w:u w:val="none"/>
                <w:lang w:val="en-US" w:eastAsia="zh-CN"/>
              </w:rPr>
              <w:t>需配有面向中小学生、普通市民、各行业从业人员等不同群体的讲解团队、安全教员等，成员需取得至少一项有关安全方面专业资质或从事过安全管理工作经验。（救护员证、安全生产管理证、AHA证书、应急第一响应人证书等，但不限于以上列举的4类资格证）</w:t>
            </w: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1.11人及以上，得10分；</w:t>
            </w: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2.9-10人，得8分；</w:t>
            </w: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3.6-8人，得6分；</w:t>
            </w: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4.3-5人，得4分；</w:t>
            </w: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5.1-2人，得2分。</w:t>
            </w:r>
          </w:p>
          <w:p>
            <w:pPr>
              <w:keepNext w:val="0"/>
              <w:keepLines w:val="0"/>
              <w:pageBreakBefore w:val="0"/>
              <w:numPr>
                <w:ilvl w:val="0"/>
                <w:numId w:val="0"/>
              </w:numPr>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以上总人数包括专兼职人数。</w:t>
            </w:r>
          </w:p>
        </w:tc>
        <w:tc>
          <w:tcPr>
            <w:tcW w:w="3671" w:type="dxa"/>
            <w:tcBorders>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不同类别安全教育基地团队人数及专业资质：</w:t>
            </w:r>
            <w:r>
              <w:rPr>
                <w:rFonts w:hint="eastAsia" w:ascii="仿宋_GB2312" w:hAnsi="仿宋_GB2312" w:eastAsia="仿宋_GB2312" w:cs="仿宋_GB2312"/>
                <w:sz w:val="24"/>
                <w:szCs w:val="24"/>
                <w:u w:val="none"/>
                <w:lang w:val="en-US" w:eastAsia="zh-CN"/>
              </w:rPr>
              <w:t>需配有面向中小学生、普通市民、各行业从业人员等不同群体的讲解团队、安全教员等，成员需取得至少一项有关安全方面专业资质或从事过安全管理工作经验。（救护员证、安全生产管理证、AHA证书、应急第一响应人证书等，但不限于以上列举的4类资格证）</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1.10人及以上，得10分；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2.7-9人，得8分；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3.5-6人，得6分；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4.3-4人，得4分；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5.1-2人，得2分。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b w:val="0"/>
                <w:bCs w:val="0"/>
                <w:sz w:val="24"/>
                <w:szCs w:val="24"/>
                <w:u w:val="none"/>
                <w:lang w:val="en-US" w:eastAsia="zh-CN"/>
              </w:rPr>
              <w:t>以上总人数包括专兼职人数。</w:t>
            </w:r>
          </w:p>
        </w:tc>
        <w:tc>
          <w:tcPr>
            <w:tcW w:w="67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r>
              <w:rPr>
                <w:rFonts w:hint="eastAsia" w:ascii="仿宋_GB2312" w:hAnsi="仿宋_GB2312" w:eastAsia="仿宋_GB2312" w:cs="仿宋_GB2312"/>
                <w:b/>
                <w:bCs w:val="0"/>
                <w:sz w:val="24"/>
                <w:szCs w:val="24"/>
                <w:u w:val="none"/>
                <w:lang w:val="en-US" w:eastAsia="zh-CN"/>
              </w:rPr>
              <w:t>10</w:t>
            </w:r>
          </w:p>
        </w:tc>
        <w:tc>
          <w:tcPr>
            <w:tcW w:w="870" w:type="dxa"/>
            <w:tcBorders>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jc w:val="center"/>
        </w:trPr>
        <w:tc>
          <w:tcPr>
            <w:tcW w:w="84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3864" w:type="dxa"/>
            <w:tcBorders>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不同级别安全教育基地救护和物业管理人员：</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市级安全教育基地需配有持证救护人员不少于2名、物业管理人员不少于4名；</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区级安全教育基地需配有持证救护人员不少于1名、物业管理人员不少于2名；</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街道级安全教育基地需配有持证救护人员、物业管理人员各不少于1名；</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以上各级安全教育基地配备救护人员获得急救、医疗等相关资质及证件均可，物业人员包括自有物业和公共物业人员，符合对应级别标准即可得4分。</w:t>
            </w:r>
          </w:p>
        </w:tc>
        <w:tc>
          <w:tcPr>
            <w:tcW w:w="3671" w:type="dxa"/>
            <w:tcBorders>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不同类别安全教育基地救护和物业管理人员：</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综合性安全教育基地需配有持证救护人员不少于2名、物业管理人员不少于4名；</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专业性安全教育基地需配有持证救护人员不少于1名、物业管理人员不少于2名；</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移动式或其他特色安全教育基地需配有持证救护人员和物业管理人员均不少于1名；</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以上各类安全教育基地配备救护人员获得急救、医疗等相关资质及证件均可，物业人员包括自有物业和公共物业人员，符合对应级别标准即可得4分。</w:t>
            </w:r>
          </w:p>
        </w:tc>
        <w:tc>
          <w:tcPr>
            <w:tcW w:w="675" w:type="dxa"/>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80" w:lineRule="exact"/>
              <w:textAlignment w:val="auto"/>
              <w:rPr>
                <w:rFonts w:hint="eastAsia" w:ascii="仿宋_GB2312" w:hAnsi="仿宋_GB2312" w:eastAsia="仿宋_GB2312" w:cs="仿宋_GB2312"/>
                <w:b/>
                <w:bCs w:val="0"/>
                <w:sz w:val="24"/>
                <w:szCs w:val="24"/>
                <w:u w:val="none"/>
                <w:lang w:val="en-US" w:eastAsia="zh-CN"/>
              </w:rPr>
            </w:pP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r>
              <w:rPr>
                <w:rFonts w:hint="eastAsia" w:ascii="仿宋_GB2312" w:hAnsi="仿宋_GB2312" w:eastAsia="仿宋_GB2312" w:cs="仿宋_GB2312"/>
                <w:b/>
                <w:bCs w:val="0"/>
                <w:sz w:val="24"/>
                <w:szCs w:val="24"/>
                <w:u w:val="none"/>
                <w:lang w:val="en-US" w:eastAsia="zh-CN"/>
              </w:rPr>
              <w:t>4</w:t>
            </w:r>
          </w:p>
        </w:tc>
        <w:tc>
          <w:tcPr>
            <w:tcW w:w="870"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4.</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宣</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传</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推</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lang w:eastAsia="zh-CN"/>
              </w:rPr>
              <w:t>广</w:t>
            </w:r>
          </w:p>
        </w:tc>
        <w:tc>
          <w:tcPr>
            <w:tcW w:w="7535" w:type="dxa"/>
            <w:gridSpan w:val="2"/>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b/>
                <w:bCs/>
                <w:sz w:val="24"/>
                <w:szCs w:val="24"/>
                <w:u w:val="none"/>
                <w:lang w:val="en-US" w:eastAsia="zh-CN"/>
              </w:rPr>
              <w:t>线下方式：</w:t>
            </w:r>
            <w:r>
              <w:rPr>
                <w:rFonts w:hint="eastAsia" w:ascii="仿宋_GB2312" w:hAnsi="仿宋_GB2312" w:eastAsia="仿宋_GB2312" w:cs="仿宋_GB2312"/>
                <w:sz w:val="24"/>
                <w:szCs w:val="24"/>
                <w:u w:val="none"/>
                <w:lang w:val="en-US" w:eastAsia="zh-CN"/>
              </w:rPr>
              <w:t>通过多种渠道开展安全宣传教育，营造出浓厚的氛围，具有突出性、引领性。</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1.通过固定阵地、悬挂标语、安全文化墙、展览图板、喷绘等多种形式进行宣传，突出创新性、示范性，得3分；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2.每年组织基地宣讲团队开展“进企业、进农村、进社区、进学校、进家庭”活动6场以上，得3分；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3.有专门的安全教育教材、安全知识普及教材、宣传册、宣传片、折页等，免费向公众发放，便于群众随时随地获取安全知识，提升安全防护意识，得3分；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4.自购、租用宣传车等方式开展流动宣传，得3分。</w:t>
            </w:r>
          </w:p>
        </w:tc>
        <w:tc>
          <w:tcPr>
            <w:tcW w:w="67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r>
              <w:rPr>
                <w:rFonts w:hint="eastAsia" w:ascii="仿宋_GB2312" w:hAnsi="仿宋_GB2312" w:eastAsia="仿宋_GB2312" w:cs="仿宋_GB2312"/>
                <w:b/>
                <w:bCs w:val="0"/>
                <w:sz w:val="24"/>
                <w:szCs w:val="24"/>
                <w:u w:val="none"/>
                <w:lang w:val="en-US" w:eastAsia="zh-CN"/>
              </w:rPr>
              <w:t>12</w:t>
            </w:r>
          </w:p>
        </w:tc>
        <w:tc>
          <w:tcPr>
            <w:tcW w:w="870" w:type="dxa"/>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4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7535" w:type="dxa"/>
            <w:gridSpan w:val="2"/>
            <w:tcBorders>
              <w:top w:val="single" w:color="auto" w:sz="4" w:space="0"/>
              <w:left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b/>
                <w:bCs/>
                <w:sz w:val="24"/>
                <w:szCs w:val="24"/>
                <w:u w:val="none"/>
                <w:lang w:val="en-US" w:eastAsia="zh-CN"/>
              </w:rPr>
              <w:t>线上方式：</w:t>
            </w:r>
            <w:r>
              <w:rPr>
                <w:rFonts w:hint="eastAsia" w:ascii="仿宋_GB2312" w:hAnsi="仿宋_GB2312" w:eastAsia="仿宋_GB2312" w:cs="仿宋_GB2312"/>
                <w:sz w:val="24"/>
                <w:szCs w:val="24"/>
                <w:u w:val="none"/>
                <w:lang w:val="en-US" w:eastAsia="zh-CN"/>
              </w:rPr>
              <w:t>通过开展线上宣传教育活动，打破时空限制，扩大安全教育受众群体。</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1.每年举办4次以上线上公益性安全知识讲座、论坛活动，得2分；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2.利用抖音、快手、西瓜等平台开展“基地云参观活动”3次以上的，得2分；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3.通过微信公众号、微博、网站等网络渠道，制作原创宣传内容并定期更新，得2分；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4.原创宣传内容、培训课件被“学习强安”APP采用2条以上的，得2分。</w:t>
            </w:r>
          </w:p>
        </w:tc>
        <w:tc>
          <w:tcPr>
            <w:tcW w:w="67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r>
              <w:rPr>
                <w:rFonts w:hint="eastAsia" w:ascii="仿宋_GB2312" w:hAnsi="仿宋_GB2312" w:cs="仿宋_GB2312"/>
                <w:b/>
                <w:bCs w:val="0"/>
                <w:sz w:val="24"/>
                <w:szCs w:val="24"/>
                <w:u w:val="none"/>
                <w:lang w:val="en-US" w:eastAsia="zh-CN"/>
              </w:rPr>
              <w:t>8</w:t>
            </w:r>
          </w:p>
        </w:tc>
        <w:tc>
          <w:tcPr>
            <w:tcW w:w="870" w:type="dxa"/>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5.</w:t>
            </w:r>
          </w:p>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参</w:t>
            </w:r>
          </w:p>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观</w:t>
            </w:r>
          </w:p>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培</w:t>
            </w:r>
          </w:p>
          <w:p>
            <w:pPr>
              <w:keepNext w:val="0"/>
              <w:keepLines w:val="0"/>
              <w:pageBreakBefore w:val="0"/>
              <w:numPr>
                <w:ilvl w:val="0"/>
                <w:numId w:val="0"/>
              </w:numPr>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lang w:eastAsia="zh-CN"/>
              </w:rPr>
              <w:t>训</w:t>
            </w:r>
          </w:p>
        </w:tc>
        <w:tc>
          <w:tcPr>
            <w:tcW w:w="3864"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按照安全教育基地的级别评定：</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市级安全教育基地每年参观接待人数：</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5万人次≦</w:t>
            </w:r>
            <w:r>
              <w:rPr>
                <w:rFonts w:hint="eastAsia" w:ascii="仿宋_GB2312" w:hAnsi="仿宋_GB2312" w:eastAsia="仿宋_GB2312" w:cs="仿宋_GB2312"/>
                <w:b w:val="0"/>
                <w:bCs w:val="0"/>
                <w:sz w:val="24"/>
                <w:szCs w:val="24"/>
                <w:u w:val="none"/>
                <w:lang w:val="en-US" w:eastAsia="zh-CN"/>
              </w:rPr>
              <w:t>参观接待人数</w:t>
            </w:r>
            <w:r>
              <w:rPr>
                <w:rFonts w:hint="eastAsia" w:ascii="仿宋_GB2312" w:hAnsi="仿宋_GB2312" w:eastAsia="仿宋_GB2312" w:cs="仿宋_GB2312"/>
                <w:sz w:val="24"/>
                <w:szCs w:val="24"/>
                <w:u w:val="none"/>
                <w:lang w:val="en-US" w:eastAsia="zh-CN"/>
              </w:rPr>
              <w:t>，得8分；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3万人次≦</w:t>
            </w:r>
            <w:r>
              <w:rPr>
                <w:rFonts w:hint="eastAsia" w:ascii="仿宋_GB2312" w:hAnsi="仿宋_GB2312" w:eastAsia="仿宋_GB2312" w:cs="仿宋_GB2312"/>
                <w:b w:val="0"/>
                <w:bCs w:val="0"/>
                <w:sz w:val="24"/>
                <w:szCs w:val="24"/>
                <w:u w:val="none"/>
                <w:lang w:val="en-US" w:eastAsia="zh-CN"/>
              </w:rPr>
              <w:t>参观接待人数</w:t>
            </w:r>
            <w:r>
              <w:rPr>
                <w:rFonts w:hint="eastAsia" w:ascii="仿宋_GB2312" w:hAnsi="仿宋_GB2312" w:eastAsia="仿宋_GB2312" w:cs="仿宋_GB2312"/>
                <w:sz w:val="24"/>
                <w:szCs w:val="24"/>
                <w:u w:val="none"/>
                <w:lang w:val="en-US" w:eastAsia="zh-CN"/>
              </w:rPr>
              <w:t>&lt;5万人次，得6分；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b w:val="0"/>
                <w:bCs w:val="0"/>
                <w:sz w:val="24"/>
                <w:szCs w:val="24"/>
                <w:u w:val="none"/>
                <w:lang w:val="en-US" w:eastAsia="zh-CN"/>
              </w:rPr>
              <w:t>1</w:t>
            </w:r>
            <w:r>
              <w:rPr>
                <w:rFonts w:hint="eastAsia" w:ascii="仿宋_GB2312" w:hAnsi="仿宋_GB2312" w:eastAsia="仿宋_GB2312" w:cs="仿宋_GB2312"/>
                <w:sz w:val="24"/>
                <w:szCs w:val="24"/>
                <w:u w:val="none"/>
                <w:lang w:val="en-US" w:eastAsia="zh-CN"/>
              </w:rPr>
              <w:t>万人次≦</w:t>
            </w:r>
            <w:r>
              <w:rPr>
                <w:rFonts w:hint="eastAsia" w:ascii="仿宋_GB2312" w:hAnsi="仿宋_GB2312" w:eastAsia="仿宋_GB2312" w:cs="仿宋_GB2312"/>
                <w:b w:val="0"/>
                <w:bCs w:val="0"/>
                <w:sz w:val="24"/>
                <w:szCs w:val="24"/>
                <w:u w:val="none"/>
                <w:lang w:val="en-US" w:eastAsia="zh-CN"/>
              </w:rPr>
              <w:t>参观接待人数</w:t>
            </w:r>
            <w:r>
              <w:rPr>
                <w:rFonts w:hint="eastAsia" w:ascii="仿宋_GB2312" w:hAnsi="仿宋_GB2312" w:eastAsia="仿宋_GB2312" w:cs="仿宋_GB2312"/>
                <w:sz w:val="24"/>
                <w:szCs w:val="24"/>
                <w:u w:val="none"/>
                <w:lang w:val="en-US" w:eastAsia="zh-CN"/>
              </w:rPr>
              <w:t>&lt;3万人次，得4分；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人数少于1万人次不得分。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区级安全教育基地每年参观接待人数：</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2万人次≦</w:t>
            </w:r>
            <w:r>
              <w:rPr>
                <w:rFonts w:hint="eastAsia" w:ascii="仿宋_GB2312" w:hAnsi="仿宋_GB2312" w:eastAsia="仿宋_GB2312" w:cs="仿宋_GB2312"/>
                <w:b w:val="0"/>
                <w:bCs w:val="0"/>
                <w:sz w:val="24"/>
                <w:szCs w:val="24"/>
                <w:u w:val="none"/>
                <w:lang w:val="en-US" w:eastAsia="zh-CN"/>
              </w:rPr>
              <w:t>参观接待人数</w:t>
            </w:r>
            <w:r>
              <w:rPr>
                <w:rFonts w:hint="eastAsia" w:ascii="仿宋_GB2312" w:hAnsi="仿宋_GB2312" w:eastAsia="仿宋_GB2312" w:cs="仿宋_GB2312"/>
                <w:sz w:val="24"/>
                <w:szCs w:val="24"/>
                <w:u w:val="none"/>
                <w:lang w:val="en-US" w:eastAsia="zh-CN"/>
              </w:rPr>
              <w:t>，得8分；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1万人次≦</w:t>
            </w:r>
            <w:r>
              <w:rPr>
                <w:rFonts w:hint="eastAsia" w:ascii="仿宋_GB2312" w:hAnsi="仿宋_GB2312" w:eastAsia="仿宋_GB2312" w:cs="仿宋_GB2312"/>
                <w:b w:val="0"/>
                <w:bCs w:val="0"/>
                <w:sz w:val="24"/>
                <w:szCs w:val="24"/>
                <w:u w:val="none"/>
                <w:lang w:val="en-US" w:eastAsia="zh-CN"/>
              </w:rPr>
              <w:t>参观接待人数</w:t>
            </w:r>
            <w:r>
              <w:rPr>
                <w:rFonts w:hint="eastAsia" w:ascii="仿宋_GB2312" w:hAnsi="仿宋_GB2312" w:eastAsia="仿宋_GB2312" w:cs="仿宋_GB2312"/>
                <w:sz w:val="24"/>
                <w:szCs w:val="24"/>
                <w:u w:val="none"/>
                <w:lang w:val="en-US" w:eastAsia="zh-CN"/>
              </w:rPr>
              <w:t>&lt;2万人次，得6分；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5000人次≦</w:t>
            </w:r>
            <w:r>
              <w:rPr>
                <w:rFonts w:hint="eastAsia" w:ascii="仿宋_GB2312" w:hAnsi="仿宋_GB2312" w:eastAsia="仿宋_GB2312" w:cs="仿宋_GB2312"/>
                <w:b w:val="0"/>
                <w:bCs w:val="0"/>
                <w:sz w:val="24"/>
                <w:szCs w:val="24"/>
                <w:u w:val="none"/>
                <w:lang w:val="en-US" w:eastAsia="zh-CN"/>
              </w:rPr>
              <w:t>参观接待人数</w:t>
            </w:r>
            <w:r>
              <w:rPr>
                <w:rFonts w:hint="eastAsia" w:ascii="仿宋_GB2312" w:hAnsi="仿宋_GB2312" w:eastAsia="仿宋_GB2312" w:cs="仿宋_GB2312"/>
                <w:sz w:val="24"/>
                <w:szCs w:val="24"/>
                <w:u w:val="none"/>
                <w:lang w:val="en-US" w:eastAsia="zh-CN"/>
              </w:rPr>
              <w:t>&lt;1万人次，得4分；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val="0"/>
                <w:bCs w:val="0"/>
                <w:sz w:val="24"/>
                <w:szCs w:val="24"/>
                <w:u w:val="none"/>
                <w:lang w:val="en-US" w:eastAsia="zh-CN"/>
              </w:rPr>
              <w:t>人数少于5000人次不得分。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街道级安全教育基地每年参观接待人数：</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1万人次≦</w:t>
            </w:r>
            <w:r>
              <w:rPr>
                <w:rFonts w:hint="eastAsia" w:ascii="仿宋_GB2312" w:hAnsi="仿宋_GB2312" w:eastAsia="仿宋_GB2312" w:cs="仿宋_GB2312"/>
                <w:b w:val="0"/>
                <w:bCs w:val="0"/>
                <w:sz w:val="24"/>
                <w:szCs w:val="24"/>
                <w:u w:val="none"/>
                <w:lang w:val="en-US" w:eastAsia="zh-CN"/>
              </w:rPr>
              <w:t>参观接待人数</w:t>
            </w:r>
            <w:r>
              <w:rPr>
                <w:rFonts w:hint="eastAsia" w:ascii="仿宋_GB2312" w:hAnsi="仿宋_GB2312" w:eastAsia="仿宋_GB2312" w:cs="仿宋_GB2312"/>
                <w:sz w:val="24"/>
                <w:szCs w:val="24"/>
                <w:u w:val="none"/>
                <w:lang w:val="en-US" w:eastAsia="zh-CN"/>
              </w:rPr>
              <w:t>，得8分；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5000人次≦</w:t>
            </w:r>
            <w:r>
              <w:rPr>
                <w:rFonts w:hint="eastAsia" w:ascii="仿宋_GB2312" w:hAnsi="仿宋_GB2312" w:eastAsia="仿宋_GB2312" w:cs="仿宋_GB2312"/>
                <w:b w:val="0"/>
                <w:bCs w:val="0"/>
                <w:sz w:val="24"/>
                <w:szCs w:val="24"/>
                <w:u w:val="none"/>
                <w:lang w:val="en-US" w:eastAsia="zh-CN"/>
              </w:rPr>
              <w:t>参观接待人数</w:t>
            </w:r>
            <w:r>
              <w:rPr>
                <w:rFonts w:hint="eastAsia" w:ascii="仿宋_GB2312" w:hAnsi="仿宋_GB2312" w:eastAsia="仿宋_GB2312" w:cs="仿宋_GB2312"/>
                <w:sz w:val="24"/>
                <w:szCs w:val="24"/>
                <w:u w:val="none"/>
                <w:lang w:val="en-US" w:eastAsia="zh-CN"/>
              </w:rPr>
              <w:t>&lt;1万人次，得6分；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b w:val="0"/>
                <w:bCs w:val="0"/>
                <w:sz w:val="24"/>
                <w:szCs w:val="24"/>
                <w:u w:val="none"/>
                <w:lang w:val="en-US" w:eastAsia="zh-CN"/>
              </w:rPr>
              <w:t>3000人次</w:t>
            </w:r>
            <w:r>
              <w:rPr>
                <w:rFonts w:hint="eastAsia" w:ascii="仿宋_GB2312" w:hAnsi="仿宋_GB2312" w:eastAsia="仿宋_GB2312" w:cs="仿宋_GB2312"/>
                <w:sz w:val="24"/>
                <w:szCs w:val="24"/>
                <w:u w:val="none"/>
                <w:lang w:val="en-US" w:eastAsia="zh-CN"/>
              </w:rPr>
              <w:t>≦</w:t>
            </w:r>
            <w:r>
              <w:rPr>
                <w:rFonts w:hint="eastAsia" w:ascii="仿宋_GB2312" w:hAnsi="仿宋_GB2312" w:eastAsia="仿宋_GB2312" w:cs="仿宋_GB2312"/>
                <w:b w:val="0"/>
                <w:bCs w:val="0"/>
                <w:sz w:val="24"/>
                <w:szCs w:val="24"/>
                <w:u w:val="none"/>
                <w:lang w:val="en-US" w:eastAsia="zh-CN"/>
              </w:rPr>
              <w:t>参观接待人数</w:t>
            </w:r>
            <w:r>
              <w:rPr>
                <w:rFonts w:hint="eastAsia" w:ascii="仿宋_GB2312" w:hAnsi="仿宋_GB2312" w:eastAsia="仿宋_GB2312" w:cs="仿宋_GB2312"/>
                <w:sz w:val="24"/>
                <w:szCs w:val="24"/>
                <w:u w:val="none"/>
                <w:lang w:val="en-US" w:eastAsia="zh-CN"/>
              </w:rPr>
              <w:t>&lt;5000人次，得4分；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val="0"/>
                <w:bCs w:val="0"/>
                <w:sz w:val="24"/>
                <w:szCs w:val="24"/>
                <w:u w:val="none"/>
                <w:lang w:val="en-US" w:eastAsia="zh-CN"/>
              </w:rPr>
              <w:t>人数少于3000人次不得分。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以上总人次包括每年到基地参观体验、参加基地组织的场馆外活动、通过线上参观安全教育基地、观看基地在线上设置的安全知识培训课程等人次。</w:t>
            </w:r>
          </w:p>
        </w:tc>
        <w:tc>
          <w:tcPr>
            <w:tcW w:w="367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按照安全教育基地类别评定：</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综合性安全教育基地每年参观接待人数：</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4万人次≦</w:t>
            </w:r>
            <w:r>
              <w:rPr>
                <w:rFonts w:hint="eastAsia" w:ascii="仿宋_GB2312" w:hAnsi="仿宋_GB2312" w:eastAsia="仿宋_GB2312" w:cs="仿宋_GB2312"/>
                <w:b w:val="0"/>
                <w:bCs w:val="0"/>
                <w:sz w:val="24"/>
                <w:szCs w:val="24"/>
                <w:u w:val="none"/>
                <w:lang w:val="en-US" w:eastAsia="zh-CN"/>
              </w:rPr>
              <w:t>参观接待人数</w:t>
            </w:r>
            <w:r>
              <w:rPr>
                <w:rFonts w:hint="eastAsia" w:ascii="仿宋_GB2312" w:hAnsi="仿宋_GB2312" w:eastAsia="仿宋_GB2312" w:cs="仿宋_GB2312"/>
                <w:sz w:val="24"/>
                <w:szCs w:val="24"/>
                <w:u w:val="none"/>
                <w:lang w:val="en-US" w:eastAsia="zh-CN"/>
              </w:rPr>
              <w:t>，得8分；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3万人次≦</w:t>
            </w:r>
            <w:r>
              <w:rPr>
                <w:rFonts w:hint="eastAsia" w:ascii="仿宋_GB2312" w:hAnsi="仿宋_GB2312" w:eastAsia="仿宋_GB2312" w:cs="仿宋_GB2312"/>
                <w:b w:val="0"/>
                <w:bCs w:val="0"/>
                <w:sz w:val="24"/>
                <w:szCs w:val="24"/>
                <w:u w:val="none"/>
                <w:lang w:val="en-US" w:eastAsia="zh-CN"/>
              </w:rPr>
              <w:t>参观接待人数</w:t>
            </w:r>
            <w:r>
              <w:rPr>
                <w:rFonts w:hint="eastAsia" w:ascii="仿宋_GB2312" w:hAnsi="仿宋_GB2312" w:eastAsia="仿宋_GB2312" w:cs="仿宋_GB2312"/>
                <w:sz w:val="24"/>
                <w:szCs w:val="24"/>
                <w:u w:val="none"/>
                <w:lang w:val="en-US" w:eastAsia="zh-CN"/>
              </w:rPr>
              <w:t>&lt;4万人次，得6分；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b w:val="0"/>
                <w:bCs w:val="0"/>
                <w:sz w:val="24"/>
                <w:szCs w:val="24"/>
                <w:u w:val="none"/>
                <w:lang w:val="en-US" w:eastAsia="zh-CN"/>
              </w:rPr>
              <w:t>1</w:t>
            </w:r>
            <w:r>
              <w:rPr>
                <w:rFonts w:hint="eastAsia" w:ascii="仿宋_GB2312" w:hAnsi="仿宋_GB2312" w:eastAsia="仿宋_GB2312" w:cs="仿宋_GB2312"/>
                <w:sz w:val="24"/>
                <w:szCs w:val="24"/>
                <w:u w:val="none"/>
                <w:lang w:val="en-US" w:eastAsia="zh-CN"/>
              </w:rPr>
              <w:t>万人次≦</w:t>
            </w:r>
            <w:r>
              <w:rPr>
                <w:rFonts w:hint="eastAsia" w:ascii="仿宋_GB2312" w:hAnsi="仿宋_GB2312" w:eastAsia="仿宋_GB2312" w:cs="仿宋_GB2312"/>
                <w:b w:val="0"/>
                <w:bCs w:val="0"/>
                <w:sz w:val="24"/>
                <w:szCs w:val="24"/>
                <w:u w:val="none"/>
                <w:lang w:val="en-US" w:eastAsia="zh-CN"/>
              </w:rPr>
              <w:t>参观接待人数</w:t>
            </w:r>
            <w:r>
              <w:rPr>
                <w:rFonts w:hint="eastAsia" w:ascii="仿宋_GB2312" w:hAnsi="仿宋_GB2312" w:eastAsia="仿宋_GB2312" w:cs="仿宋_GB2312"/>
                <w:sz w:val="24"/>
                <w:szCs w:val="24"/>
                <w:u w:val="none"/>
                <w:lang w:val="en-US" w:eastAsia="zh-CN"/>
              </w:rPr>
              <w:t>&lt;3万人次，得4分；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人数少于1万人次不得分。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专业性安全教育基地每年参观接待人数：</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1万人次≦</w:t>
            </w:r>
            <w:r>
              <w:rPr>
                <w:rFonts w:hint="eastAsia" w:ascii="仿宋_GB2312" w:hAnsi="仿宋_GB2312" w:eastAsia="仿宋_GB2312" w:cs="仿宋_GB2312"/>
                <w:b w:val="0"/>
                <w:bCs w:val="0"/>
                <w:sz w:val="24"/>
                <w:szCs w:val="24"/>
                <w:u w:val="none"/>
                <w:lang w:val="en-US" w:eastAsia="zh-CN"/>
              </w:rPr>
              <w:t>参观接待人数</w:t>
            </w:r>
            <w:r>
              <w:rPr>
                <w:rFonts w:hint="eastAsia" w:ascii="仿宋_GB2312" w:hAnsi="仿宋_GB2312" w:eastAsia="仿宋_GB2312" w:cs="仿宋_GB2312"/>
                <w:sz w:val="24"/>
                <w:szCs w:val="24"/>
                <w:u w:val="none"/>
                <w:lang w:val="en-US" w:eastAsia="zh-CN"/>
              </w:rPr>
              <w:t>，得8分；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5000人次≦</w:t>
            </w:r>
            <w:r>
              <w:rPr>
                <w:rFonts w:hint="eastAsia" w:ascii="仿宋_GB2312" w:hAnsi="仿宋_GB2312" w:eastAsia="仿宋_GB2312" w:cs="仿宋_GB2312"/>
                <w:b w:val="0"/>
                <w:bCs w:val="0"/>
                <w:sz w:val="24"/>
                <w:szCs w:val="24"/>
                <w:u w:val="none"/>
                <w:lang w:val="en-US" w:eastAsia="zh-CN"/>
              </w:rPr>
              <w:t>参观接待人数</w:t>
            </w:r>
            <w:r>
              <w:rPr>
                <w:rFonts w:hint="eastAsia" w:ascii="仿宋_GB2312" w:hAnsi="仿宋_GB2312" w:eastAsia="仿宋_GB2312" w:cs="仿宋_GB2312"/>
                <w:sz w:val="24"/>
                <w:szCs w:val="24"/>
                <w:u w:val="none"/>
                <w:lang w:val="en-US" w:eastAsia="zh-CN"/>
              </w:rPr>
              <w:t>&lt;1万人次，得6分；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b w:val="0"/>
                <w:bCs w:val="0"/>
                <w:sz w:val="24"/>
                <w:szCs w:val="24"/>
                <w:u w:val="none"/>
                <w:lang w:val="en-US" w:eastAsia="zh-CN"/>
              </w:rPr>
              <w:t>3000人次</w:t>
            </w:r>
            <w:r>
              <w:rPr>
                <w:rFonts w:hint="eastAsia" w:ascii="仿宋_GB2312" w:hAnsi="仿宋_GB2312" w:eastAsia="仿宋_GB2312" w:cs="仿宋_GB2312"/>
                <w:sz w:val="24"/>
                <w:szCs w:val="24"/>
                <w:u w:val="none"/>
                <w:lang w:val="en-US" w:eastAsia="zh-CN"/>
              </w:rPr>
              <w:t>≦</w:t>
            </w:r>
            <w:r>
              <w:rPr>
                <w:rFonts w:hint="eastAsia" w:ascii="仿宋_GB2312" w:hAnsi="仿宋_GB2312" w:eastAsia="仿宋_GB2312" w:cs="仿宋_GB2312"/>
                <w:b w:val="0"/>
                <w:bCs w:val="0"/>
                <w:sz w:val="24"/>
                <w:szCs w:val="24"/>
                <w:u w:val="none"/>
                <w:lang w:val="en-US" w:eastAsia="zh-CN"/>
              </w:rPr>
              <w:t>参观接待人数</w:t>
            </w:r>
            <w:r>
              <w:rPr>
                <w:rFonts w:hint="eastAsia" w:ascii="仿宋_GB2312" w:hAnsi="仿宋_GB2312" w:eastAsia="仿宋_GB2312" w:cs="仿宋_GB2312"/>
                <w:sz w:val="24"/>
                <w:szCs w:val="24"/>
                <w:u w:val="none"/>
                <w:lang w:val="en-US" w:eastAsia="zh-CN"/>
              </w:rPr>
              <w:t>&lt;5000人次，得4分；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val="0"/>
                <w:bCs w:val="0"/>
                <w:sz w:val="24"/>
                <w:szCs w:val="24"/>
                <w:u w:val="none"/>
                <w:lang w:val="en-US" w:eastAsia="zh-CN"/>
              </w:rPr>
              <w:t>人数少于3000人次不得分。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移动式或其他特色安全教育基地每年参观接待人数：</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5000人次≦</w:t>
            </w:r>
            <w:r>
              <w:rPr>
                <w:rFonts w:hint="eastAsia" w:ascii="仿宋_GB2312" w:hAnsi="仿宋_GB2312" w:eastAsia="仿宋_GB2312" w:cs="仿宋_GB2312"/>
                <w:b w:val="0"/>
                <w:bCs w:val="0"/>
                <w:sz w:val="24"/>
                <w:szCs w:val="24"/>
                <w:u w:val="none"/>
                <w:lang w:val="en-US" w:eastAsia="zh-CN"/>
              </w:rPr>
              <w:t>参观接待人数</w:t>
            </w:r>
            <w:r>
              <w:rPr>
                <w:rFonts w:hint="eastAsia" w:ascii="仿宋_GB2312" w:hAnsi="仿宋_GB2312" w:eastAsia="仿宋_GB2312" w:cs="仿宋_GB2312"/>
                <w:sz w:val="24"/>
                <w:szCs w:val="24"/>
                <w:u w:val="none"/>
                <w:lang w:val="en-US" w:eastAsia="zh-CN"/>
              </w:rPr>
              <w:t>，得8分；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3000人次≦</w:t>
            </w:r>
            <w:r>
              <w:rPr>
                <w:rFonts w:hint="eastAsia" w:ascii="仿宋_GB2312" w:hAnsi="仿宋_GB2312" w:eastAsia="仿宋_GB2312" w:cs="仿宋_GB2312"/>
                <w:b w:val="0"/>
                <w:bCs w:val="0"/>
                <w:sz w:val="24"/>
                <w:szCs w:val="24"/>
                <w:u w:val="none"/>
                <w:lang w:val="en-US" w:eastAsia="zh-CN"/>
              </w:rPr>
              <w:t>参观接待人数</w:t>
            </w:r>
            <w:r>
              <w:rPr>
                <w:rFonts w:hint="eastAsia" w:ascii="仿宋_GB2312" w:hAnsi="仿宋_GB2312" w:eastAsia="仿宋_GB2312" w:cs="仿宋_GB2312"/>
                <w:sz w:val="24"/>
                <w:szCs w:val="24"/>
                <w:u w:val="none"/>
                <w:lang w:val="en-US" w:eastAsia="zh-CN"/>
              </w:rPr>
              <w:t>&lt;5000人次，得6分；</w:t>
            </w:r>
          </w:p>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2000人次≦</w:t>
            </w:r>
            <w:r>
              <w:rPr>
                <w:rFonts w:hint="eastAsia" w:ascii="仿宋_GB2312" w:hAnsi="仿宋_GB2312" w:eastAsia="仿宋_GB2312" w:cs="仿宋_GB2312"/>
                <w:b w:val="0"/>
                <w:bCs w:val="0"/>
                <w:sz w:val="24"/>
                <w:szCs w:val="24"/>
                <w:u w:val="none"/>
                <w:lang w:val="en-US" w:eastAsia="zh-CN"/>
              </w:rPr>
              <w:t>参观接待人数</w:t>
            </w:r>
            <w:r>
              <w:rPr>
                <w:rFonts w:hint="eastAsia" w:ascii="仿宋_GB2312" w:hAnsi="仿宋_GB2312" w:eastAsia="仿宋_GB2312" w:cs="仿宋_GB2312"/>
                <w:sz w:val="24"/>
                <w:szCs w:val="24"/>
                <w:u w:val="none"/>
                <w:lang w:val="en-US" w:eastAsia="zh-CN"/>
              </w:rPr>
              <w:t>&lt;3000人次，得4分；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b w:val="0"/>
                <w:bCs w:val="0"/>
                <w:sz w:val="24"/>
                <w:szCs w:val="24"/>
                <w:u w:val="none"/>
                <w:lang w:val="en-US" w:eastAsia="zh-CN"/>
              </w:rPr>
              <w:t>人数少于2000人次不得分。</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以上总人次包括每年到基地参观体验、参加基地组织的场馆外活动、通过线上参观安全教育基地、观看基地在线上设置的安全知识培训课程等人次。</w:t>
            </w:r>
          </w:p>
        </w:tc>
        <w:tc>
          <w:tcPr>
            <w:tcW w:w="67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p>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b/>
                <w:bCs w:val="0"/>
                <w:sz w:val="24"/>
                <w:szCs w:val="24"/>
                <w:u w:val="none"/>
                <w:lang w:val="en-US" w:eastAsia="zh-CN"/>
              </w:rPr>
            </w:pP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r>
              <w:rPr>
                <w:rFonts w:hint="eastAsia" w:ascii="仿宋_GB2312" w:hAnsi="仿宋_GB2312" w:eastAsia="仿宋_GB2312" w:cs="仿宋_GB2312"/>
                <w:b/>
                <w:bCs w:val="0"/>
                <w:sz w:val="24"/>
                <w:szCs w:val="24"/>
                <w:u w:val="none"/>
                <w:lang w:val="en-US" w:eastAsia="zh-CN"/>
              </w:rPr>
              <w:t>8</w:t>
            </w:r>
          </w:p>
        </w:tc>
        <w:tc>
          <w:tcPr>
            <w:tcW w:w="870" w:type="dxa"/>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5" w:hRule="atLeast"/>
          <w:jc w:val="center"/>
        </w:trPr>
        <w:tc>
          <w:tcPr>
            <w:tcW w:w="84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6.</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便</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民</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服</w:t>
            </w:r>
          </w:p>
          <w:p>
            <w:pPr>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lang w:eastAsia="zh-CN"/>
              </w:rPr>
              <w:t>务</w:t>
            </w:r>
          </w:p>
        </w:tc>
        <w:tc>
          <w:tcPr>
            <w:tcW w:w="75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kern w:val="2"/>
                <w:sz w:val="24"/>
                <w:szCs w:val="24"/>
                <w:u w:val="none"/>
                <w:lang w:val="en-US" w:eastAsia="zh-CN" w:bidi="ar-SA"/>
              </w:rPr>
              <w:t>围绕方便市民、中小学生和各行业各领域从业人员等不同群体到基地参观培训、学习安全知识，而提供系列</w:t>
            </w:r>
            <w:r>
              <w:rPr>
                <w:rFonts w:hint="eastAsia" w:ascii="仿宋_GB2312" w:hAnsi="仿宋_GB2312" w:eastAsia="仿宋_GB2312" w:cs="仿宋_GB2312"/>
                <w:sz w:val="24"/>
                <w:szCs w:val="24"/>
                <w:u w:val="none"/>
                <w:lang w:val="en-US" w:eastAsia="zh-CN"/>
              </w:rPr>
              <w:t>便民服务。</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1.开通便民咨询热线，方便市民随时咨询；</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2.开通网上预约功能，方便市民提前预约；</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3.提供卫生间、停车、个人物品寄存等服务；</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4.设置无障碍通道、无障碍卫生间；</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5.设置导航路线图或导航路标；</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6.设置咨询台，方便参观者现场咨询；</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u w:val="none"/>
                <w:lang w:val="en-US" w:eastAsia="zh-CN"/>
              </w:rPr>
              <w:t>7.提供饮水处、便民药箱；</w:t>
            </w:r>
            <w:r>
              <w:rPr>
                <w:rFonts w:hint="eastAsia" w:ascii="仿宋_GB2312" w:hAnsi="仿宋_GB2312" w:eastAsia="仿宋_GB2312" w:cs="仿宋_GB2312"/>
                <w:sz w:val="24"/>
                <w:szCs w:val="24"/>
                <w:u w:val="none"/>
                <w:lang w:val="en-US" w:eastAsia="zh-CN"/>
              </w:rPr>
              <w:br w:type="textWrapping"/>
            </w:r>
            <w:r>
              <w:rPr>
                <w:rFonts w:hint="eastAsia" w:ascii="仿宋_GB2312" w:hAnsi="仿宋_GB2312" w:eastAsia="仿宋_GB2312" w:cs="仿宋_GB2312"/>
                <w:sz w:val="24"/>
                <w:szCs w:val="24"/>
                <w:u w:val="none"/>
                <w:lang w:val="en-US" w:eastAsia="zh-CN"/>
              </w:rPr>
              <w:t>8.安装自动体外除颤器（AED）。</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以上便民举措不少于4种，少一处扣2分。</w:t>
            </w:r>
          </w:p>
        </w:tc>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firstLine="118" w:firstLineChars="50"/>
              <w:jc w:val="center"/>
              <w:textAlignment w:val="auto"/>
              <w:outlineLvl w:val="9"/>
              <w:rPr>
                <w:rFonts w:hint="eastAsia" w:ascii="仿宋_GB2312" w:hAnsi="仿宋_GB2312" w:eastAsia="仿宋_GB2312" w:cs="仿宋_GB2312"/>
                <w:b/>
                <w:bCs w:val="0"/>
                <w:sz w:val="24"/>
                <w:szCs w:val="24"/>
                <w:u w:val="none"/>
              </w:rPr>
            </w:pPr>
            <w:r>
              <w:rPr>
                <w:rFonts w:hint="eastAsia" w:ascii="仿宋_GB2312" w:hAnsi="仿宋_GB2312" w:eastAsia="仿宋_GB2312" w:cs="仿宋_GB2312"/>
                <w:b/>
                <w:bCs w:val="0"/>
                <w:sz w:val="24"/>
                <w:szCs w:val="24"/>
                <w:u w:val="none"/>
                <w:lang w:val="en-US" w:eastAsia="zh-CN"/>
              </w:rPr>
              <w:t>8</w:t>
            </w:r>
          </w:p>
        </w:tc>
        <w:tc>
          <w:tcPr>
            <w:tcW w:w="870"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84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7.</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服</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务</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质</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rPr>
              <w:t>量</w:t>
            </w:r>
          </w:p>
        </w:tc>
        <w:tc>
          <w:tcPr>
            <w:tcW w:w="753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1.制定了健全的接待服务制度，接待信息记录完整，得2分；</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2.每季度通过随机发放调查问卷方式，获取参观者对安全教育基地讲解质量、服务、体验感等方面的整体评价，有效回收调查问卷不少于100份，且满意率达90%及以上得2分，单月被投诉3次以上则不得分。</w:t>
            </w:r>
          </w:p>
        </w:tc>
        <w:tc>
          <w:tcPr>
            <w:tcW w:w="675"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outlineLvl w:val="9"/>
              <w:rPr>
                <w:rFonts w:hint="eastAsia" w:ascii="仿宋_GB2312" w:hAnsi="仿宋_GB2312" w:eastAsia="仿宋_GB2312" w:cs="仿宋_GB2312"/>
                <w:b/>
                <w:bCs w:val="0"/>
                <w:sz w:val="24"/>
                <w:szCs w:val="24"/>
                <w:u w:val="none"/>
                <w:lang w:val="en-US" w:eastAsia="zh-CN"/>
              </w:rPr>
            </w:pP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p>
          <w:p>
            <w:pPr>
              <w:keepNext w:val="0"/>
              <w:keepLines w:val="0"/>
              <w:pageBreakBefore w:val="0"/>
              <w:kinsoku/>
              <w:wordWrap/>
              <w:overflowPunct/>
              <w:topLinePunct w:val="0"/>
              <w:autoSpaceDE/>
              <w:autoSpaceDN/>
              <w:bidi w:val="0"/>
              <w:adjustRightInd/>
              <w:snapToGrid/>
              <w:spacing w:line="380" w:lineRule="exact"/>
              <w:ind w:firstLine="236" w:firstLineChars="100"/>
              <w:jc w:val="both"/>
              <w:textAlignment w:val="auto"/>
              <w:outlineLvl w:val="9"/>
              <w:rPr>
                <w:rFonts w:hint="eastAsia" w:ascii="仿宋_GB2312" w:hAnsi="仿宋_GB2312" w:eastAsia="仿宋_GB2312" w:cs="仿宋_GB2312"/>
                <w:b/>
                <w:bCs w:val="0"/>
                <w:sz w:val="24"/>
                <w:szCs w:val="24"/>
                <w:u w:val="none"/>
              </w:rPr>
            </w:pPr>
            <w:r>
              <w:rPr>
                <w:rFonts w:hint="eastAsia" w:ascii="仿宋_GB2312" w:hAnsi="仿宋_GB2312" w:eastAsia="仿宋_GB2312" w:cs="仿宋_GB2312"/>
                <w:b/>
                <w:bCs w:val="0"/>
                <w:sz w:val="24"/>
                <w:szCs w:val="24"/>
                <w:u w:val="none"/>
                <w:lang w:val="en-US" w:eastAsia="zh-CN"/>
              </w:rPr>
              <w:t>4</w:t>
            </w:r>
          </w:p>
        </w:tc>
        <w:tc>
          <w:tcPr>
            <w:tcW w:w="870"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0" w:hRule="atLeast"/>
          <w:jc w:val="center"/>
        </w:trPr>
        <w:tc>
          <w:tcPr>
            <w:tcW w:w="840" w:type="dxa"/>
            <w:tcBorders>
              <w:left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8.</w:t>
            </w:r>
          </w:p>
          <w:p>
            <w:pPr>
              <w:pStyle w:val="2"/>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配</w:t>
            </w:r>
          </w:p>
          <w:p>
            <w:pPr>
              <w:pStyle w:val="2"/>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套</w:t>
            </w:r>
          </w:p>
          <w:p>
            <w:pPr>
              <w:pStyle w:val="2"/>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管</w:t>
            </w:r>
          </w:p>
          <w:p>
            <w:pPr>
              <w:pStyle w:val="2"/>
              <w:keepNext w:val="0"/>
              <w:keepLines w:val="0"/>
              <w:pageBreakBefore w:val="0"/>
              <w:kinsoku/>
              <w:wordWrap/>
              <w:overflowPunct/>
              <w:topLinePunct w:val="0"/>
              <w:autoSpaceDE/>
              <w:autoSpaceDN/>
              <w:bidi w:val="0"/>
              <w:spacing w:line="380" w:lineRule="exact"/>
              <w:ind w:left="0" w:leftChars="0" w:firstLine="0" w:firstLineChars="0"/>
              <w:jc w:val="center"/>
              <w:textAlignment w:val="auto"/>
              <w:rPr>
                <w:rFonts w:hint="eastAsia"/>
                <w:u w:val="none"/>
                <w:lang w:eastAsia="zh-CN"/>
              </w:rPr>
            </w:pPr>
            <w:r>
              <w:rPr>
                <w:rFonts w:hint="eastAsia" w:ascii="仿宋_GB2312" w:hAnsi="仿宋_GB2312" w:eastAsia="仿宋_GB2312" w:cs="仿宋_GB2312"/>
                <w:b/>
                <w:sz w:val="24"/>
                <w:szCs w:val="24"/>
                <w:u w:val="none"/>
              </w:rPr>
              <w:t>理</w:t>
            </w:r>
          </w:p>
        </w:tc>
        <w:tc>
          <w:tcPr>
            <w:tcW w:w="75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1.监控设施完备，监控影像资料保存至少30天，得2分；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2.消防控制及火灾报警系统完备，且维护保养记录完整，得2分；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3.内部运营管理制度健全，内部机构设置合理，得2分。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4.基地设备设施维护台账、各类宣传活动台账、宣教产品投入台账等各类档案完备，得2分。</w:t>
            </w:r>
          </w:p>
        </w:tc>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r>
              <w:rPr>
                <w:rFonts w:hint="eastAsia" w:ascii="仿宋_GB2312" w:hAnsi="仿宋_GB2312" w:eastAsia="仿宋_GB2312" w:cs="仿宋_GB2312"/>
                <w:b/>
                <w:bCs w:val="0"/>
                <w:sz w:val="24"/>
                <w:szCs w:val="24"/>
                <w:u w:val="none"/>
                <w:lang w:val="en-US" w:eastAsia="zh-CN"/>
              </w:rPr>
              <w:t>8</w:t>
            </w:r>
          </w:p>
        </w:tc>
        <w:tc>
          <w:tcPr>
            <w:tcW w:w="870"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84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9.</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安</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r>
              <w:rPr>
                <w:rFonts w:hint="eastAsia" w:ascii="仿宋_GB2312" w:hAnsi="仿宋_GB2312" w:eastAsia="仿宋_GB2312" w:cs="仿宋_GB2312"/>
                <w:b/>
                <w:sz w:val="24"/>
                <w:szCs w:val="24"/>
                <w:u w:val="none"/>
              </w:rPr>
              <w:t>全</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保</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eastAsia="zh-CN"/>
              </w:rPr>
            </w:pPr>
            <w:r>
              <w:rPr>
                <w:rFonts w:hint="eastAsia" w:ascii="仿宋_GB2312" w:hAnsi="仿宋_GB2312" w:eastAsia="仿宋_GB2312" w:cs="仿宋_GB2312"/>
                <w:b/>
                <w:sz w:val="24"/>
                <w:szCs w:val="24"/>
                <w:u w:val="none"/>
                <w:lang w:eastAsia="zh-CN"/>
              </w:rPr>
              <w:t>障</w:t>
            </w:r>
          </w:p>
        </w:tc>
        <w:tc>
          <w:tcPr>
            <w:tcW w:w="75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1.制定合理的安全教育基地安全生产管理体系，得2分；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2.制定适合安全教育基地的应急预案，配有安全保卫人员，并定期开展演练，得2分；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3.场馆安全标识规范，消防逃生通道畅通，得2分。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4.定期开展安全检查，未发生过安全责任事故，得2分。</w:t>
            </w:r>
          </w:p>
        </w:tc>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r>
              <w:rPr>
                <w:rFonts w:hint="eastAsia" w:ascii="仿宋_GB2312" w:hAnsi="仿宋_GB2312" w:eastAsia="仿宋_GB2312" w:cs="仿宋_GB2312"/>
                <w:b/>
                <w:bCs w:val="0"/>
                <w:sz w:val="24"/>
                <w:szCs w:val="24"/>
                <w:u w:val="none"/>
                <w:lang w:val="en-US" w:eastAsia="zh-CN"/>
              </w:rPr>
              <w:t>8</w:t>
            </w:r>
          </w:p>
        </w:tc>
        <w:tc>
          <w:tcPr>
            <w:tcW w:w="870"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5" w:hRule="atLeast"/>
          <w:jc w:val="center"/>
        </w:trPr>
        <w:tc>
          <w:tcPr>
            <w:tcW w:w="840"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10.</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争</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优</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创</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lang w:val="en-US" w:eastAsia="zh-CN"/>
              </w:rPr>
            </w:pPr>
            <w:r>
              <w:rPr>
                <w:rFonts w:hint="eastAsia" w:ascii="仿宋_GB2312" w:hAnsi="仿宋_GB2312" w:eastAsia="仿宋_GB2312" w:cs="仿宋_GB2312"/>
                <w:b/>
                <w:sz w:val="24"/>
                <w:szCs w:val="24"/>
                <w:u w:val="none"/>
                <w:lang w:val="en-US" w:eastAsia="zh-CN"/>
              </w:rPr>
              <w:t>先</w:t>
            </w:r>
          </w:p>
        </w:tc>
        <w:tc>
          <w:tcPr>
            <w:tcW w:w="7535" w:type="dxa"/>
            <w:gridSpan w:val="2"/>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通过参加全国、省、市等各级各类评选或知识竞赛（包括但不限于儿童科普、法制宣传、安全教育等基地评选活动或各类安全知识宣教竞赛）活动：</w:t>
            </w: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（1）获得1项区级称号或奖牌，得2分（可累计得分）；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（2）获得1项市级称号或奖牌，得4分（可累计得分）；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（3）获得1项省级称号或奖牌，得6分（可累计得分）；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（4）获得1项国家级称号或奖牌，得8分（可累计得分）；</w:t>
            </w:r>
          </w:p>
          <w:p>
            <w:pPr>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此项累计得分不超过10分。</w:t>
            </w:r>
          </w:p>
        </w:tc>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r>
              <w:rPr>
                <w:rFonts w:hint="eastAsia" w:ascii="仿宋_GB2312" w:hAnsi="仿宋_GB2312" w:eastAsia="仿宋_GB2312" w:cs="仿宋_GB2312"/>
                <w:b/>
                <w:bCs w:val="0"/>
                <w:sz w:val="24"/>
                <w:szCs w:val="24"/>
                <w:u w:val="none"/>
                <w:lang w:val="en-US" w:eastAsia="zh-CN"/>
              </w:rPr>
              <w:t>10</w:t>
            </w:r>
          </w:p>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4"/>
                <w:szCs w:val="24"/>
                <w:u w:val="none"/>
                <w:lang w:val="en-US" w:eastAsia="zh-CN"/>
              </w:rPr>
            </w:pPr>
          </w:p>
        </w:tc>
        <w:tc>
          <w:tcPr>
            <w:tcW w:w="870"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c>
          <w:tcPr>
            <w:tcW w:w="85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375" w:type="dxa"/>
            <w:gridSpan w:val="3"/>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ind w:firstLine="552" w:firstLineChars="200"/>
              <w:jc w:val="center"/>
              <w:textAlignment w:val="auto"/>
              <w:outlineLvl w:val="9"/>
              <w:rPr>
                <w:rFonts w:hint="eastAsia" w:ascii="仿宋_GB2312" w:hAnsi="仿宋_GB2312" w:eastAsia="仿宋_GB2312" w:cs="仿宋_GB2312"/>
                <w:sz w:val="28"/>
                <w:szCs w:val="28"/>
                <w:u w:val="none"/>
                <w:lang w:eastAsia="zh-CN" w:bidi="ar"/>
              </w:rPr>
            </w:pPr>
            <w:r>
              <w:rPr>
                <w:rFonts w:hint="eastAsia" w:ascii="仿宋_GB2312" w:hAnsi="仿宋_GB2312" w:eastAsia="仿宋_GB2312" w:cs="仿宋_GB2312"/>
                <w:b/>
                <w:bCs/>
                <w:sz w:val="28"/>
                <w:szCs w:val="28"/>
                <w:u w:val="none"/>
                <w:lang w:eastAsia="zh-CN" w:bidi="ar"/>
              </w:rPr>
              <w:t>总</w:t>
            </w:r>
            <w:r>
              <w:rPr>
                <w:rFonts w:hint="eastAsia" w:ascii="仿宋_GB2312" w:hAnsi="仿宋_GB2312" w:eastAsia="仿宋_GB2312" w:cs="仿宋_GB2312"/>
                <w:b/>
                <w:bCs/>
                <w:sz w:val="28"/>
                <w:szCs w:val="28"/>
                <w:u w:val="none"/>
                <w:lang w:val="en-US" w:eastAsia="zh-CN" w:bidi="ar"/>
              </w:rPr>
              <w:t xml:space="preserve">  </w:t>
            </w:r>
            <w:r>
              <w:rPr>
                <w:rFonts w:hint="eastAsia" w:ascii="仿宋_GB2312" w:hAnsi="仿宋_GB2312" w:eastAsia="仿宋_GB2312" w:cs="仿宋_GB2312"/>
                <w:b/>
                <w:bCs/>
                <w:sz w:val="28"/>
                <w:szCs w:val="28"/>
                <w:u w:val="none"/>
                <w:lang w:eastAsia="zh-CN" w:bidi="ar"/>
              </w:rPr>
              <w:t>分</w:t>
            </w:r>
          </w:p>
        </w:tc>
        <w:tc>
          <w:tcPr>
            <w:tcW w:w="67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bCs w:val="0"/>
                <w:sz w:val="28"/>
                <w:szCs w:val="28"/>
                <w:u w:val="none"/>
                <w:lang w:val="en-US" w:eastAsia="zh-CN"/>
              </w:rPr>
            </w:pPr>
            <w:r>
              <w:rPr>
                <w:rFonts w:hint="eastAsia" w:ascii="仿宋_GB2312" w:hAnsi="仿宋_GB2312" w:eastAsia="仿宋_GB2312" w:cs="仿宋_GB2312"/>
                <w:b/>
                <w:bCs w:val="0"/>
                <w:sz w:val="28"/>
                <w:szCs w:val="28"/>
                <w:u w:val="none"/>
                <w:lang w:val="en-US" w:eastAsia="zh-CN"/>
              </w:rPr>
              <w:t>100</w:t>
            </w:r>
          </w:p>
        </w:tc>
        <w:tc>
          <w:tcPr>
            <w:tcW w:w="870" w:type="dxa"/>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8"/>
                <w:szCs w:val="28"/>
                <w:u w:val="none"/>
              </w:rPr>
            </w:pPr>
          </w:p>
        </w:tc>
        <w:tc>
          <w:tcPr>
            <w:tcW w:w="85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b/>
                <w:sz w:val="28"/>
                <w:szCs w:val="28"/>
                <w:u w:val="none"/>
              </w:rPr>
            </w:pPr>
          </w:p>
        </w:tc>
      </w:tr>
    </w:tbl>
    <w:p>
      <w:pPr>
        <w:rPr>
          <w:rFonts w:hint="eastAsia" w:ascii="宋体" w:hAnsi="宋体" w:eastAsia="宋体" w:cs="宋体"/>
          <w:b w:val="0"/>
          <w:bCs w:val="0"/>
          <w:sz w:val="32"/>
          <w:szCs w:val="32"/>
          <w:lang w:eastAsia="zh-CN"/>
        </w:rPr>
      </w:pPr>
    </w:p>
    <w:p>
      <w:pPr>
        <w:rPr>
          <w:rFonts w:hint="eastAsia" w:ascii="宋体" w:hAnsi="宋体" w:eastAsia="宋体" w:cs="宋体"/>
          <w:b w:val="0"/>
          <w:bCs w:val="0"/>
          <w:sz w:val="32"/>
          <w:szCs w:val="32"/>
          <w:lang w:eastAsia="zh-CN"/>
        </w:rPr>
      </w:pPr>
    </w:p>
    <w:p>
      <w:pPr>
        <w:rPr>
          <w:rFonts w:hint="eastAsia" w:ascii="宋体" w:hAnsi="宋体" w:eastAsia="宋体" w:cs="宋体"/>
          <w:b w:val="0"/>
          <w:bCs w:val="0"/>
          <w:sz w:val="32"/>
          <w:szCs w:val="32"/>
          <w:lang w:eastAsia="zh-CN"/>
        </w:rPr>
      </w:pPr>
    </w:p>
    <w:p>
      <w:pPr>
        <w:rPr>
          <w:rFonts w:hint="eastAsia" w:ascii="宋体" w:hAnsi="宋体" w:eastAsia="宋体" w:cs="宋体"/>
          <w:b w:val="0"/>
          <w:bCs w:val="0"/>
          <w:sz w:val="32"/>
          <w:szCs w:val="32"/>
          <w:lang w:eastAsia="zh-CN"/>
        </w:rPr>
      </w:pPr>
    </w:p>
    <w:p>
      <w:pPr>
        <w:rPr>
          <w:rFonts w:hint="eastAsia" w:ascii="宋体" w:hAnsi="宋体" w:eastAsia="宋体" w:cs="宋体"/>
          <w:b w:val="0"/>
          <w:bCs w:val="0"/>
          <w:sz w:val="32"/>
          <w:szCs w:val="32"/>
          <w:lang w:eastAsia="zh-CN"/>
        </w:rPr>
      </w:pPr>
    </w:p>
    <w:p>
      <w:pPr>
        <w:rPr>
          <w:rFonts w:hint="eastAsia" w:ascii="宋体" w:hAnsi="宋体" w:eastAsia="宋体" w:cs="宋体"/>
          <w:b w:val="0"/>
          <w:bCs w:val="0"/>
          <w:sz w:val="32"/>
          <w:szCs w:val="32"/>
          <w:lang w:eastAsia="zh-CN"/>
        </w:rPr>
      </w:pPr>
    </w:p>
    <w:p>
      <w:pPr>
        <w:rPr>
          <w:rFonts w:hint="eastAsia" w:ascii="宋体" w:hAnsi="宋体" w:eastAsia="宋体" w:cs="宋体"/>
          <w:b w:val="0"/>
          <w:bCs w:val="0"/>
          <w:sz w:val="32"/>
          <w:szCs w:val="32"/>
          <w:lang w:eastAsia="zh-CN"/>
        </w:rPr>
      </w:pPr>
    </w:p>
    <w:p>
      <w:pPr>
        <w:rPr>
          <w:rFonts w:hint="eastAsia" w:ascii="宋体" w:hAnsi="宋体" w:eastAsia="宋体" w:cs="宋体"/>
          <w:b w:val="0"/>
          <w:bCs w:val="0"/>
          <w:sz w:val="32"/>
          <w:szCs w:val="32"/>
          <w:lang w:eastAsia="zh-CN"/>
        </w:rPr>
      </w:pPr>
    </w:p>
    <w:p>
      <w:pPr>
        <w:rPr>
          <w:rFonts w:hint="eastAsia" w:ascii="宋体" w:hAnsi="宋体" w:eastAsia="宋体" w:cs="宋体"/>
          <w:b w:val="0"/>
          <w:bCs w:val="0"/>
          <w:sz w:val="32"/>
          <w:szCs w:val="32"/>
          <w:lang w:eastAsia="zh-CN"/>
        </w:rPr>
      </w:pPr>
    </w:p>
    <w:p>
      <w:pPr>
        <w:rPr>
          <w:rFonts w:hint="eastAsia" w:ascii="宋体" w:hAnsi="宋体" w:eastAsia="宋体" w:cs="宋体"/>
          <w:b w:val="0"/>
          <w:bCs w:val="0"/>
          <w:sz w:val="32"/>
          <w:szCs w:val="32"/>
          <w:lang w:eastAsia="zh-CN"/>
        </w:rPr>
      </w:pPr>
    </w:p>
    <w:p>
      <w:pPr>
        <w:rPr>
          <w:rFonts w:hint="eastAsia" w:ascii="宋体" w:hAnsi="宋体" w:eastAsia="宋体" w:cs="宋体"/>
          <w:b w:val="0"/>
          <w:bCs w:val="0"/>
          <w:sz w:val="32"/>
          <w:szCs w:val="32"/>
          <w:lang w:eastAsia="zh-CN"/>
        </w:rPr>
      </w:pPr>
    </w:p>
    <w:p>
      <w:pPr>
        <w:rPr>
          <w:rFonts w:hint="eastAsia" w:ascii="宋体" w:hAnsi="宋体" w:eastAsia="宋体" w:cs="宋体"/>
          <w:b w:val="0"/>
          <w:bCs w:val="0"/>
          <w:sz w:val="32"/>
          <w:szCs w:val="32"/>
          <w:lang w:eastAsia="zh-CN"/>
        </w:rPr>
      </w:pPr>
    </w:p>
    <w:p>
      <w:pPr>
        <w:rPr>
          <w:rFonts w:hint="eastAsia" w:ascii="宋体" w:hAnsi="宋体" w:eastAsia="宋体" w:cs="宋体"/>
          <w:b w:val="0"/>
          <w:bCs w:val="0"/>
          <w:sz w:val="32"/>
          <w:szCs w:val="32"/>
          <w:lang w:eastAsia="zh-CN"/>
        </w:rPr>
      </w:pPr>
    </w:p>
    <w:p>
      <w:pPr>
        <w:rPr>
          <w:rFonts w:hint="eastAsia" w:ascii="宋体" w:hAnsi="宋体" w:eastAsia="宋体" w:cs="宋体"/>
          <w:b w:val="0"/>
          <w:bCs w:val="0"/>
          <w:sz w:val="32"/>
          <w:szCs w:val="32"/>
          <w:lang w:eastAsia="zh-CN"/>
        </w:rPr>
      </w:pPr>
    </w:p>
    <w:p>
      <w:pPr>
        <w:rPr>
          <w:rFonts w:hint="eastAsia" w:ascii="宋体" w:hAnsi="宋体" w:eastAsia="宋体" w:cs="宋体"/>
          <w:b w:val="0"/>
          <w:bCs w:val="0"/>
          <w:sz w:val="32"/>
          <w:szCs w:val="32"/>
          <w:lang w:eastAsia="zh-CN"/>
        </w:rPr>
      </w:pP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keepNext w:val="0"/>
        <w:keepLines w:val="0"/>
        <w:pageBreakBefore w:val="0"/>
        <w:kinsoku/>
        <w:overflowPunct/>
        <w:topLinePunct w:val="0"/>
        <w:autoSpaceDE/>
        <w:autoSpaceDN/>
        <w:bidi w:val="0"/>
        <w:adjustRightInd/>
        <w:snapToGrid/>
        <w:spacing w:line="590" w:lineRule="exact"/>
        <w:textAlignment w:val="auto"/>
        <w:outlineLvl w:val="9"/>
        <w:rPr>
          <w:rFonts w:ascii="黑体" w:hAnsi="黑体" w:eastAsia="黑体" w:cs="宋体"/>
          <w:color w:val="313134"/>
          <w:kern w:val="0"/>
          <w:sz w:val="32"/>
          <w:szCs w:val="32"/>
          <w:u w:val="none"/>
        </w:rPr>
      </w:pPr>
    </w:p>
    <w:p>
      <w:pPr>
        <w:keepNext w:val="0"/>
        <w:keepLines w:val="0"/>
        <w:pageBreakBefore w:val="0"/>
        <w:kinsoku/>
        <w:overflowPunct/>
        <w:topLinePunct w:val="0"/>
        <w:autoSpaceDE/>
        <w:autoSpaceDN/>
        <w:bidi w:val="0"/>
        <w:adjustRightInd/>
        <w:snapToGrid/>
        <w:spacing w:line="590" w:lineRule="exact"/>
        <w:textAlignment w:val="auto"/>
        <w:outlineLvl w:val="9"/>
        <w:rPr>
          <w:rFonts w:ascii="黑体" w:hAnsi="黑体" w:eastAsia="黑体" w:cs="宋体"/>
          <w:b/>
          <w:bCs/>
          <w:color w:val="313134"/>
          <w:kern w:val="0"/>
          <w:sz w:val="32"/>
          <w:szCs w:val="32"/>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方正小标宋简体" w:hAnsi="方正小标宋简体" w:eastAsia="方正小标宋简体" w:cs="方正小标宋简体"/>
          <w:b w:val="0"/>
          <w:bCs w:val="0"/>
          <w:sz w:val="44"/>
          <w:szCs w:val="44"/>
          <w:u w:val="none"/>
          <w:lang w:val="en-US" w:eastAsia="zh-CN"/>
        </w:rPr>
      </w:pPr>
      <w:r>
        <w:rPr>
          <w:rFonts w:hint="eastAsia" w:ascii="方正小标宋简体" w:hAnsi="方正小标宋简体" w:eastAsia="方正小标宋简体" w:cs="方正小标宋简体"/>
          <w:b w:val="0"/>
          <w:bCs w:val="0"/>
          <w:sz w:val="44"/>
          <w:szCs w:val="44"/>
          <w:u w:val="none"/>
        </w:rPr>
        <w:t>深圳市安全教育基地</w:t>
      </w:r>
      <w:r>
        <w:rPr>
          <w:rFonts w:hint="eastAsia" w:ascii="方正小标宋简体" w:hAnsi="方正小标宋简体" w:eastAsia="方正小标宋简体" w:cs="方正小标宋简体"/>
          <w:b w:val="0"/>
          <w:bCs w:val="0"/>
          <w:sz w:val="44"/>
          <w:szCs w:val="44"/>
          <w:u w:val="none"/>
          <w:lang w:val="en-US" w:eastAsia="zh-CN"/>
        </w:rPr>
        <w:t>星级评定</w:t>
      </w:r>
    </w:p>
    <w:p>
      <w:pPr>
        <w:pStyle w:val="2"/>
        <w:rPr>
          <w:rFonts w:hint="eastAsia"/>
          <w:lang w:val="en-US" w:eastAsia="zh-CN"/>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方正小标宋简体" w:hAnsi="方正小标宋简体" w:eastAsia="方正小标宋简体" w:cs="方正小标宋简体"/>
          <w:b w:val="0"/>
          <w:bCs w:val="0"/>
          <w:sz w:val="56"/>
          <w:szCs w:val="56"/>
          <w:u w:val="none"/>
        </w:rPr>
      </w:pPr>
      <w:r>
        <w:rPr>
          <w:rFonts w:hint="eastAsia" w:ascii="方正小标宋简体" w:hAnsi="方正小标宋简体" w:eastAsia="方正小标宋简体" w:cs="方正小标宋简体"/>
          <w:b w:val="0"/>
          <w:bCs w:val="0"/>
          <w:sz w:val="56"/>
          <w:szCs w:val="56"/>
          <w:u w:val="none"/>
        </w:rPr>
        <w:t>申</w:t>
      </w:r>
      <w:r>
        <w:rPr>
          <w:rFonts w:hint="eastAsia" w:ascii="方正小标宋简体" w:hAnsi="方正小标宋简体" w:eastAsia="方正小标宋简体" w:cs="方正小标宋简体"/>
          <w:b w:val="0"/>
          <w:bCs w:val="0"/>
          <w:sz w:val="56"/>
          <w:szCs w:val="56"/>
          <w:u w:val="none"/>
          <w:lang w:val="en-US" w:eastAsia="zh-CN"/>
        </w:rPr>
        <w:t xml:space="preserve"> </w:t>
      </w:r>
      <w:r>
        <w:rPr>
          <w:rFonts w:hint="eastAsia" w:ascii="方正小标宋简体" w:hAnsi="方正小标宋简体" w:eastAsia="方正小标宋简体" w:cs="方正小标宋简体"/>
          <w:b w:val="0"/>
          <w:bCs w:val="0"/>
          <w:sz w:val="56"/>
          <w:szCs w:val="56"/>
          <w:u w:val="none"/>
        </w:rPr>
        <w:t>报</w:t>
      </w:r>
      <w:r>
        <w:rPr>
          <w:rFonts w:hint="eastAsia" w:ascii="方正小标宋简体" w:hAnsi="方正小标宋简体" w:eastAsia="方正小标宋简体" w:cs="方正小标宋简体"/>
          <w:b w:val="0"/>
          <w:bCs w:val="0"/>
          <w:sz w:val="56"/>
          <w:szCs w:val="56"/>
          <w:u w:val="none"/>
          <w:lang w:val="en-US" w:eastAsia="zh-CN"/>
        </w:rPr>
        <w:t xml:space="preserve"> </w:t>
      </w:r>
      <w:r>
        <w:rPr>
          <w:rFonts w:hint="eastAsia" w:ascii="方正小标宋简体" w:hAnsi="方正小标宋简体" w:eastAsia="方正小标宋简体" w:cs="方正小标宋简体"/>
          <w:b w:val="0"/>
          <w:bCs w:val="0"/>
          <w:sz w:val="56"/>
          <w:szCs w:val="56"/>
          <w:u w:val="none"/>
        </w:rPr>
        <w:t>审</w:t>
      </w:r>
      <w:r>
        <w:rPr>
          <w:rFonts w:hint="eastAsia" w:ascii="方正小标宋简体" w:hAnsi="方正小标宋简体" w:eastAsia="方正小标宋简体" w:cs="方正小标宋简体"/>
          <w:b w:val="0"/>
          <w:bCs w:val="0"/>
          <w:sz w:val="56"/>
          <w:szCs w:val="56"/>
          <w:u w:val="none"/>
          <w:lang w:val="en-US" w:eastAsia="zh-CN"/>
        </w:rPr>
        <w:t xml:space="preserve"> </w:t>
      </w:r>
      <w:r>
        <w:rPr>
          <w:rFonts w:hint="eastAsia" w:ascii="方正小标宋简体" w:hAnsi="方正小标宋简体" w:eastAsia="方正小标宋简体" w:cs="方正小标宋简体"/>
          <w:b w:val="0"/>
          <w:bCs w:val="0"/>
          <w:sz w:val="56"/>
          <w:szCs w:val="56"/>
          <w:u w:val="none"/>
        </w:rPr>
        <w:t>核</w:t>
      </w:r>
      <w:r>
        <w:rPr>
          <w:rFonts w:hint="eastAsia" w:ascii="方正小标宋简体" w:hAnsi="方正小标宋简体" w:eastAsia="方正小标宋简体" w:cs="方正小标宋简体"/>
          <w:b w:val="0"/>
          <w:bCs w:val="0"/>
          <w:sz w:val="56"/>
          <w:szCs w:val="56"/>
          <w:u w:val="none"/>
          <w:lang w:val="en-US" w:eastAsia="zh-CN"/>
        </w:rPr>
        <w:t xml:space="preserve"> </w:t>
      </w:r>
      <w:r>
        <w:rPr>
          <w:rFonts w:hint="eastAsia" w:ascii="方正小标宋简体" w:hAnsi="方正小标宋简体" w:eastAsia="方正小标宋简体" w:cs="方正小标宋简体"/>
          <w:b w:val="0"/>
          <w:bCs w:val="0"/>
          <w:sz w:val="56"/>
          <w:szCs w:val="56"/>
          <w:u w:val="none"/>
        </w:rPr>
        <w:t>表</w:t>
      </w:r>
    </w:p>
    <w:p>
      <w:pPr>
        <w:keepNext w:val="0"/>
        <w:keepLines w:val="0"/>
        <w:pageBreakBefore w:val="0"/>
        <w:kinsoku/>
        <w:overflowPunct/>
        <w:topLinePunct w:val="0"/>
        <w:autoSpaceDE/>
        <w:autoSpaceDN/>
        <w:bidi w:val="0"/>
        <w:adjustRightInd/>
        <w:snapToGrid/>
        <w:spacing w:line="590" w:lineRule="exact"/>
        <w:textAlignment w:val="auto"/>
        <w:outlineLvl w:val="9"/>
        <w:rPr>
          <w:rFonts w:ascii="仿宋" w:hAnsi="仿宋" w:eastAsia="仿宋" w:cs="宋体"/>
          <w:sz w:val="46"/>
          <w:szCs w:val="46"/>
          <w:u w:val="none"/>
        </w:rPr>
      </w:pPr>
    </w:p>
    <w:p>
      <w:pPr>
        <w:keepNext w:val="0"/>
        <w:keepLines w:val="0"/>
        <w:pageBreakBefore w:val="0"/>
        <w:kinsoku/>
        <w:overflowPunct/>
        <w:topLinePunct w:val="0"/>
        <w:autoSpaceDE/>
        <w:autoSpaceDN/>
        <w:bidi w:val="0"/>
        <w:adjustRightInd/>
        <w:snapToGrid/>
        <w:spacing w:line="590" w:lineRule="exact"/>
        <w:textAlignment w:val="auto"/>
        <w:outlineLvl w:val="9"/>
        <w:rPr>
          <w:rFonts w:ascii="仿宋" w:hAnsi="仿宋" w:eastAsia="仿宋" w:cs="宋体"/>
          <w:sz w:val="46"/>
          <w:szCs w:val="46"/>
          <w:u w:val="none"/>
        </w:rPr>
      </w:pPr>
    </w:p>
    <w:p>
      <w:pPr>
        <w:keepNext w:val="0"/>
        <w:keepLines w:val="0"/>
        <w:pageBreakBefore w:val="0"/>
        <w:kinsoku/>
        <w:overflowPunct/>
        <w:topLinePunct w:val="0"/>
        <w:autoSpaceDE/>
        <w:autoSpaceDN/>
        <w:bidi w:val="0"/>
        <w:adjustRightInd/>
        <w:snapToGrid/>
        <w:spacing w:line="590" w:lineRule="exact"/>
        <w:textAlignment w:val="auto"/>
        <w:outlineLvl w:val="9"/>
        <w:rPr>
          <w:rFonts w:ascii="仿宋" w:hAnsi="仿宋" w:eastAsia="仿宋" w:cs="宋体"/>
          <w:sz w:val="46"/>
          <w:szCs w:val="46"/>
          <w:u w:val="none"/>
        </w:rPr>
      </w:pPr>
    </w:p>
    <w:p>
      <w:pPr>
        <w:keepNext w:val="0"/>
        <w:keepLines w:val="0"/>
        <w:pageBreakBefore w:val="0"/>
        <w:kinsoku/>
        <w:overflowPunct/>
        <w:topLinePunct w:val="0"/>
        <w:autoSpaceDE/>
        <w:autoSpaceDN/>
        <w:bidi w:val="0"/>
        <w:adjustRightInd/>
        <w:snapToGrid/>
        <w:spacing w:line="590" w:lineRule="exact"/>
        <w:textAlignment w:val="auto"/>
        <w:outlineLvl w:val="9"/>
        <w:rPr>
          <w:rFonts w:ascii="仿宋" w:hAnsi="仿宋" w:eastAsia="仿宋" w:cs="宋体"/>
          <w:sz w:val="46"/>
          <w:szCs w:val="46"/>
          <w:u w:val="none"/>
        </w:rPr>
      </w:pPr>
    </w:p>
    <w:p>
      <w:pPr>
        <w:keepNext w:val="0"/>
        <w:keepLines w:val="0"/>
        <w:pageBreakBefore w:val="0"/>
        <w:kinsoku/>
        <w:overflowPunct/>
        <w:topLinePunct w:val="0"/>
        <w:autoSpaceDE/>
        <w:autoSpaceDN/>
        <w:bidi w:val="0"/>
        <w:adjustRightInd/>
        <w:snapToGrid/>
        <w:spacing w:line="590" w:lineRule="exact"/>
        <w:textAlignment w:val="auto"/>
        <w:outlineLvl w:val="9"/>
        <w:rPr>
          <w:rFonts w:ascii="仿宋" w:hAnsi="仿宋" w:eastAsia="仿宋" w:cs="宋体"/>
          <w:sz w:val="46"/>
          <w:szCs w:val="46"/>
          <w:u w:val="none"/>
        </w:rPr>
      </w:pPr>
    </w:p>
    <w:p>
      <w:pPr>
        <w:keepNext w:val="0"/>
        <w:keepLines w:val="0"/>
        <w:pageBreakBefore w:val="0"/>
        <w:kinsoku/>
        <w:overflowPunct/>
        <w:topLinePunct w:val="0"/>
        <w:autoSpaceDE/>
        <w:autoSpaceDN/>
        <w:bidi w:val="0"/>
        <w:adjustRightInd/>
        <w:snapToGrid/>
        <w:spacing w:line="590" w:lineRule="exact"/>
        <w:textAlignment w:val="auto"/>
        <w:outlineLvl w:val="9"/>
        <w:rPr>
          <w:rFonts w:ascii="仿宋" w:hAnsi="仿宋" w:eastAsia="仿宋" w:cs="宋体"/>
          <w:sz w:val="46"/>
          <w:szCs w:val="46"/>
          <w:u w:val="none"/>
        </w:rPr>
      </w:pPr>
    </w:p>
    <w:p>
      <w:pPr>
        <w:keepNext w:val="0"/>
        <w:keepLines w:val="0"/>
        <w:pageBreakBefore w:val="0"/>
        <w:kinsoku/>
        <w:overflowPunct/>
        <w:topLinePunct w:val="0"/>
        <w:autoSpaceDE/>
        <w:autoSpaceDN/>
        <w:bidi w:val="0"/>
        <w:adjustRightInd/>
        <w:snapToGrid/>
        <w:spacing w:line="590" w:lineRule="exact"/>
        <w:textAlignment w:val="auto"/>
        <w:outlineLvl w:val="9"/>
        <w:rPr>
          <w:rFonts w:ascii="仿宋" w:hAnsi="仿宋" w:eastAsia="仿宋" w:cs="宋体"/>
          <w:sz w:val="42"/>
          <w:szCs w:val="42"/>
          <w:u w:val="none"/>
        </w:rPr>
      </w:pP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ascii="仿宋_GB2312" w:hAnsi="仿宋" w:eastAsia="仿宋_GB2312" w:cs="宋体"/>
          <w:sz w:val="36"/>
          <w:szCs w:val="36"/>
          <w:u w:val="none"/>
        </w:rPr>
      </w:pPr>
      <w:r>
        <w:rPr>
          <w:rFonts w:hint="eastAsia" w:ascii="仿宋_GB2312" w:hAnsi="仿宋" w:eastAsia="仿宋_GB2312" w:cs="宋体"/>
          <w:sz w:val="36"/>
          <w:szCs w:val="36"/>
          <w:u w:val="none"/>
        </w:rPr>
        <w:t xml:space="preserve"> 申报单位：_________________(盖章)</w:t>
      </w:r>
    </w:p>
    <w:p>
      <w:pPr>
        <w:keepNext w:val="0"/>
        <w:keepLines w:val="0"/>
        <w:pageBreakBefore w:val="0"/>
        <w:kinsoku/>
        <w:overflowPunct/>
        <w:topLinePunct w:val="0"/>
        <w:autoSpaceDE/>
        <w:autoSpaceDN/>
        <w:bidi w:val="0"/>
        <w:adjustRightInd/>
        <w:snapToGrid/>
        <w:spacing w:line="590" w:lineRule="exact"/>
        <w:ind w:firstLine="1602" w:firstLineChars="450"/>
        <w:jc w:val="both"/>
        <w:textAlignment w:val="auto"/>
        <w:outlineLvl w:val="9"/>
        <w:rPr>
          <w:rFonts w:ascii="仿宋_GB2312" w:hAnsi="仿宋" w:eastAsia="仿宋_GB2312" w:cs="宋体"/>
          <w:sz w:val="36"/>
          <w:szCs w:val="36"/>
          <w:u w:val="none"/>
        </w:rPr>
      </w:pPr>
      <w:r>
        <w:rPr>
          <w:rFonts w:hint="eastAsia" w:ascii="仿宋_GB2312" w:hAnsi="仿宋" w:eastAsia="仿宋_GB2312" w:cs="宋体"/>
          <w:sz w:val="36"/>
          <w:szCs w:val="36"/>
          <w:u w:val="none"/>
        </w:rPr>
        <w:t>填表日期</w:t>
      </w:r>
      <w:r>
        <w:rPr>
          <w:rFonts w:hint="eastAsia" w:ascii="仿宋_GB2312" w:hAnsi="仿宋" w:cs="宋体"/>
          <w:sz w:val="36"/>
          <w:szCs w:val="36"/>
          <w:u w:val="none"/>
          <w:lang w:eastAsia="zh-CN"/>
        </w:rPr>
        <w:t>：</w:t>
      </w:r>
      <w:r>
        <w:rPr>
          <w:rFonts w:hint="eastAsia" w:ascii="仿宋_GB2312" w:hAnsi="仿宋" w:eastAsia="仿宋_GB2312" w:cs="宋体"/>
          <w:sz w:val="36"/>
          <w:szCs w:val="36"/>
          <w:u w:val="none"/>
        </w:rPr>
        <w:t xml:space="preserve"> </w:t>
      </w:r>
      <w:r>
        <w:rPr>
          <w:rFonts w:hint="default" w:ascii="仿宋_GB2312" w:hAnsi="仿宋" w:cs="宋体"/>
          <w:sz w:val="36"/>
          <w:szCs w:val="36"/>
          <w:u w:val="none"/>
          <w:lang w:val="en"/>
        </w:rPr>
        <w:t xml:space="preserve">      </w:t>
      </w:r>
      <w:r>
        <w:rPr>
          <w:rFonts w:hint="eastAsia" w:ascii="仿宋_GB2312" w:hAnsi="仿宋" w:eastAsia="仿宋_GB2312" w:cs="宋体"/>
          <w:sz w:val="36"/>
          <w:szCs w:val="36"/>
          <w:u w:val="none"/>
        </w:rPr>
        <w:t xml:space="preserve">   年    月   日</w:t>
      </w:r>
    </w:p>
    <w:p>
      <w:pPr>
        <w:keepNext w:val="0"/>
        <w:keepLines w:val="0"/>
        <w:pageBreakBefore w:val="0"/>
        <w:kinsoku/>
        <w:overflowPunct/>
        <w:topLinePunct w:val="0"/>
        <w:autoSpaceDE/>
        <w:autoSpaceDN/>
        <w:bidi w:val="0"/>
        <w:adjustRightInd/>
        <w:snapToGrid/>
        <w:spacing w:line="590" w:lineRule="exact"/>
        <w:textAlignment w:val="auto"/>
        <w:outlineLvl w:val="9"/>
        <w:rPr>
          <w:rFonts w:ascii="仿宋" w:hAnsi="仿宋" w:eastAsia="仿宋"/>
          <w:b/>
          <w:sz w:val="32"/>
          <w:szCs w:val="32"/>
          <w:u w:val="none"/>
        </w:rPr>
      </w:pPr>
    </w:p>
    <w:p>
      <w:pPr>
        <w:keepNext w:val="0"/>
        <w:keepLines w:val="0"/>
        <w:pageBreakBefore w:val="0"/>
        <w:kinsoku/>
        <w:overflowPunct/>
        <w:topLinePunct w:val="0"/>
        <w:autoSpaceDE/>
        <w:autoSpaceDN/>
        <w:bidi w:val="0"/>
        <w:adjustRightInd/>
        <w:snapToGrid/>
        <w:spacing w:line="590" w:lineRule="exact"/>
        <w:textAlignment w:val="auto"/>
        <w:outlineLvl w:val="9"/>
        <w:rPr>
          <w:rFonts w:ascii="仿宋" w:hAnsi="仿宋" w:eastAsia="仿宋"/>
          <w:b/>
          <w:sz w:val="32"/>
          <w:szCs w:val="32"/>
          <w:u w:val="none"/>
        </w:rPr>
      </w:pPr>
    </w:p>
    <w:p>
      <w:pPr>
        <w:pStyle w:val="2"/>
        <w:jc w:val="center"/>
        <w:rPr>
          <w:rFonts w:hint="eastAsia" w:ascii="方正小标宋简体" w:hAnsi="方正小标宋简体" w:eastAsia="方正小标宋简体" w:cs="方正小标宋简体"/>
          <w:b w:val="0"/>
          <w:bCs w:val="0"/>
          <w:kern w:val="2"/>
          <w:sz w:val="44"/>
          <w:szCs w:val="44"/>
          <w:u w:val="none"/>
          <w:lang w:val="en-US" w:eastAsia="zh-CN" w:bidi="ar-SA"/>
        </w:rPr>
      </w:pPr>
    </w:p>
    <w:p>
      <w:pPr>
        <w:pStyle w:val="2"/>
        <w:jc w:val="center"/>
        <w:rPr>
          <w:rFonts w:hint="eastAsia" w:ascii="方正小标宋简体" w:hAnsi="方正小标宋简体" w:eastAsia="方正小标宋简体" w:cs="方正小标宋简体"/>
          <w:b w:val="0"/>
          <w:bCs w:val="0"/>
          <w:kern w:val="2"/>
          <w:sz w:val="44"/>
          <w:szCs w:val="44"/>
          <w:u w:val="none"/>
          <w:lang w:val="en-US" w:eastAsia="zh-CN" w:bidi="ar-SA"/>
        </w:rPr>
      </w:pPr>
    </w:p>
    <w:p>
      <w:pPr>
        <w:pStyle w:val="2"/>
        <w:jc w:val="center"/>
        <w:rPr>
          <w:rFonts w:hint="eastAsia" w:ascii="方正小标宋简体" w:hAnsi="方正小标宋简体" w:eastAsia="方正小标宋简体" w:cs="方正小标宋简体"/>
          <w:b w:val="0"/>
          <w:bCs w:val="0"/>
          <w:kern w:val="2"/>
          <w:sz w:val="44"/>
          <w:szCs w:val="44"/>
          <w:u w:val="none"/>
          <w:lang w:val="en-US" w:eastAsia="zh-CN" w:bidi="ar-SA"/>
        </w:rPr>
      </w:pPr>
    </w:p>
    <w:p>
      <w:pPr>
        <w:pStyle w:val="2"/>
        <w:jc w:val="center"/>
        <w:rPr>
          <w:rFonts w:hint="eastAsia" w:ascii="方正小标宋简体" w:hAnsi="方正小标宋简体" w:eastAsia="方正小标宋简体" w:cs="方正小标宋简体"/>
          <w:b w:val="0"/>
          <w:bCs w:val="0"/>
          <w:kern w:val="2"/>
          <w:sz w:val="44"/>
          <w:szCs w:val="44"/>
          <w:u w:val="none"/>
          <w:lang w:val="en-US" w:eastAsia="zh-CN" w:bidi="ar-SA"/>
        </w:rPr>
      </w:pPr>
    </w:p>
    <w:p>
      <w:pPr>
        <w:pStyle w:val="2"/>
        <w:ind w:firstLine="0" w:firstLineChars="0"/>
        <w:jc w:val="center"/>
        <w:rPr>
          <w:rFonts w:hint="eastAsia" w:ascii="方正小标宋简体" w:hAnsi="方正小标宋简体" w:eastAsia="方正小标宋简体" w:cs="方正小标宋简体"/>
          <w:b w:val="0"/>
          <w:bCs w:val="0"/>
          <w:kern w:val="2"/>
          <w:sz w:val="44"/>
          <w:szCs w:val="44"/>
          <w:u w:val="none"/>
          <w:lang w:val="en-US" w:eastAsia="zh-CN" w:bidi="ar-SA"/>
        </w:rPr>
      </w:pPr>
      <w:r>
        <w:rPr>
          <w:rFonts w:hint="eastAsia" w:ascii="方正小标宋简体" w:hAnsi="方正小标宋简体" w:eastAsia="方正小标宋简体" w:cs="方正小标宋简体"/>
          <w:b w:val="0"/>
          <w:bCs w:val="0"/>
          <w:kern w:val="2"/>
          <w:sz w:val="44"/>
          <w:szCs w:val="44"/>
          <w:u w:val="none"/>
          <w:lang w:val="en-US" w:eastAsia="zh-CN" w:bidi="ar-SA"/>
        </w:rPr>
        <w:t>填表说明</w:t>
      </w:r>
    </w:p>
    <w:p>
      <w:pPr>
        <w:pStyle w:val="2"/>
        <w:jc w:val="center"/>
        <w:rPr>
          <w:rFonts w:hint="eastAsia" w:ascii="方正小标宋简体" w:hAnsi="方正小标宋简体" w:eastAsia="方正小标宋简体" w:cs="方正小标宋简体"/>
          <w:b w:val="0"/>
          <w:bCs w:val="0"/>
          <w:kern w:val="2"/>
          <w:sz w:val="44"/>
          <w:szCs w:val="44"/>
          <w:u w:val="none"/>
          <w:lang w:val="en-US" w:eastAsia="zh-CN" w:bidi="ar-SA"/>
        </w:rPr>
      </w:pPr>
    </w:p>
    <w:p>
      <w:pPr>
        <w:pStyle w:val="2"/>
        <w:jc w:val="left"/>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1.请在阅读《深圳市安全教育基地评定指引》《深圳市安全教育基地星级评定分值表》的基础上填写申报</w:t>
      </w:r>
      <w:r>
        <w:rPr>
          <w:rFonts w:hint="eastAsia" w:cs="仿宋_GB2312"/>
          <w:b w:val="0"/>
          <w:bCs w:val="0"/>
          <w:kern w:val="2"/>
          <w:sz w:val="32"/>
          <w:szCs w:val="32"/>
          <w:u w:val="none"/>
          <w:lang w:val="en-US" w:eastAsia="zh-CN" w:bidi="ar-SA"/>
        </w:rPr>
        <w:t>审核</w:t>
      </w:r>
      <w:r>
        <w:rPr>
          <w:rFonts w:hint="eastAsia" w:ascii="仿宋_GB2312" w:hAnsi="仿宋_GB2312" w:eastAsia="仿宋_GB2312" w:cs="仿宋_GB2312"/>
          <w:b w:val="0"/>
          <w:bCs w:val="0"/>
          <w:kern w:val="2"/>
          <w:sz w:val="32"/>
          <w:szCs w:val="32"/>
          <w:u w:val="none"/>
          <w:lang w:val="en-US" w:eastAsia="zh-CN" w:bidi="ar-SA"/>
        </w:rPr>
        <w:t>表，各项内容必须真实客观、准确清晰。</w:t>
      </w:r>
    </w:p>
    <w:p>
      <w:pPr>
        <w:pStyle w:val="2"/>
        <w:jc w:val="left"/>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2.表中文字表述部分一律采用</w:t>
      </w:r>
      <w:r>
        <w:rPr>
          <w:rFonts w:hint="eastAsia" w:cs="仿宋_GB2312"/>
          <w:b w:val="0"/>
          <w:bCs w:val="0"/>
          <w:kern w:val="2"/>
          <w:sz w:val="32"/>
          <w:szCs w:val="32"/>
          <w:u w:val="none"/>
          <w:lang w:val="en-US" w:eastAsia="zh-CN" w:bidi="ar-SA"/>
        </w:rPr>
        <w:t>三</w:t>
      </w:r>
      <w:r>
        <w:rPr>
          <w:rFonts w:hint="eastAsia" w:ascii="仿宋_GB2312" w:hAnsi="仿宋_GB2312" w:eastAsia="仿宋_GB2312" w:cs="仿宋_GB2312"/>
          <w:b w:val="0"/>
          <w:bCs w:val="0"/>
          <w:kern w:val="2"/>
          <w:sz w:val="32"/>
          <w:szCs w:val="32"/>
          <w:u w:val="none"/>
          <w:lang w:val="en-US" w:eastAsia="zh-CN" w:bidi="ar-SA"/>
        </w:rPr>
        <w:t>号宋体字;表中有选择项的栏目，请在相应项的口内打勾。</w:t>
      </w:r>
    </w:p>
    <w:p>
      <w:pPr>
        <w:pStyle w:val="2"/>
        <w:jc w:val="left"/>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3.本表及附件资料用 A4 纸打印，左侧装订，不必另行制作封面不宜采用胶圈、文件夹等带有突出棱边的装订方式。</w:t>
      </w:r>
    </w:p>
    <w:p>
      <w:pPr>
        <w:pStyle w:val="2"/>
        <w:jc w:val="left"/>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kern w:val="2"/>
          <w:sz w:val="32"/>
          <w:szCs w:val="32"/>
          <w:u w:val="none"/>
          <w:lang w:val="en-US" w:eastAsia="zh-CN" w:bidi="ar-SA"/>
        </w:rPr>
        <w:t>4.应严格按照本表格式填写和打印，不得自行改变版式、删除和增加栏目。</w:t>
      </w:r>
    </w:p>
    <w:p>
      <w:pPr>
        <w:pStyle w:val="2"/>
      </w:pPr>
    </w:p>
    <w:p>
      <w:pPr>
        <w:pStyle w:val="2"/>
      </w:pPr>
    </w:p>
    <w:p>
      <w:pPr>
        <w:pStyle w:val="2"/>
        <w:ind w:left="0" w:leftChars="0" w:firstLine="0" w:firstLineChars="0"/>
        <w:jc w:val="both"/>
        <w:rPr>
          <w:rFonts w:hint="eastAsia" w:ascii="方正小标宋简体" w:hAnsi="宋体" w:eastAsia="方正小标宋简体" w:cs="宋体"/>
          <w:bCs/>
          <w:color w:val="000000"/>
          <w:sz w:val="44"/>
          <w:szCs w:val="44"/>
          <w:u w:val="none"/>
        </w:rPr>
      </w:pPr>
    </w:p>
    <w:p>
      <w:pPr>
        <w:pStyle w:val="2"/>
        <w:ind w:left="0" w:leftChars="0" w:firstLine="0" w:firstLineChars="0"/>
        <w:jc w:val="both"/>
        <w:rPr>
          <w:rFonts w:hint="eastAsia" w:ascii="方正小标宋简体" w:hAnsi="宋体" w:eastAsia="方正小标宋简体" w:cs="宋体"/>
          <w:bCs/>
          <w:color w:val="000000"/>
          <w:sz w:val="44"/>
          <w:szCs w:val="44"/>
          <w:u w:val="none"/>
        </w:rPr>
      </w:pPr>
    </w:p>
    <w:p>
      <w:pPr>
        <w:pStyle w:val="2"/>
        <w:ind w:left="0" w:leftChars="0" w:firstLine="0" w:firstLineChars="0"/>
        <w:jc w:val="both"/>
        <w:rPr>
          <w:rFonts w:hint="eastAsia" w:ascii="方正小标宋简体" w:hAnsi="宋体" w:eastAsia="方正小标宋简体" w:cs="宋体"/>
          <w:bCs/>
          <w:color w:val="000000"/>
          <w:sz w:val="44"/>
          <w:szCs w:val="44"/>
          <w:u w:val="none"/>
        </w:rPr>
      </w:pP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1366"/>
        <w:gridCol w:w="1114"/>
        <w:gridCol w:w="1719"/>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center"/>
              <w:rPr>
                <w:rFonts w:hint="eastAsia" w:ascii="仿宋_GB2312" w:hAnsi="仿宋_GB2312" w:eastAsia="仿宋_GB2312" w:cs="仿宋_GB2312"/>
                <w:b w:val="0"/>
                <w:bCs/>
                <w:sz w:val="24"/>
                <w:szCs w:val="24"/>
                <w:u w:val="none"/>
              </w:rPr>
            </w:pPr>
            <w:r>
              <w:rPr>
                <w:rFonts w:hint="eastAsia" w:ascii="方正小标宋简体" w:hAnsi="方正小标宋简体" w:eastAsia="方正小标宋简体" w:cs="方正小标宋简体"/>
                <w:bCs/>
                <w:color w:val="000000"/>
                <w:sz w:val="44"/>
                <w:szCs w:val="44"/>
                <w:u w:val="none"/>
              </w:rPr>
              <w:t>深圳市安全教育基地</w:t>
            </w:r>
            <w:r>
              <w:rPr>
                <w:rFonts w:hint="eastAsia" w:ascii="方正小标宋简体" w:hAnsi="方正小标宋简体" w:eastAsia="方正小标宋简体" w:cs="方正小标宋简体"/>
                <w:bCs/>
                <w:color w:val="000000"/>
                <w:sz w:val="44"/>
                <w:szCs w:val="44"/>
                <w:u w:val="none"/>
                <w:lang w:val="en-US" w:eastAsia="zh-CN"/>
              </w:rPr>
              <w:t>星级评定</w:t>
            </w:r>
            <w:r>
              <w:rPr>
                <w:rFonts w:hint="eastAsia" w:ascii="方正小标宋简体" w:hAnsi="方正小标宋简体" w:eastAsia="方正小标宋简体" w:cs="方正小标宋简体"/>
                <w:bCs/>
                <w:color w:val="000000"/>
                <w:sz w:val="44"/>
                <w:szCs w:val="44"/>
                <w:u w:val="none"/>
              </w:rPr>
              <w:t>申报审核表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color w:val="000000"/>
                <w:sz w:val="24"/>
                <w:szCs w:val="24"/>
                <w:u w:val="none"/>
                <w:lang w:val="en-US" w:eastAsia="zh-CN"/>
              </w:rPr>
            </w:pPr>
            <w:r>
              <w:rPr>
                <w:rFonts w:hint="eastAsia" w:ascii="仿宋_GB2312" w:hAnsi="仿宋_GB2312" w:eastAsia="仿宋_GB2312" w:cs="仿宋_GB2312"/>
                <w:b w:val="0"/>
                <w:bCs/>
                <w:color w:val="000000"/>
                <w:sz w:val="24"/>
                <w:szCs w:val="24"/>
                <w:u w:val="none"/>
                <w:lang w:val="en-US" w:eastAsia="zh-CN"/>
              </w:rPr>
              <w:t>基地名称</w:t>
            </w:r>
          </w:p>
        </w:tc>
        <w:tc>
          <w:tcPr>
            <w:tcW w:w="3836"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color w:val="000000"/>
                <w:sz w:val="24"/>
                <w:szCs w:val="24"/>
                <w:u w:val="none"/>
              </w:rPr>
            </w:pPr>
            <w:r>
              <w:rPr>
                <w:rFonts w:hint="eastAsia" w:ascii="仿宋_GB2312" w:hAnsi="仿宋_GB2312" w:eastAsia="仿宋_GB2312" w:cs="仿宋_GB2312"/>
                <w:b w:val="0"/>
                <w:bCs/>
                <w:color w:val="000000"/>
                <w:sz w:val="24"/>
                <w:szCs w:val="24"/>
                <w:u w:val="none"/>
              </w:rPr>
              <w:t>地址</w:t>
            </w:r>
          </w:p>
        </w:tc>
        <w:tc>
          <w:tcPr>
            <w:tcW w:w="3836"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color w:val="000000"/>
                <w:sz w:val="24"/>
                <w:szCs w:val="24"/>
                <w:u w:val="none"/>
              </w:rPr>
            </w:pPr>
            <w:r>
              <w:rPr>
                <w:rFonts w:hint="eastAsia" w:ascii="仿宋_GB2312" w:hAnsi="仿宋_GB2312" w:eastAsia="仿宋_GB2312" w:cs="仿宋_GB2312"/>
                <w:b w:val="0"/>
                <w:bCs/>
                <w:sz w:val="24"/>
                <w:szCs w:val="24"/>
                <w:u w:val="none"/>
                <w:lang w:val="en-US" w:eastAsia="zh-CN"/>
              </w:rPr>
              <w:t>负责人</w:t>
            </w:r>
          </w:p>
        </w:tc>
        <w:tc>
          <w:tcPr>
            <w:tcW w:w="136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rPr>
            </w:pPr>
          </w:p>
        </w:tc>
        <w:tc>
          <w:tcPr>
            <w:tcW w:w="9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rPr>
            </w:pPr>
            <w:r>
              <w:rPr>
                <w:rFonts w:hint="eastAsia" w:ascii="仿宋_GB2312" w:hAnsi="仿宋_GB2312" w:eastAsia="仿宋_GB2312" w:cs="仿宋_GB2312"/>
                <w:b w:val="0"/>
                <w:bCs/>
                <w:sz w:val="24"/>
                <w:szCs w:val="24"/>
                <w:u w:val="none"/>
                <w:lang w:val="en-US" w:eastAsia="zh-CN"/>
              </w:rPr>
              <w:t>联系</w:t>
            </w:r>
            <w:r>
              <w:rPr>
                <w:rFonts w:hint="eastAsia" w:ascii="仿宋_GB2312" w:hAnsi="仿宋_GB2312" w:eastAsia="仿宋_GB2312" w:cs="仿宋_GB2312"/>
                <w:b w:val="0"/>
                <w:bCs/>
                <w:sz w:val="24"/>
                <w:szCs w:val="24"/>
                <w:u w:val="none"/>
              </w:rPr>
              <w:t>电话</w:t>
            </w:r>
          </w:p>
        </w:tc>
        <w:tc>
          <w:tcPr>
            <w:tcW w:w="15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val="en-US" w:eastAsia="zh-CN"/>
              </w:rPr>
              <w:t>电子邮箱</w:t>
            </w:r>
          </w:p>
        </w:tc>
        <w:tc>
          <w:tcPr>
            <w:tcW w:w="3836"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val="en-US" w:eastAsia="zh-CN"/>
              </w:rPr>
              <w:t>上级主管部门</w:t>
            </w:r>
          </w:p>
        </w:tc>
        <w:tc>
          <w:tcPr>
            <w:tcW w:w="136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rPr>
            </w:pPr>
          </w:p>
        </w:tc>
        <w:tc>
          <w:tcPr>
            <w:tcW w:w="9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rPr>
            </w:pPr>
            <w:r>
              <w:rPr>
                <w:rFonts w:hint="eastAsia" w:ascii="仿宋_GB2312" w:hAnsi="仿宋_GB2312" w:eastAsia="仿宋_GB2312" w:cs="仿宋_GB2312"/>
                <w:b w:val="0"/>
                <w:bCs/>
                <w:sz w:val="24"/>
                <w:szCs w:val="24"/>
                <w:u w:val="none"/>
                <w:lang w:val="en-US" w:eastAsia="zh-CN"/>
              </w:rPr>
              <w:t>基地建立时间</w:t>
            </w:r>
          </w:p>
        </w:tc>
        <w:tc>
          <w:tcPr>
            <w:tcW w:w="15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1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val="en-US" w:eastAsia="zh-CN"/>
              </w:rPr>
              <w:t>开放天数</w:t>
            </w:r>
            <w:r>
              <w:rPr>
                <w:rFonts w:hint="eastAsia" w:ascii="仿宋_GB2312" w:hAnsi="仿宋_GB2312" w:eastAsia="仿宋_GB2312" w:cs="仿宋_GB2312"/>
                <w:b w:val="0"/>
                <w:bCs/>
                <w:sz w:val="24"/>
                <w:szCs w:val="24"/>
                <w:u w:val="none"/>
                <w:lang w:val="en-US" w:eastAsia="zh-CN"/>
              </w:rPr>
              <w:br w:type="textWrapping"/>
            </w:r>
            <w:r>
              <w:rPr>
                <w:rFonts w:hint="eastAsia" w:ascii="仿宋_GB2312" w:hAnsi="仿宋_GB2312" w:eastAsia="仿宋_GB2312" w:cs="仿宋_GB2312"/>
                <w:b w:val="0"/>
                <w:bCs/>
                <w:sz w:val="24"/>
                <w:szCs w:val="24"/>
                <w:u w:val="none"/>
                <w:lang w:val="en-US" w:eastAsia="zh-CN"/>
              </w:rPr>
              <w:t>（天/年）</w:t>
            </w:r>
          </w:p>
        </w:tc>
        <w:tc>
          <w:tcPr>
            <w:tcW w:w="136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lang w:val="en-US" w:eastAsia="zh-CN"/>
              </w:rPr>
            </w:pPr>
          </w:p>
        </w:tc>
        <w:tc>
          <w:tcPr>
            <w:tcW w:w="9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val="en-US" w:eastAsia="zh-CN"/>
              </w:rPr>
              <w:t>场地规模</w:t>
            </w:r>
          </w:p>
        </w:tc>
        <w:tc>
          <w:tcPr>
            <w:tcW w:w="151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仿宋_GB2312" w:hAnsi="仿宋_GB2312" w:cs="仿宋_GB2312"/>
              </w:rPr>
            </w:pPr>
            <w:r>
              <w:rPr>
                <w:rFonts w:hint="eastAsia" w:ascii="仿宋_GB2312" w:hAnsi="仿宋_GB2312" w:eastAsia="仿宋_GB2312" w:cs="仿宋_GB2312"/>
                <w:b w:val="0"/>
                <w:bCs/>
                <w:sz w:val="24"/>
                <w:szCs w:val="24"/>
                <w:u w:val="none"/>
                <w:lang w:val="en-US" w:eastAsia="zh-CN"/>
              </w:rPr>
              <w:t>总面积________㎡,其中建筑面积________㎡，室外面积________㎡，</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val="en-US" w:eastAsia="zh-CN"/>
              </w:rPr>
              <w:t>设有______个科普展区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163"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val="en-US" w:eastAsia="zh-CN"/>
              </w:rPr>
              <w:t>参观</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val="en-US" w:eastAsia="zh-CN"/>
              </w:rPr>
              <w:t>接待</w:t>
            </w:r>
          </w:p>
        </w:tc>
        <w:tc>
          <w:tcPr>
            <w:tcW w:w="3836"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Cs/>
                <w:sz w:val="24"/>
              </w:rPr>
              <w:t>参观接待人次：202</w:t>
            </w:r>
            <w:r>
              <w:rPr>
                <w:rFonts w:hint="eastAsia" w:ascii="仿宋_GB2312" w:hAnsi="仿宋_GB2312" w:eastAsia="仿宋_GB2312" w:cs="仿宋_GB2312"/>
                <w:bCs/>
                <w:sz w:val="24"/>
                <w:lang w:val="en-US" w:eastAsia="zh-CN"/>
              </w:rPr>
              <w:t>2</w:t>
            </w:r>
            <w:r>
              <w:rPr>
                <w:rFonts w:hint="eastAsia" w:ascii="仿宋_GB2312" w:hAnsi="仿宋_GB2312" w:eastAsia="仿宋_GB2312" w:cs="仿宋_GB2312"/>
                <w:bCs/>
                <w:sz w:val="24"/>
              </w:rPr>
              <w:t>年</w:t>
            </w:r>
            <w:r>
              <w:rPr>
                <w:rFonts w:hint="eastAsia" w:ascii="仿宋_GB2312" w:hAnsi="仿宋_GB2312" w:eastAsia="仿宋_GB2312" w:cs="仿宋_GB2312"/>
                <w:bCs/>
                <w:sz w:val="24"/>
                <w:u w:val="single"/>
                <w:lang w:val="en-US" w:eastAsia="zh-CN"/>
              </w:rPr>
              <w:t xml:space="preserve">       </w:t>
            </w:r>
            <w:r>
              <w:rPr>
                <w:rFonts w:hint="eastAsia" w:ascii="仿宋_GB2312" w:hAnsi="仿宋_GB2312" w:eastAsia="仿宋_GB2312" w:cs="仿宋_GB2312"/>
                <w:bCs/>
                <w:sz w:val="24"/>
                <w:u w:val="none"/>
                <w:lang w:val="en-US" w:eastAsia="zh-CN"/>
              </w:rPr>
              <w:t>人 ；</w:t>
            </w:r>
            <w:r>
              <w:rPr>
                <w:rFonts w:hint="eastAsia" w:ascii="仿宋_GB2312" w:hAnsi="仿宋_GB2312" w:eastAsia="仿宋_GB2312" w:cs="仿宋_GB2312"/>
                <w:b w:val="0"/>
                <w:bCs/>
                <w:sz w:val="24"/>
                <w:szCs w:val="24"/>
                <w:u w:val="none"/>
                <w:lang w:val="en-US" w:eastAsia="zh-CN"/>
              </w:rPr>
              <w:t>2023年</w:t>
            </w:r>
            <w:r>
              <w:rPr>
                <w:rFonts w:hint="eastAsia" w:ascii="仿宋_GB2312" w:hAnsi="仿宋_GB2312" w:eastAsia="仿宋_GB2312" w:cs="仿宋_GB2312"/>
                <w:b w:val="0"/>
                <w:bCs/>
                <w:sz w:val="24"/>
                <w:szCs w:val="24"/>
                <w:u w:val="single"/>
                <w:lang w:val="en-US" w:eastAsia="zh-CN"/>
              </w:rPr>
              <w:t xml:space="preserve">       </w:t>
            </w:r>
            <w:r>
              <w:rPr>
                <w:rFonts w:hint="eastAsia" w:ascii="仿宋_GB2312" w:hAnsi="仿宋_GB2312" w:eastAsia="仿宋_GB2312" w:cs="仿宋_GB2312"/>
                <w:b w:val="0"/>
                <w:bCs/>
                <w:sz w:val="24"/>
                <w:szCs w:val="24"/>
                <w:u w:val="none"/>
                <w:lang w:val="en-US" w:eastAsia="zh-CN"/>
              </w:rPr>
              <w:t xml:space="preserve">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163"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lang w:val="en-US" w:eastAsia="zh-CN"/>
              </w:rPr>
            </w:pPr>
          </w:p>
        </w:tc>
        <w:tc>
          <w:tcPr>
            <w:tcW w:w="3836"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val="en-US" w:eastAsia="zh-CN"/>
              </w:rPr>
              <w:t>单日最多可接待人次：</w:t>
            </w:r>
            <w:r>
              <w:rPr>
                <w:rFonts w:hint="eastAsia" w:ascii="仿宋_GB2312" w:hAnsi="仿宋_GB2312" w:eastAsia="仿宋_GB2312" w:cs="仿宋_GB2312"/>
                <w:b w:val="0"/>
                <w:bCs/>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1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val="en-US" w:eastAsia="zh-CN"/>
              </w:rPr>
              <w:t>基地性质</w:t>
            </w:r>
          </w:p>
        </w:tc>
        <w:tc>
          <w:tcPr>
            <w:tcW w:w="3836"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72" w:firstLineChars="200"/>
              <w:jc w:val="both"/>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val="en-US" w:eastAsia="zh-CN"/>
              </w:rPr>
              <w:t>□面向社会群众开放     □学校、企事业单位内部使用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val="en-US" w:eastAsia="zh-CN"/>
              </w:rPr>
              <w:t>基地类型</w:t>
            </w:r>
          </w:p>
        </w:tc>
        <w:tc>
          <w:tcPr>
            <w:tcW w:w="3836"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36" w:firstLineChars="100"/>
              <w:jc w:val="both"/>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val="en-US" w:eastAsia="zh-CN"/>
              </w:rPr>
              <w:t>□综合类          □专业类，宣传主题</w:t>
            </w:r>
            <w:r>
              <w:rPr>
                <w:rFonts w:hint="eastAsia" w:ascii="仿宋_GB2312" w:hAnsi="仿宋_GB2312" w:eastAsia="仿宋_GB2312" w:cs="仿宋_GB2312"/>
                <w:b w:val="0"/>
                <w:bCs/>
                <w:sz w:val="24"/>
                <w:szCs w:val="24"/>
                <w:u w:val="single"/>
                <w:lang w:val="en-US" w:eastAsia="zh-CN"/>
              </w:rPr>
              <w:t xml:space="preserve">     </w:t>
            </w:r>
            <w:r>
              <w:rPr>
                <w:rFonts w:hint="eastAsia" w:ascii="仿宋_GB2312" w:hAnsi="仿宋_GB2312" w:eastAsia="仿宋_GB2312" w:cs="仿宋_GB2312"/>
                <w:bCs/>
                <w:sz w:val="24"/>
                <w:u w:val="single"/>
              </w:rPr>
              <w:t xml:space="preserve">       </w:t>
            </w:r>
            <w:r>
              <w:rPr>
                <w:rFonts w:hint="eastAsia" w:ascii="仿宋_GB2312" w:hAnsi="仿宋_GB2312" w:eastAsia="仿宋_GB2312" w:cs="仿宋_GB2312"/>
                <w:b w:val="0"/>
                <w:bCs/>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1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val="en-US" w:eastAsia="zh-CN"/>
              </w:rPr>
              <w:t>建设方式</w:t>
            </w:r>
          </w:p>
        </w:tc>
        <w:tc>
          <w:tcPr>
            <w:tcW w:w="3836"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36" w:firstLineChars="100"/>
              <w:jc w:val="both"/>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val="en-US" w:eastAsia="zh-CN"/>
              </w:rPr>
              <w:t>□政府建设  □政企共建  □国企自建  □民企自建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val="en-US" w:eastAsia="zh-CN"/>
              </w:rPr>
              <w:t>运营团队</w:t>
            </w:r>
          </w:p>
        </w:tc>
        <w:tc>
          <w:tcPr>
            <w:tcW w:w="3836"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236" w:firstLineChars="100"/>
              <w:jc w:val="both"/>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val="en-US" w:eastAsia="zh-CN"/>
              </w:rPr>
              <w:t>团队共_________人，其中专职讲解员_________人，物业管理人员________人，持有救护员证、安全生产管理证、AHA证书、应急第一响应人证书等_________人。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163"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val="en-US" w:eastAsia="zh-CN"/>
              </w:rPr>
              <w:t>运营经费</w:t>
            </w:r>
            <w:r>
              <w:rPr>
                <w:rFonts w:hint="eastAsia" w:ascii="仿宋_GB2312" w:hAnsi="仿宋_GB2312" w:eastAsia="仿宋_GB2312" w:cs="仿宋_GB2312"/>
                <w:b w:val="0"/>
                <w:bCs/>
                <w:sz w:val="24"/>
                <w:szCs w:val="24"/>
                <w:u w:val="none"/>
                <w:lang w:val="en-US" w:eastAsia="zh-CN"/>
              </w:rPr>
              <w:br w:type="textWrapping"/>
            </w:r>
            <w:r>
              <w:rPr>
                <w:rFonts w:hint="eastAsia" w:ascii="仿宋_GB2312" w:hAnsi="仿宋_GB2312" w:eastAsia="仿宋_GB2312" w:cs="仿宋_GB2312"/>
                <w:b w:val="0"/>
                <w:bCs/>
                <w:sz w:val="24"/>
                <w:szCs w:val="24"/>
                <w:u w:val="none"/>
                <w:lang w:val="en-US" w:eastAsia="zh-CN"/>
              </w:rPr>
              <w:t>（元）</w:t>
            </w:r>
          </w:p>
        </w:tc>
        <w:tc>
          <w:tcPr>
            <w:tcW w:w="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val="en-US" w:eastAsia="zh-CN"/>
              </w:rPr>
              <w:t>政府拨款</w:t>
            </w:r>
          </w:p>
        </w:tc>
        <w:tc>
          <w:tcPr>
            <w:tcW w:w="3081"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val="en-US" w:eastAsia="zh-CN"/>
              </w:rPr>
              <w:t>2022年________元；2023年_________元。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63"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sz w:val="24"/>
              </w:rPr>
            </w:pPr>
          </w:p>
        </w:tc>
        <w:tc>
          <w:tcPr>
            <w:tcW w:w="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企业出资</w:t>
            </w:r>
          </w:p>
        </w:tc>
        <w:tc>
          <w:tcPr>
            <w:tcW w:w="3081"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val="en-US" w:eastAsia="zh-CN"/>
              </w:rPr>
              <w:t xml:space="preserve">2022年 </w:t>
            </w:r>
            <w:r>
              <w:rPr>
                <w:rFonts w:hint="eastAsia" w:ascii="仿宋_GB2312" w:hAnsi="仿宋_GB2312" w:eastAsia="仿宋_GB2312" w:cs="仿宋_GB2312"/>
                <w:bCs/>
                <w:sz w:val="24"/>
              </w:rPr>
              <w:t>________</w:t>
            </w:r>
            <w:r>
              <w:rPr>
                <w:rFonts w:hint="eastAsia" w:ascii="仿宋_GB2312" w:hAnsi="仿宋_GB2312" w:eastAsia="仿宋_GB2312" w:cs="仿宋_GB2312"/>
                <w:b w:val="0"/>
                <w:bCs/>
                <w:sz w:val="24"/>
                <w:szCs w:val="24"/>
                <w:u w:val="none"/>
                <w:lang w:val="en-US" w:eastAsia="zh-CN"/>
              </w:rPr>
              <w:t>元；2023年_________元。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val="en-US" w:eastAsia="zh-CN"/>
              </w:rPr>
              <w:t>基地网址\微博\微信公众号\其它媒体平台</w:t>
            </w:r>
          </w:p>
        </w:tc>
        <w:tc>
          <w:tcPr>
            <w:tcW w:w="3836"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color w:val="000000"/>
                <w:sz w:val="24"/>
                <w:szCs w:val="24"/>
                <w:u w:val="none"/>
              </w:rPr>
            </w:pPr>
            <w:r>
              <w:rPr>
                <w:rFonts w:hint="eastAsia" w:ascii="仿宋_GB2312" w:hAnsi="仿宋_GB2312" w:eastAsia="仿宋_GB2312" w:cs="仿宋_GB2312"/>
                <w:b w:val="0"/>
                <w:bCs/>
                <w:color w:val="000000"/>
                <w:sz w:val="24"/>
                <w:szCs w:val="24"/>
                <w:u w:val="none"/>
              </w:rPr>
              <w:t>自评得分</w:t>
            </w:r>
          </w:p>
        </w:tc>
        <w:tc>
          <w:tcPr>
            <w:tcW w:w="136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rPr>
            </w:pPr>
          </w:p>
        </w:tc>
        <w:tc>
          <w:tcPr>
            <w:tcW w:w="94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rPr>
            </w:pPr>
            <w:r>
              <w:rPr>
                <w:rFonts w:hint="eastAsia" w:ascii="仿宋_GB2312" w:hAnsi="仿宋_GB2312" w:eastAsia="仿宋_GB2312" w:cs="仿宋_GB2312"/>
                <w:b w:val="0"/>
                <w:bCs/>
                <w:sz w:val="24"/>
                <w:szCs w:val="24"/>
                <w:u w:val="none"/>
              </w:rPr>
              <w:t>考核得分</w:t>
            </w:r>
          </w:p>
        </w:tc>
        <w:tc>
          <w:tcPr>
            <w:tcW w:w="15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val="en-US" w:eastAsia="zh-CN"/>
              </w:rPr>
              <w:t>基地简介（500字以内）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7"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pStyle w:val="2"/>
              <w:wordWrap/>
              <w:rPr>
                <w:rFonts w:hint="eastAsia" w:ascii="仿宋_GB2312" w:hAnsi="仿宋_GB2312" w:eastAsia="仿宋_GB2312" w:cs="仿宋_GB2312"/>
                <w:b w:val="0"/>
                <w:bCs/>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163" w:type="pct"/>
            <w:tcBorders>
              <w:top w:val="single" w:color="auto" w:sz="4" w:space="0"/>
              <w:left w:val="single" w:color="auto" w:sz="4" w:space="0"/>
              <w:right w:val="single" w:color="auto" w:sz="4" w:space="0"/>
            </w:tcBorders>
            <w:noWrap w:val="0"/>
            <w:vAlign w:val="center"/>
          </w:tcPr>
          <w:p>
            <w:pPr>
              <w:rPr>
                <w:rFonts w:hint="eastAsia" w:ascii="仿宋_GB2312" w:hAnsi="仿宋_GB2312" w:cs="仿宋_GB2312"/>
              </w:rPr>
            </w:pPr>
            <w:r>
              <w:rPr>
                <w:rFonts w:hint="eastAsia" w:ascii="仿宋_GB2312" w:hAnsi="仿宋_GB2312" w:eastAsia="仿宋_GB2312" w:cs="仿宋_GB2312"/>
                <w:b w:val="0"/>
                <w:bCs/>
                <w:color w:val="000000"/>
                <w:sz w:val="24"/>
                <w:szCs w:val="24"/>
                <w:u w:val="none"/>
                <w:lang w:val="en-US" w:eastAsia="zh-CN"/>
              </w:rPr>
              <w:t>申报单位意见</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_GB2312" w:eastAsia="仿宋_GB2312" w:cs="仿宋_GB2312"/>
                <w:b w:val="0"/>
                <w:bCs/>
                <w:color w:val="000000"/>
                <w:sz w:val="24"/>
                <w:szCs w:val="24"/>
                <w:u w:val="none"/>
                <w:lang w:val="en-US" w:eastAsia="zh-CN"/>
              </w:rPr>
            </w:pPr>
          </w:p>
        </w:tc>
        <w:tc>
          <w:tcPr>
            <w:tcW w:w="3836" w:type="pct"/>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adjustRightInd/>
              <w:snapToGrid/>
              <w:spacing w:line="590" w:lineRule="exact"/>
              <w:ind w:firstLine="3540" w:firstLineChars="1500"/>
              <w:jc w:val="both"/>
              <w:textAlignment w:val="auto"/>
              <w:outlineLvl w:val="9"/>
              <w:rPr>
                <w:rFonts w:hint="eastAsia" w:ascii="仿宋_GB2312" w:hAnsi="仿宋_GB2312" w:eastAsia="仿宋_GB2312" w:cs="仿宋_GB2312"/>
                <w:b w:val="0"/>
                <w:bCs/>
                <w:sz w:val="24"/>
                <w:szCs w:val="24"/>
                <w:u w:val="none"/>
                <w:lang w:eastAsia="zh-CN"/>
              </w:rPr>
            </w:pPr>
          </w:p>
          <w:p>
            <w:pPr>
              <w:keepNext w:val="0"/>
              <w:keepLines w:val="0"/>
              <w:pageBreakBefore w:val="0"/>
              <w:kinsoku/>
              <w:wordWrap/>
              <w:overflowPunct/>
              <w:topLinePunct w:val="0"/>
              <w:autoSpaceDE/>
              <w:autoSpaceDN/>
              <w:bidi w:val="0"/>
              <w:adjustRightInd/>
              <w:snapToGrid/>
              <w:spacing w:line="590" w:lineRule="exact"/>
              <w:ind w:firstLine="3540" w:firstLineChars="1500"/>
              <w:jc w:val="both"/>
              <w:textAlignment w:val="auto"/>
              <w:outlineLvl w:val="9"/>
              <w:rPr>
                <w:rFonts w:hint="eastAsia" w:ascii="仿宋_GB2312" w:hAnsi="仿宋_GB2312" w:eastAsia="仿宋_GB2312" w:cs="仿宋_GB2312"/>
                <w:b w:val="0"/>
                <w:bCs/>
                <w:sz w:val="24"/>
                <w:szCs w:val="24"/>
                <w:u w:val="none"/>
                <w:lang w:eastAsia="zh-CN"/>
              </w:rPr>
            </w:pPr>
          </w:p>
          <w:p>
            <w:pPr>
              <w:keepNext w:val="0"/>
              <w:keepLines w:val="0"/>
              <w:pageBreakBefore w:val="0"/>
              <w:kinsoku/>
              <w:wordWrap/>
              <w:overflowPunct/>
              <w:topLinePunct w:val="0"/>
              <w:autoSpaceDE/>
              <w:autoSpaceDN/>
              <w:bidi w:val="0"/>
              <w:adjustRightInd/>
              <w:snapToGrid/>
              <w:spacing w:line="590" w:lineRule="exact"/>
              <w:ind w:firstLine="3540" w:firstLineChars="1500"/>
              <w:jc w:val="both"/>
              <w:textAlignment w:val="auto"/>
              <w:outlineLvl w:val="9"/>
              <w:rPr>
                <w:rFonts w:hint="eastAsia" w:ascii="仿宋_GB2312" w:hAnsi="仿宋_GB2312" w:eastAsia="仿宋_GB2312" w:cs="仿宋_GB2312"/>
                <w:b w:val="0"/>
                <w:bCs/>
                <w:sz w:val="24"/>
                <w:szCs w:val="24"/>
                <w:u w:val="none"/>
                <w:lang w:eastAsia="zh-CN"/>
              </w:rPr>
            </w:pPr>
            <w:r>
              <w:rPr>
                <w:rFonts w:hint="eastAsia" w:ascii="仿宋_GB2312" w:hAnsi="仿宋_GB2312" w:eastAsia="仿宋_GB2312" w:cs="仿宋_GB2312"/>
                <w:b w:val="0"/>
                <w:bCs/>
                <w:sz w:val="24"/>
                <w:szCs w:val="24"/>
                <w:u w:val="none"/>
                <w:lang w:eastAsia="zh-CN"/>
              </w:rPr>
              <w:t>申报单位：（盖章）</w:t>
            </w:r>
          </w:p>
          <w:p>
            <w:pPr>
              <w:rPr>
                <w:rFonts w:hint="eastAsia" w:ascii="仿宋_GB2312" w:hAnsi="仿宋_GB2312" w:cs="仿宋_GB2312"/>
              </w:rPr>
            </w:pPr>
            <w:r>
              <w:rPr>
                <w:rFonts w:hint="eastAsia" w:ascii="仿宋_GB2312" w:hAnsi="仿宋_GB2312" w:eastAsia="仿宋_GB2312" w:cs="仿宋_GB2312"/>
                <w:b w:val="0"/>
                <w:bCs/>
                <w:sz w:val="24"/>
                <w:szCs w:val="24"/>
                <w:u w:val="none"/>
                <w:lang w:val="en-US" w:eastAsia="zh-CN"/>
              </w:rPr>
              <w:t xml:space="preserve">                                             年  月  日</w:t>
            </w:r>
          </w:p>
          <w:p>
            <w:pPr>
              <w:keepNext w:val="0"/>
              <w:keepLines w:val="0"/>
              <w:pageBreakBefore w:val="0"/>
              <w:kinsoku/>
              <w:overflowPunct/>
              <w:topLinePunct w:val="0"/>
              <w:autoSpaceDE/>
              <w:autoSpaceDN/>
              <w:bidi w:val="0"/>
              <w:adjustRightInd/>
              <w:snapToGrid/>
              <w:spacing w:line="590" w:lineRule="exact"/>
              <w:jc w:val="both"/>
              <w:textAlignment w:val="auto"/>
              <w:outlineLvl w:val="9"/>
              <w:rPr>
                <w:rFonts w:hint="eastAsia" w:ascii="仿宋_GB2312" w:hAnsi="仿宋_GB2312" w:eastAsia="仿宋_GB2312" w:cs="仿宋_GB2312"/>
                <w:b w:val="0"/>
                <w:bCs/>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jc w:val="center"/>
        </w:trPr>
        <w:tc>
          <w:tcPr>
            <w:tcW w:w="1163" w:type="pct"/>
            <w:tcBorders>
              <w:top w:val="single" w:color="auto" w:sz="4" w:space="0"/>
              <w:left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_GB2312" w:eastAsia="仿宋_GB2312" w:cs="仿宋_GB2312"/>
                <w:b w:val="0"/>
                <w:bCs/>
                <w:color w:val="000000"/>
                <w:sz w:val="24"/>
                <w:szCs w:val="24"/>
                <w:u w:val="none"/>
                <w:lang w:val="en-US" w:eastAsia="zh-CN"/>
              </w:rPr>
            </w:pPr>
            <w:r>
              <w:rPr>
                <w:rFonts w:hint="eastAsia" w:ascii="仿宋_GB2312" w:hAnsi="仿宋_GB2312" w:eastAsia="仿宋_GB2312" w:cs="仿宋_GB2312"/>
                <w:b w:val="0"/>
                <w:bCs/>
                <w:color w:val="000000"/>
                <w:sz w:val="24"/>
                <w:szCs w:val="24"/>
                <w:u w:val="none"/>
                <w:lang w:val="en-US" w:eastAsia="zh-CN"/>
              </w:rPr>
              <w:t>市安委会成员</w:t>
            </w:r>
          </w:p>
          <w:p>
            <w:pPr>
              <w:keepNext w:val="0"/>
              <w:keepLines w:val="0"/>
              <w:pageBreakBefore w:val="0"/>
              <w:kinsoku/>
              <w:overflowPunct/>
              <w:topLinePunct w:val="0"/>
              <w:autoSpaceDE/>
              <w:autoSpaceDN/>
              <w:bidi w:val="0"/>
              <w:adjustRightInd/>
              <w:snapToGrid/>
              <w:spacing w:line="590" w:lineRule="exact"/>
              <w:jc w:val="center"/>
              <w:textAlignment w:val="auto"/>
              <w:outlineLvl w:val="9"/>
              <w:rPr>
                <w:rFonts w:hint="eastAsia" w:ascii="仿宋_GB2312" w:hAnsi="仿宋_GB2312" w:eastAsia="仿宋_GB2312" w:cs="仿宋_GB2312"/>
                <w:b w:val="0"/>
                <w:bCs/>
                <w:color w:val="000000"/>
                <w:sz w:val="24"/>
                <w:szCs w:val="24"/>
                <w:u w:val="none"/>
                <w:lang w:val="en-US" w:eastAsia="zh-CN"/>
              </w:rPr>
            </w:pPr>
            <w:r>
              <w:rPr>
                <w:rFonts w:hint="eastAsia" w:ascii="仿宋_GB2312" w:hAnsi="仿宋_GB2312" w:eastAsia="仿宋_GB2312" w:cs="仿宋_GB2312"/>
                <w:b w:val="0"/>
                <w:bCs/>
                <w:color w:val="000000"/>
                <w:sz w:val="24"/>
                <w:szCs w:val="24"/>
                <w:u w:val="none"/>
                <w:lang w:val="en-US" w:eastAsia="zh-CN"/>
              </w:rPr>
              <w:t>单位（或区安委办）</w:t>
            </w:r>
            <w:r>
              <w:rPr>
                <w:rFonts w:hint="eastAsia" w:ascii="仿宋_GB2312" w:hAnsi="仿宋_GB2312" w:eastAsia="仿宋_GB2312" w:cs="仿宋_GB2312"/>
                <w:b w:val="0"/>
                <w:bCs/>
                <w:color w:val="000000"/>
                <w:sz w:val="24"/>
                <w:szCs w:val="24"/>
                <w:u w:val="none"/>
                <w:lang w:eastAsia="zh-CN"/>
              </w:rPr>
              <w:t>推荐意见</w:t>
            </w:r>
          </w:p>
        </w:tc>
        <w:tc>
          <w:tcPr>
            <w:tcW w:w="3836" w:type="pct"/>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autoSpaceDE/>
              <w:autoSpaceDN/>
              <w:bidi w:val="0"/>
              <w:adjustRightInd/>
              <w:snapToGrid/>
              <w:spacing w:line="590" w:lineRule="exact"/>
              <w:jc w:val="right"/>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eastAsia="zh-CN"/>
              </w:rPr>
              <w:t>推荐单位（盖章）</w:t>
            </w:r>
            <w:r>
              <w:rPr>
                <w:rFonts w:hint="eastAsia" w:ascii="仿宋_GB2312" w:hAnsi="仿宋_GB2312" w:eastAsia="仿宋_GB2312" w:cs="仿宋_GB2312"/>
                <w:b w:val="0"/>
                <w:bCs/>
                <w:sz w:val="24"/>
                <w:szCs w:val="24"/>
                <w:u w:val="none"/>
                <w:lang w:val="en-US" w:eastAsia="zh-CN"/>
              </w:rPr>
              <w:t xml:space="preserve">           </w:t>
            </w:r>
          </w:p>
          <w:p>
            <w:pPr>
              <w:keepNext w:val="0"/>
              <w:keepLines w:val="0"/>
              <w:pageBreakBefore w:val="0"/>
              <w:kinsoku/>
              <w:overflowPunct/>
              <w:topLinePunct w:val="0"/>
              <w:autoSpaceDE/>
              <w:autoSpaceDN/>
              <w:bidi w:val="0"/>
              <w:adjustRightInd/>
              <w:snapToGrid/>
              <w:spacing w:line="590" w:lineRule="exact"/>
              <w:jc w:val="right"/>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val="en-US" w:eastAsia="zh-CN"/>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8" w:hRule="atLeast"/>
          <w:jc w:val="center"/>
        </w:trPr>
        <w:tc>
          <w:tcPr>
            <w:tcW w:w="11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590" w:lineRule="exact"/>
              <w:ind w:left="316" w:hanging="236" w:hangingChars="100"/>
              <w:jc w:val="center"/>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val="en-US" w:eastAsia="zh-CN"/>
              </w:rPr>
              <w:t>市应急管理局</w:t>
            </w:r>
          </w:p>
          <w:p>
            <w:pPr>
              <w:keepNext w:val="0"/>
              <w:keepLines w:val="0"/>
              <w:pageBreakBefore w:val="0"/>
              <w:kinsoku/>
              <w:overflowPunct/>
              <w:topLinePunct w:val="0"/>
              <w:autoSpaceDE/>
              <w:autoSpaceDN/>
              <w:bidi w:val="0"/>
              <w:adjustRightInd/>
              <w:snapToGrid/>
              <w:spacing w:line="590" w:lineRule="exact"/>
              <w:ind w:left="316" w:hanging="236" w:hangingChars="100"/>
              <w:jc w:val="center"/>
              <w:textAlignment w:val="auto"/>
              <w:outlineLvl w:val="9"/>
              <w:rPr>
                <w:rFonts w:hint="eastAsia" w:ascii="仿宋_GB2312" w:hAnsi="仿宋_GB2312" w:eastAsia="仿宋_GB2312" w:cs="仿宋_GB2312"/>
                <w:b w:val="0"/>
                <w:bCs/>
                <w:sz w:val="24"/>
                <w:szCs w:val="24"/>
                <w:u w:val="none"/>
              </w:rPr>
            </w:pPr>
            <w:r>
              <w:rPr>
                <w:rFonts w:hint="eastAsia" w:ascii="仿宋_GB2312" w:hAnsi="仿宋_GB2312" w:eastAsia="仿宋_GB2312" w:cs="仿宋_GB2312"/>
                <w:b w:val="0"/>
                <w:bCs/>
                <w:sz w:val="24"/>
                <w:szCs w:val="24"/>
                <w:u w:val="none"/>
              </w:rPr>
              <w:t>审核意见</w:t>
            </w:r>
          </w:p>
        </w:tc>
        <w:tc>
          <w:tcPr>
            <w:tcW w:w="3836" w:type="pct"/>
            <w:gridSpan w:val="4"/>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overflowPunct/>
              <w:topLinePunct w:val="0"/>
              <w:autoSpaceDE/>
              <w:autoSpaceDN/>
              <w:bidi w:val="0"/>
              <w:adjustRightInd/>
              <w:snapToGrid/>
              <w:spacing w:line="590" w:lineRule="exact"/>
              <w:jc w:val="both"/>
              <w:textAlignment w:val="auto"/>
              <w:outlineLvl w:val="9"/>
              <w:rPr>
                <w:rFonts w:hint="eastAsia" w:ascii="仿宋_GB2312" w:hAnsi="仿宋_GB2312" w:eastAsia="仿宋_GB2312" w:cs="仿宋_GB2312"/>
                <w:b w:val="0"/>
                <w:bCs/>
                <w:sz w:val="24"/>
                <w:szCs w:val="24"/>
                <w:u w:val="none"/>
              </w:rPr>
            </w:pPr>
          </w:p>
          <w:p>
            <w:pPr>
              <w:keepNext w:val="0"/>
              <w:keepLines w:val="0"/>
              <w:pageBreakBefore w:val="0"/>
              <w:kinsoku/>
              <w:wordWrap w:val="0"/>
              <w:overflowPunct/>
              <w:topLinePunct w:val="0"/>
              <w:autoSpaceDE/>
              <w:autoSpaceDN/>
              <w:bidi w:val="0"/>
              <w:adjustRightInd/>
              <w:snapToGrid/>
              <w:spacing w:line="590" w:lineRule="exact"/>
              <w:jc w:val="right"/>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rPr>
              <w:t>深圳市</w:t>
            </w:r>
            <w:r>
              <w:rPr>
                <w:rFonts w:hint="eastAsia" w:ascii="仿宋_GB2312" w:hAnsi="仿宋_GB2312" w:eastAsia="仿宋_GB2312" w:cs="仿宋_GB2312"/>
                <w:b w:val="0"/>
                <w:bCs/>
                <w:sz w:val="24"/>
                <w:szCs w:val="24"/>
                <w:u w:val="none"/>
                <w:lang w:val="en-US" w:eastAsia="zh-CN"/>
              </w:rPr>
              <w:t>应急管理局</w:t>
            </w:r>
            <w:r>
              <w:rPr>
                <w:rFonts w:hint="eastAsia" w:ascii="仿宋_GB2312" w:hAnsi="仿宋_GB2312" w:eastAsia="仿宋_GB2312" w:cs="仿宋_GB2312"/>
                <w:b w:val="0"/>
                <w:bCs/>
                <w:sz w:val="24"/>
                <w:szCs w:val="24"/>
                <w:u w:val="none"/>
              </w:rPr>
              <w:t>（盖章）</w:t>
            </w:r>
            <w:r>
              <w:rPr>
                <w:rFonts w:hint="eastAsia" w:ascii="仿宋_GB2312" w:hAnsi="仿宋_GB2312" w:eastAsia="仿宋_GB2312" w:cs="仿宋_GB2312"/>
                <w:b w:val="0"/>
                <w:bCs/>
                <w:sz w:val="24"/>
                <w:szCs w:val="24"/>
                <w:u w:val="none"/>
                <w:lang w:val="en-US" w:eastAsia="zh-CN"/>
              </w:rPr>
              <w:t xml:space="preserve">           </w:t>
            </w:r>
          </w:p>
          <w:p>
            <w:pPr>
              <w:keepNext w:val="0"/>
              <w:keepLines w:val="0"/>
              <w:pageBreakBefore w:val="0"/>
              <w:kinsoku/>
              <w:overflowPunct/>
              <w:topLinePunct w:val="0"/>
              <w:autoSpaceDE/>
              <w:autoSpaceDN/>
              <w:bidi w:val="0"/>
              <w:adjustRightInd/>
              <w:snapToGrid/>
              <w:spacing w:line="590" w:lineRule="exact"/>
              <w:jc w:val="right"/>
              <w:textAlignment w:val="auto"/>
              <w:outlineLvl w:val="9"/>
              <w:rPr>
                <w:rFonts w:hint="eastAsia" w:ascii="仿宋_GB2312" w:hAnsi="仿宋_GB2312" w:eastAsia="仿宋_GB2312" w:cs="仿宋_GB2312"/>
                <w:b w:val="0"/>
                <w:bCs/>
                <w:sz w:val="24"/>
                <w:szCs w:val="24"/>
                <w:u w:val="none"/>
              </w:rPr>
            </w:pPr>
            <w:r>
              <w:rPr>
                <w:rFonts w:hint="eastAsia" w:ascii="仿宋_GB2312" w:hAnsi="仿宋_GB2312" w:eastAsia="仿宋_GB2312" w:cs="仿宋_GB2312"/>
                <w:b w:val="0"/>
                <w:bCs/>
                <w:sz w:val="24"/>
                <w:szCs w:val="24"/>
                <w:u w:val="none"/>
              </w:rPr>
              <w:t>日期：   年    月    日</w:t>
            </w:r>
          </w:p>
        </w:tc>
      </w:tr>
    </w:tbl>
    <w:p>
      <w:pPr>
        <w:pStyle w:val="8"/>
        <w:ind w:left="0" w:leftChars="0" w:firstLine="0" w:firstLineChars="0"/>
        <w:rPr>
          <w:rFonts w:hint="eastAsia" w:ascii="宋体" w:hAnsi="宋体" w:eastAsia="宋体" w:cs="宋体"/>
          <w:kern w:val="2"/>
          <w:sz w:val="32"/>
          <w:szCs w:val="32"/>
          <w:lang w:val="en-US" w:eastAsia="zh-CN" w:bidi="ar-SA"/>
        </w:rPr>
      </w:pPr>
    </w:p>
    <w:p>
      <w:pPr>
        <w:pStyle w:val="8"/>
        <w:ind w:left="0" w:leftChars="0" w:firstLine="0" w:firstLineChars="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附件3</w:t>
      </w:r>
    </w:p>
    <w:p>
      <w:pPr>
        <w:pStyle w:val="8"/>
        <w:ind w:left="0" w:leftChars="0" w:firstLine="0" w:firstLineChars="0"/>
        <w:rPr>
          <w:rFonts w:hint="eastAsia" w:ascii="宋体" w:hAnsi="宋体" w:eastAsia="宋体" w:cs="宋体"/>
          <w:kern w:val="2"/>
          <w:sz w:val="32"/>
          <w:szCs w:val="32"/>
          <w:lang w:val="en-US" w:eastAsia="zh-CN" w:bidi="ar-SA"/>
        </w:rPr>
      </w:pP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深圳市应急管理局关于印发《深圳市安全</w:t>
      </w: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教育基地评定指引》的通知</w:t>
      </w:r>
    </w:p>
    <w:p>
      <w:pPr>
        <w:spacing w:line="50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深应急规〔2022〕4号</w:t>
      </w:r>
    </w:p>
    <w:p>
      <w:pPr>
        <w:spacing w:line="520" w:lineRule="exact"/>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各区（含新区、深汕特别合作区）应急管理局，各有关单位：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动全市各级各类安全教育基地建设，充分发挥安全教育基地宣传教育功能，助力我市安全发展示范城市建设，我局研究制定了《深圳市安全教育基地评定指引》并通过市司法局合法性审查，现予以印发，请结合工作实际组织实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深圳市应急管理局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2022年12月20日</w:t>
      </w:r>
    </w:p>
    <w:p>
      <w:pPr>
        <w:pStyle w:val="13"/>
        <w:spacing w:line="560" w:lineRule="exact"/>
        <w:jc w:val="center"/>
        <w:rPr>
          <w:rFonts w:hint="eastAsia" w:ascii="方正小标宋简体" w:hAnsi="宋体" w:eastAsia="方正小标宋简体" w:cs="宋体"/>
          <w:sz w:val="44"/>
          <w:szCs w:val="44"/>
        </w:rPr>
      </w:pPr>
    </w:p>
    <w:p>
      <w:pPr>
        <w:pStyle w:val="13"/>
        <w:spacing w:line="560" w:lineRule="exact"/>
        <w:jc w:val="center"/>
        <w:rPr>
          <w:rFonts w:hint="eastAsia" w:ascii="方正小标宋简体" w:hAnsi="宋体" w:eastAsia="方正小标宋简体" w:cs="宋体"/>
          <w:sz w:val="44"/>
          <w:szCs w:val="44"/>
        </w:rPr>
      </w:pPr>
    </w:p>
    <w:p>
      <w:pPr>
        <w:pStyle w:val="13"/>
        <w:spacing w:line="560" w:lineRule="exact"/>
        <w:jc w:val="center"/>
        <w:rPr>
          <w:rFonts w:hint="eastAsia" w:ascii="方正小标宋简体" w:hAnsi="宋体" w:eastAsia="方正小标宋简体" w:cs="宋体"/>
          <w:sz w:val="44"/>
          <w:szCs w:val="44"/>
        </w:rPr>
      </w:pPr>
    </w:p>
    <w:p>
      <w:pPr>
        <w:pStyle w:val="13"/>
        <w:spacing w:line="560" w:lineRule="exact"/>
        <w:jc w:val="center"/>
        <w:rPr>
          <w:rFonts w:hint="eastAsia" w:ascii="方正小标宋简体" w:hAnsi="宋体" w:eastAsia="方正小标宋简体" w:cs="宋体"/>
          <w:sz w:val="44"/>
          <w:szCs w:val="44"/>
        </w:rPr>
      </w:pPr>
    </w:p>
    <w:p>
      <w:pPr>
        <w:pStyle w:val="13"/>
        <w:spacing w:line="560" w:lineRule="exact"/>
        <w:jc w:val="center"/>
        <w:rPr>
          <w:rFonts w:hint="eastAsia" w:ascii="方正小标宋简体" w:hAnsi="宋体" w:eastAsia="方正小标宋简体" w:cs="宋体"/>
          <w:sz w:val="44"/>
          <w:szCs w:val="44"/>
        </w:rPr>
      </w:pPr>
    </w:p>
    <w:p>
      <w:pPr>
        <w:pStyle w:val="13"/>
        <w:spacing w:line="560" w:lineRule="exact"/>
        <w:jc w:val="center"/>
        <w:rPr>
          <w:rFonts w:hint="eastAsia" w:ascii="方正小标宋简体" w:hAnsi="宋体" w:eastAsia="方正小标宋简体" w:cs="宋体"/>
          <w:sz w:val="44"/>
          <w:szCs w:val="44"/>
        </w:rPr>
      </w:pPr>
    </w:p>
    <w:p>
      <w:pPr>
        <w:pStyle w:val="13"/>
        <w:spacing w:line="560" w:lineRule="exact"/>
        <w:jc w:val="center"/>
        <w:rPr>
          <w:rFonts w:hint="eastAsia" w:ascii="方正小标宋简体" w:hAnsi="宋体" w:eastAsia="方正小标宋简体" w:cs="宋体"/>
          <w:sz w:val="44"/>
          <w:szCs w:val="44"/>
        </w:rPr>
      </w:pPr>
    </w:p>
    <w:p>
      <w:pPr>
        <w:pStyle w:val="13"/>
        <w:spacing w:line="560" w:lineRule="exact"/>
        <w:jc w:val="center"/>
        <w:rPr>
          <w:rFonts w:hint="eastAsia" w:ascii="方正小标宋简体" w:hAnsi="宋体" w:eastAsia="方正小标宋简体" w:cs="宋体"/>
          <w:sz w:val="44"/>
          <w:szCs w:val="44"/>
        </w:rPr>
      </w:pPr>
    </w:p>
    <w:p>
      <w:pPr>
        <w:pStyle w:val="13"/>
        <w:spacing w:line="560" w:lineRule="exact"/>
        <w:jc w:val="center"/>
        <w:rPr>
          <w:rFonts w:hint="eastAsia" w:ascii="方正小标宋简体" w:hAnsi="宋体" w:eastAsia="方正小标宋简体" w:cs="宋体"/>
          <w:sz w:val="44"/>
          <w:szCs w:val="44"/>
        </w:rPr>
      </w:pPr>
    </w:p>
    <w:p>
      <w:pPr>
        <w:pStyle w:val="13"/>
        <w:spacing w:line="560" w:lineRule="exact"/>
        <w:jc w:val="center"/>
        <w:rPr>
          <w:rFonts w:hint="eastAsia" w:ascii="方正小标宋简体" w:hAnsi="宋体" w:eastAsia="方正小标宋简体" w:cs="宋体"/>
          <w:sz w:val="44"/>
          <w:szCs w:val="44"/>
        </w:rPr>
      </w:pPr>
    </w:p>
    <w:p>
      <w:pPr>
        <w:pStyle w:val="13"/>
        <w:spacing w:line="560" w:lineRule="exact"/>
        <w:jc w:val="center"/>
        <w:rPr>
          <w:rFonts w:ascii="方正小标宋简体" w:hAnsi="宋体" w:eastAsia="方正小标宋简体" w:cs="宋体"/>
          <w:sz w:val="44"/>
          <w:szCs w:val="44"/>
        </w:rPr>
      </w:pPr>
      <w:r>
        <w:rPr>
          <w:rFonts w:cs="宋体"/>
          <w:sz w:val="44"/>
          <w:szCs w:val="32"/>
        </w:rPr>
        <w:pict>
          <v:shape id="文本框 2" o:spid="_x0000_s2071" o:spt="202" type="#_x0000_t202" style="position:absolute;left:0pt;margin-left:-78.1pt;margin-top:-78.25pt;height:39pt;width:73.5pt;z-index:251659264;mso-width-relative:page;mso-height-relative:page;" fillcolor="#FFFFFF" filled="t" stroked="f" coordsize="21600,21600" o:gfxdata="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">
            <v:path/>
            <v:fill on="t" focussize="0,0"/>
            <v:stroke on="f"/>
            <v:imagedata o:title=""/>
            <o:lock v:ext="edit" aspectratio="f"/>
            <v:textbox>
              <w:txbxContent>
                <w:p>
                  <w:pPr>
                    <w:pStyle w:val="13"/>
                    <w:rPr>
                      <w:rFonts w:ascii="黑体" w:hAnsi="黑体" w:eastAsia="黑体" w:cs="黑体"/>
                      <w:szCs w:val="32"/>
                    </w:rPr>
                  </w:pPr>
                </w:p>
              </w:txbxContent>
            </v:textbox>
          </v:shape>
        </w:pict>
      </w:r>
      <w:r>
        <w:rPr>
          <w:rFonts w:hint="eastAsia" w:ascii="方正小标宋简体" w:hAnsi="宋体" w:eastAsia="方正小标宋简体" w:cs="宋体"/>
          <w:sz w:val="44"/>
          <w:szCs w:val="44"/>
        </w:rPr>
        <w:t>深圳市安全教育基地评定指引</w:t>
      </w:r>
    </w:p>
    <w:p>
      <w:pPr>
        <w:pStyle w:val="2"/>
        <w:ind w:firstLine="0" w:firstLineChars="0"/>
        <w:jc w:val="center"/>
        <w:rPr>
          <w:rFonts w:ascii="仿宋_GB2312" w:hAnsi="仿宋_GB2312" w:eastAsia="仿宋_GB2312" w:cs="仿宋_GB2312"/>
          <w:lang w:val="en-US"/>
        </w:rPr>
      </w:pPr>
    </w:p>
    <w:p>
      <w:pPr>
        <w:pStyle w:val="13"/>
        <w:spacing w:line="560" w:lineRule="exact"/>
        <w:ind w:firstLine="632" w:firstLineChars="200"/>
        <w:rPr>
          <w:rFonts w:ascii="仿宋_GB2312" w:hAnsi="仿宋_GB2312" w:cs="仿宋_GB2312"/>
          <w:szCs w:val="32"/>
        </w:rPr>
      </w:pPr>
      <w:r>
        <w:rPr>
          <w:rFonts w:hint="eastAsia" w:ascii="仿宋_GB2312" w:hAnsi="仿宋_GB2312" w:cs="仿宋_GB2312"/>
          <w:szCs w:val="32"/>
        </w:rPr>
        <w:t>为深入贯彻中共中央办公厅、国务院办公厅《关于推进城市安全发展的意见》、国务院《“十四五”国家应急体系规划》、国务院安委会办公室《国家安全发展示范城市评价细则（2019版）》文件精神，按照广东省政府《广东省应急管理“十四五”规划》、深圳市政府《深圳市应急管理体系和能力建设“十四五”规划》文件要求，进一步推动全市各级各类安全教育基地（含安全教育场馆、展馆、体验馆等，下同）建设，充分发挥安全教育基地宣传教育功能，深圳市应急管理局（以下简称市应急管理局）决定在全市范围内开展安全教育基地等级评定工作。为确保评定工作顺利开展，特制定本指引。</w:t>
      </w:r>
    </w:p>
    <w:p>
      <w:pPr>
        <w:pStyle w:val="13"/>
        <w:spacing w:line="560" w:lineRule="exact"/>
        <w:ind w:firstLine="632" w:firstLineChars="200"/>
        <w:rPr>
          <w:rFonts w:ascii="黑体" w:hAnsi="黑体" w:eastAsia="黑体" w:cs="黑体"/>
          <w:szCs w:val="32"/>
        </w:rPr>
      </w:pPr>
      <w:r>
        <w:rPr>
          <w:rFonts w:hint="eastAsia" w:ascii="黑体" w:hAnsi="黑体" w:eastAsia="黑体" w:cs="黑体"/>
          <w:szCs w:val="32"/>
        </w:rPr>
        <w:t>一、评定目标</w:t>
      </w:r>
    </w:p>
    <w:p>
      <w:pPr>
        <w:pStyle w:val="13"/>
        <w:spacing w:line="560" w:lineRule="exact"/>
        <w:ind w:firstLine="646"/>
        <w:rPr>
          <w:rFonts w:ascii="仿宋_GB2312" w:hAnsi="仿宋_GB2312" w:cs="仿宋_GB2312"/>
          <w:b/>
          <w:bCs/>
          <w:szCs w:val="32"/>
        </w:rPr>
      </w:pPr>
      <w:r>
        <w:rPr>
          <w:rFonts w:hint="eastAsia" w:ascii="仿宋_GB2312" w:hAnsi="仿宋_GB2312" w:cs="仿宋_GB2312"/>
          <w:szCs w:val="32"/>
        </w:rPr>
        <w:t>支持和引导全市安全教育基地专业化、规范化发展，有效整合全市各级各类安全教育基地资源，着力提升安全教育基地发展质量，充分发挥安全教育基地普及安全知识、宣传安全理念、培养安全行为的功能，为广大市民和各行业各领域从业人员提供针对性、有效性、全方位安全知识服务，增强全民安全意识和安全素养，筑牢城市安全发展的基础。</w:t>
      </w:r>
    </w:p>
    <w:p>
      <w:pPr>
        <w:pStyle w:val="13"/>
        <w:spacing w:line="560" w:lineRule="exact"/>
        <w:ind w:firstLine="632" w:firstLineChars="200"/>
        <w:rPr>
          <w:rFonts w:ascii="黑体" w:hAnsi="黑体" w:eastAsia="黑体" w:cs="黑体"/>
          <w:szCs w:val="32"/>
        </w:rPr>
      </w:pPr>
      <w:r>
        <w:rPr>
          <w:rFonts w:hint="eastAsia" w:ascii="黑体" w:hAnsi="黑体" w:eastAsia="黑体" w:cs="黑体"/>
          <w:szCs w:val="32"/>
        </w:rPr>
        <w:t>二、评定范围和程序</w:t>
      </w:r>
    </w:p>
    <w:p>
      <w:pPr>
        <w:pStyle w:val="13"/>
        <w:tabs>
          <w:tab w:val="left" w:pos="5056"/>
        </w:tabs>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（一）申报范围</w:t>
      </w:r>
    </w:p>
    <w:p>
      <w:pPr>
        <w:pStyle w:val="13"/>
        <w:tabs>
          <w:tab w:val="left" w:pos="5056"/>
        </w:tabs>
        <w:spacing w:line="560" w:lineRule="exact"/>
        <w:ind w:firstLine="632" w:firstLineChars="200"/>
        <w:rPr>
          <w:rFonts w:ascii="仿宋_GB2312" w:hAnsi="仿宋_GB2312" w:cs="仿宋_GB2312"/>
          <w:szCs w:val="32"/>
        </w:rPr>
      </w:pPr>
      <w:r>
        <w:rPr>
          <w:rFonts w:hint="eastAsia" w:ascii="仿宋_GB2312" w:hAnsi="仿宋_GB2312" w:cs="仿宋_GB2312"/>
          <w:szCs w:val="32"/>
        </w:rPr>
        <w:t>全市范围内涵盖应急管理、安全生产、防灾减灾救灾等涉安全元素领域科普、宣传、教育、培训基地（场馆、场所），包括不限于面向公众或校园师生、产业工人、内部员工等开放的公益性安全教育基地（场馆、场所）。</w:t>
      </w:r>
    </w:p>
    <w:p>
      <w:pPr>
        <w:pStyle w:val="13"/>
        <w:tabs>
          <w:tab w:val="left" w:pos="5056"/>
        </w:tabs>
        <w:spacing w:line="560" w:lineRule="exact"/>
        <w:ind w:firstLine="632" w:firstLineChars="200"/>
        <w:rPr>
          <w:rFonts w:ascii="仿宋_GB2312" w:hAnsi="仿宋_GB2312" w:cs="仿宋_GB2312"/>
          <w:szCs w:val="32"/>
        </w:rPr>
      </w:pPr>
      <w:r>
        <w:rPr>
          <w:rFonts w:hint="eastAsia" w:ascii="楷体_GB2312" w:hAnsi="楷体_GB2312" w:eastAsia="楷体_GB2312" w:cs="楷体_GB2312"/>
          <w:szCs w:val="32"/>
        </w:rPr>
        <w:t>（二）申报程序</w:t>
      </w:r>
    </w:p>
    <w:p>
      <w:pPr>
        <w:pStyle w:val="13"/>
        <w:spacing w:line="560" w:lineRule="exact"/>
        <w:ind w:firstLine="632" w:firstLineChars="200"/>
        <w:rPr>
          <w:rFonts w:ascii="仿宋_GB2312" w:hAnsi="仿宋_GB2312" w:cs="仿宋_GB2312"/>
          <w:szCs w:val="32"/>
        </w:rPr>
      </w:pPr>
      <w:r>
        <w:rPr>
          <w:rFonts w:hint="eastAsia" w:ascii="仿宋_GB2312" w:hAnsi="仿宋_GB2312" w:cs="仿宋_GB2312"/>
          <w:szCs w:val="32"/>
        </w:rPr>
        <w:t>市应急管理局每年组织一次安全教育基地等级评定工作，各级各类安全教育基地结合自身实际，对照级别、类别申报评定标准，自主选择申报方式，准备相关材料作为申报材料，并提交市应急管理局审核。</w:t>
      </w:r>
    </w:p>
    <w:p>
      <w:pPr>
        <w:pStyle w:val="13"/>
        <w:tabs>
          <w:tab w:val="left" w:pos="5056"/>
        </w:tabs>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（三）资格审查</w:t>
      </w:r>
    </w:p>
    <w:p>
      <w:pPr>
        <w:pStyle w:val="13"/>
        <w:spacing w:line="560" w:lineRule="exact"/>
        <w:ind w:firstLine="632" w:firstLineChars="200"/>
        <w:rPr>
          <w:rFonts w:ascii="仿宋_GB2312" w:hAnsi="仿宋_GB2312" w:cs="仿宋_GB2312"/>
          <w:szCs w:val="32"/>
          <w:highlight w:val="yellow"/>
        </w:rPr>
      </w:pPr>
      <w:r>
        <w:rPr>
          <w:rFonts w:hint="eastAsia" w:ascii="仿宋_GB2312" w:hAnsi="仿宋_GB2312" w:cs="仿宋_GB2312"/>
          <w:szCs w:val="32"/>
        </w:rPr>
        <w:t>市应急管理局对各申报单位提交的申报材料进行真实性、完整性和规范性审查，以确定申报单位的参评资格。</w:t>
      </w:r>
    </w:p>
    <w:p>
      <w:pPr>
        <w:pStyle w:val="13"/>
        <w:tabs>
          <w:tab w:val="left" w:pos="5056"/>
        </w:tabs>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（四）考核</w:t>
      </w:r>
    </w:p>
    <w:p>
      <w:pPr>
        <w:pStyle w:val="13"/>
        <w:tabs>
          <w:tab w:val="left" w:pos="5056"/>
        </w:tabs>
        <w:spacing w:line="560" w:lineRule="exact"/>
        <w:ind w:firstLine="632" w:firstLineChars="200"/>
        <w:rPr>
          <w:rFonts w:ascii="仿宋_GB2312" w:hAnsi="仿宋_GB2312" w:cs="仿宋_GB2312"/>
          <w:szCs w:val="32"/>
        </w:rPr>
      </w:pPr>
      <w:r>
        <w:rPr>
          <w:rFonts w:hint="eastAsia" w:ascii="仿宋_GB2312" w:hAnsi="仿宋_GB2312" w:cs="仿宋_GB2312"/>
          <w:szCs w:val="32"/>
        </w:rPr>
        <w:t>市应急管理局邀请5名专家组成考核组，依据评定标准对参评基地进行实地考核，采取百分制提出考核等级评定意见，并根据评分情况和实地评估情况提出评审结果，对未能通过评审的基地，专家组反馈未通过原因。针对反馈情况，市应急管理局将结合基地需求和工作实际，提供针对性的技术指导。</w:t>
      </w:r>
    </w:p>
    <w:p>
      <w:pPr>
        <w:pStyle w:val="13"/>
        <w:tabs>
          <w:tab w:val="left" w:pos="5056"/>
        </w:tabs>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（五）公示</w:t>
      </w:r>
    </w:p>
    <w:p>
      <w:pPr>
        <w:pStyle w:val="13"/>
        <w:spacing w:line="560" w:lineRule="exact"/>
        <w:ind w:firstLine="632" w:firstLineChars="200"/>
        <w:rPr>
          <w:rFonts w:ascii="仿宋_GB2312" w:hAnsi="仿宋_GB2312" w:cs="仿宋_GB2312"/>
          <w:szCs w:val="32"/>
        </w:rPr>
      </w:pPr>
      <w:r>
        <w:rPr>
          <w:rFonts w:hint="eastAsia" w:ascii="仿宋_GB2312" w:hAnsi="仿宋_GB2312" w:cs="仿宋_GB2312"/>
          <w:szCs w:val="32"/>
        </w:rPr>
        <w:t>市应急管理局将安全教育基地评定结果在局门户网站上向社会公示，公示期为5个工作日，公示期内，对评审结果有异议的，可以向市应急管理局提交书面质询意见和佐证材料，市应急管理局进行核查后予以答复。</w:t>
      </w:r>
    </w:p>
    <w:p>
      <w:pPr>
        <w:pStyle w:val="13"/>
        <w:tabs>
          <w:tab w:val="left" w:pos="5056"/>
        </w:tabs>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（六）授牌</w:t>
      </w:r>
    </w:p>
    <w:p>
      <w:pPr>
        <w:pStyle w:val="13"/>
        <w:spacing w:line="560" w:lineRule="exact"/>
        <w:ind w:firstLine="632" w:firstLineChars="200"/>
        <w:rPr>
          <w:rFonts w:ascii="仿宋_GB2312" w:hAnsi="仿宋_GB2312" w:cs="仿宋_GB2312"/>
          <w:szCs w:val="32"/>
          <w:highlight w:val="yellow"/>
        </w:rPr>
      </w:pPr>
      <w:r>
        <w:rPr>
          <w:rFonts w:hint="eastAsia" w:ascii="仿宋_GB2312" w:hAnsi="仿宋_GB2312" w:cs="仿宋_GB2312"/>
          <w:szCs w:val="32"/>
        </w:rPr>
        <w:t>市应急管理局对公示无异议或经消除异议的单位正式授予称号，并予以授牌，称号有效期3年，通过局门户网站上向社会公告。有效期届满前3个月，对申请延续称号的科普教育基地进行复核评审、实地考察和级别认定，根据复核情况进行动态调整。</w:t>
      </w:r>
    </w:p>
    <w:p>
      <w:pPr>
        <w:pStyle w:val="13"/>
        <w:numPr>
          <w:ilvl w:val="0"/>
          <w:numId w:val="0"/>
        </w:numPr>
        <w:tabs>
          <w:tab w:val="left" w:pos="5056"/>
        </w:tabs>
        <w:spacing w:line="560" w:lineRule="exact"/>
        <w:ind w:left="632" w:leftChars="200"/>
        <w:rPr>
          <w:rFonts w:ascii="楷体_GB2312" w:hAnsi="楷体_GB2312" w:eastAsia="楷体_GB2312" w:cs="楷体_GB2312"/>
          <w:szCs w:val="32"/>
        </w:rPr>
      </w:pPr>
      <w:r>
        <w:rPr>
          <w:rFonts w:hint="eastAsia" w:ascii="楷体_GB2312" w:hAnsi="楷体_GB2312" w:eastAsia="楷体_GB2312" w:cs="楷体_GB2312"/>
          <w:szCs w:val="32"/>
        </w:rPr>
        <w:t>（七）管理</w:t>
      </w:r>
    </w:p>
    <w:p>
      <w:pPr>
        <w:pStyle w:val="2"/>
        <w:ind w:firstLine="640" w:firstLineChars="0"/>
        <w:rPr>
          <w:rFonts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获得授牌的安全教育基地，需制定年度科普活动工作计划，每年组织不同类型的教育科普活动不少于2次，并于次年1月30日前向市应急管理局报送本年度的科普活动工作总结和下一年度科普活动工作计划。</w:t>
      </w:r>
    </w:p>
    <w:p>
      <w:pPr>
        <w:pStyle w:val="13"/>
        <w:spacing w:line="560" w:lineRule="exact"/>
        <w:ind w:firstLine="632" w:firstLineChars="200"/>
        <w:rPr>
          <w:rFonts w:ascii="黑体" w:hAnsi="黑体" w:eastAsia="黑体" w:cs="黑体"/>
          <w:szCs w:val="32"/>
        </w:rPr>
      </w:pPr>
      <w:r>
        <w:rPr>
          <w:rFonts w:hint="eastAsia" w:ascii="黑体" w:hAnsi="黑体" w:eastAsia="黑体" w:cs="黑体"/>
          <w:szCs w:val="32"/>
        </w:rPr>
        <w:t>三、评定规则</w:t>
      </w:r>
    </w:p>
    <w:p>
      <w:pPr>
        <w:pStyle w:val="13"/>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（一）评定标准</w:t>
      </w:r>
    </w:p>
    <w:p>
      <w:pPr>
        <w:pStyle w:val="13"/>
        <w:tabs>
          <w:tab w:val="left" w:pos="5056"/>
        </w:tabs>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1.场馆条件（14分）</w:t>
      </w:r>
    </w:p>
    <w:p>
      <w:pPr>
        <w:pStyle w:val="13"/>
        <w:spacing w:line="560" w:lineRule="exact"/>
        <w:ind w:firstLine="632" w:firstLineChars="200"/>
        <w:rPr>
          <w:rFonts w:ascii="仿宋_GB2312" w:hAnsi="仿宋_GB2312" w:cs="仿宋_GB2312"/>
          <w:szCs w:val="32"/>
        </w:rPr>
      </w:pPr>
      <w:r>
        <w:rPr>
          <w:rFonts w:hint="eastAsia" w:ascii="仿宋_GB2312" w:hAnsi="仿宋_GB2312" w:cs="仿宋_GB2312"/>
          <w:szCs w:val="32"/>
        </w:rPr>
        <w:t>（1）安全教育基地建筑面积（6分）</w:t>
      </w:r>
    </w:p>
    <w:p>
      <w:pPr>
        <w:pStyle w:val="13"/>
        <w:spacing w:line="560" w:lineRule="exact"/>
        <w:ind w:firstLine="646"/>
        <w:rPr>
          <w:rFonts w:ascii="仿宋_GB2312" w:hAnsi="仿宋_GB2312" w:cs="仿宋_GB2312"/>
          <w:szCs w:val="32"/>
        </w:rPr>
      </w:pPr>
      <w:r>
        <w:rPr>
          <w:rFonts w:hint="eastAsia" w:ascii="仿宋_GB2312" w:hAnsi="仿宋_GB2312" w:cs="仿宋_GB2312"/>
          <w:szCs w:val="32"/>
        </w:rPr>
        <w:t>按照安全教育基地级别：区分市级安全教育基地、区级安全教育基地、街道级安全教育基地等不同等级，根据对应标准获得相应分值。</w:t>
      </w:r>
    </w:p>
    <w:p>
      <w:pPr>
        <w:pStyle w:val="13"/>
        <w:spacing w:line="560" w:lineRule="exact"/>
        <w:ind w:firstLine="632" w:firstLineChars="200"/>
        <w:rPr>
          <w:rFonts w:ascii="仿宋_GB2312" w:hAnsi="仿宋_GB2312" w:cs="仿宋_GB2312"/>
          <w:szCs w:val="32"/>
        </w:rPr>
      </w:pPr>
      <w:r>
        <w:rPr>
          <w:rFonts w:hint="eastAsia" w:ascii="仿宋_GB2312" w:hAnsi="仿宋_GB2312" w:cs="仿宋_GB2312"/>
          <w:szCs w:val="32"/>
        </w:rPr>
        <w:t>按照安全教育基地类别：区分综合性安全教育基地、专业性安全教育基地、移动式或其他特色安全教育基地等不同类型，根据对应标准获得相应分值。</w:t>
      </w:r>
    </w:p>
    <w:p>
      <w:pPr>
        <w:pStyle w:val="13"/>
        <w:spacing w:line="560" w:lineRule="exact"/>
        <w:ind w:firstLine="632" w:firstLineChars="200"/>
        <w:rPr>
          <w:rFonts w:ascii="仿宋_GB2312" w:hAnsi="仿宋_GB2312" w:cs="仿宋_GB2312"/>
          <w:szCs w:val="32"/>
        </w:rPr>
      </w:pPr>
      <w:r>
        <w:rPr>
          <w:rFonts w:hint="eastAsia" w:ascii="仿宋_GB2312" w:hAnsi="仿宋_GB2312" w:cs="仿宋_GB2312"/>
          <w:szCs w:val="32"/>
        </w:rPr>
        <w:t>（2）各级各类安全教育基地应灵活设置场馆主题空间、宣教培训空间、公共活动空间、“学习强安”线下体验空间、辅助空间等区域，空间规划应具有系统性、灵活性。（4分）</w:t>
      </w:r>
    </w:p>
    <w:p>
      <w:pPr>
        <w:pStyle w:val="13"/>
        <w:spacing w:line="560" w:lineRule="exact"/>
        <w:ind w:firstLine="632" w:firstLineChars="200"/>
        <w:rPr>
          <w:rFonts w:ascii="仿宋_GB2312" w:hAnsi="仿宋_GB2312" w:cs="仿宋_GB2312"/>
          <w:szCs w:val="32"/>
        </w:rPr>
      </w:pPr>
      <w:r>
        <w:rPr>
          <w:rFonts w:hint="eastAsia" w:ascii="仿宋_GB2312" w:hAnsi="仿宋_GB2312" w:cs="仿宋_GB2312"/>
          <w:szCs w:val="32"/>
        </w:rPr>
        <w:t>（3）各级各类安全教育基地根据功能区域需要配置相应智能系统，主要涉及基础运行网络、计算机应用、模拟体验、3D互动、“学习强安”线下体验设备、远程加载、升级管理、音视频资源管理等。（4分）</w:t>
      </w:r>
    </w:p>
    <w:p>
      <w:pPr>
        <w:pStyle w:val="13"/>
        <w:tabs>
          <w:tab w:val="left" w:pos="5056"/>
        </w:tabs>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2.场馆主题（6分）</w:t>
      </w:r>
    </w:p>
    <w:p>
      <w:pPr>
        <w:pStyle w:val="13"/>
        <w:spacing w:line="560" w:lineRule="exact"/>
        <w:ind w:firstLine="632" w:firstLineChars="200"/>
        <w:rPr>
          <w:rFonts w:ascii="仿宋_GB2312" w:hAnsi="仿宋_GB2312" w:cs="仿宋_GB2312"/>
          <w:szCs w:val="32"/>
        </w:rPr>
      </w:pPr>
      <w:r>
        <w:rPr>
          <w:rFonts w:hint="eastAsia" w:ascii="仿宋_GB2312" w:hAnsi="仿宋_GB2312" w:cs="仿宋_GB2312"/>
          <w:szCs w:val="32"/>
        </w:rPr>
        <w:t>（4）不同级别和类别场馆主题（6分）</w:t>
      </w:r>
    </w:p>
    <w:p>
      <w:pPr>
        <w:pStyle w:val="13"/>
        <w:spacing w:line="560" w:lineRule="exact"/>
        <w:ind w:firstLine="632" w:firstLineChars="200"/>
        <w:rPr>
          <w:rFonts w:ascii="仿宋_GB2312" w:hAnsi="仿宋_GB2312" w:cs="仿宋_GB2312"/>
          <w:szCs w:val="32"/>
        </w:rPr>
      </w:pPr>
      <w:r>
        <w:rPr>
          <w:rFonts w:hint="eastAsia" w:ascii="仿宋_GB2312" w:hAnsi="仿宋_GB2312" w:cs="仿宋_GB2312"/>
          <w:szCs w:val="32"/>
        </w:rPr>
        <w:t>按照安全教育基地级别：市级安全教育基地应涵盖公共安全知识、认识灾害、感受灾害、体验灾害、法治宣传等方面主题；区级安全教育基地主题应紧扣本区国民经济发展、产业布局及特点、应急管理、安全生产、防灾减灾救灾和交通安全实际需要；街道级安全教育基地主题应凸显认识灾害、感受灾害并结合社区应急避难场所规划，展示内容科学准确、切合主题、突出重点。</w:t>
      </w:r>
    </w:p>
    <w:p>
      <w:pPr>
        <w:pStyle w:val="13"/>
        <w:spacing w:line="560" w:lineRule="exact"/>
        <w:ind w:firstLine="632" w:firstLineChars="200"/>
        <w:rPr>
          <w:rFonts w:ascii="仿宋_GB2312" w:hAnsi="仿宋_GB2312" w:cs="仿宋_GB2312"/>
          <w:b/>
          <w:szCs w:val="32"/>
        </w:rPr>
      </w:pPr>
      <w:r>
        <w:rPr>
          <w:rFonts w:hint="eastAsia" w:ascii="仿宋_GB2312" w:hAnsi="仿宋_GB2312" w:cs="仿宋_GB2312"/>
          <w:szCs w:val="32"/>
        </w:rPr>
        <w:t>按照安全教育基地类别：综合性安全教育基地应根据城市公共安全隐患、易发多发类自然灾害、工矿商贸企业类型、受众群体等不同特点，面向市民、企业从业人员和中小学生等群体，普及涵盖安全生产、消防安全、交通安全等板块的综合性安全知识、常见的事故隐患和法律知识，提升不同受众的应急管理、安全生产、防灾减灾救灾意识、技能水平和法治意识；专业性、移动式或其他特色安全教育基地应以区域、行业领域的风险为重点，面向特定对象，侧重于宣传教育内容的针对性。</w:t>
      </w:r>
    </w:p>
    <w:p>
      <w:pPr>
        <w:pStyle w:val="13"/>
        <w:tabs>
          <w:tab w:val="left" w:pos="5056"/>
        </w:tabs>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3.运营团队（14分）</w:t>
      </w:r>
    </w:p>
    <w:p>
      <w:pPr>
        <w:pStyle w:val="13"/>
        <w:spacing w:line="560" w:lineRule="exact"/>
        <w:ind w:firstLine="632" w:firstLineChars="200"/>
        <w:rPr>
          <w:rFonts w:ascii="仿宋_GB2312" w:hAnsi="仿宋_GB2312" w:cs="仿宋_GB2312"/>
          <w:szCs w:val="32"/>
        </w:rPr>
      </w:pPr>
      <w:r>
        <w:rPr>
          <w:rFonts w:hint="eastAsia" w:ascii="仿宋_GB2312" w:hAnsi="仿宋_GB2312" w:cs="仿宋_GB2312"/>
          <w:szCs w:val="32"/>
        </w:rPr>
        <w:t>（5）专业讲解团队人数（10分）</w:t>
      </w:r>
    </w:p>
    <w:p>
      <w:pPr>
        <w:pStyle w:val="13"/>
        <w:spacing w:line="560" w:lineRule="exact"/>
        <w:ind w:firstLine="632" w:firstLineChars="200"/>
        <w:rPr>
          <w:rFonts w:ascii="仿宋_GB2312" w:hAnsi="仿宋_GB2312" w:cs="仿宋_GB2312"/>
          <w:szCs w:val="32"/>
        </w:rPr>
      </w:pPr>
      <w:r>
        <w:rPr>
          <w:rFonts w:hint="eastAsia" w:ascii="仿宋_GB2312" w:hAnsi="仿宋_GB2312" w:cs="仿宋_GB2312"/>
          <w:szCs w:val="32"/>
        </w:rPr>
        <w:t>按照安全教育基地级别：市级安全教育基地、区级安全教育基地、街道级安全教育基地需配有面向中小学生、普通市民、各行业从业人员等不同群体的讲解团队、安全教员等，成员需取得至少一项有关安全方面专业资质或从事过安全管理工作经验。</w:t>
      </w:r>
    </w:p>
    <w:p>
      <w:pPr>
        <w:pStyle w:val="13"/>
        <w:spacing w:line="560" w:lineRule="exact"/>
        <w:ind w:firstLine="632" w:firstLineChars="200"/>
        <w:rPr>
          <w:rFonts w:ascii="仿宋_GB2312" w:hAnsi="仿宋_GB2312" w:cs="仿宋_GB2312"/>
          <w:szCs w:val="32"/>
        </w:rPr>
      </w:pPr>
      <w:r>
        <w:rPr>
          <w:rFonts w:hint="eastAsia" w:ascii="仿宋_GB2312" w:hAnsi="仿宋_GB2312" w:cs="仿宋_GB2312"/>
          <w:szCs w:val="32"/>
        </w:rPr>
        <w:t>（6）救护人员和专业物业管理人员人数（4分）</w:t>
      </w:r>
    </w:p>
    <w:p>
      <w:pPr>
        <w:pStyle w:val="13"/>
        <w:spacing w:line="560" w:lineRule="exact"/>
        <w:ind w:firstLine="632" w:firstLineChars="200"/>
        <w:rPr>
          <w:rFonts w:ascii="仿宋_GB2312" w:hAnsi="仿宋_GB2312" w:cs="仿宋_GB2312"/>
          <w:szCs w:val="32"/>
          <w:highlight w:val="yellow"/>
        </w:rPr>
      </w:pPr>
      <w:r>
        <w:rPr>
          <w:rFonts w:hint="eastAsia" w:ascii="仿宋_GB2312" w:hAnsi="仿宋_GB2312" w:cs="仿宋_GB2312"/>
          <w:szCs w:val="32"/>
        </w:rPr>
        <w:t>按照安全教育基地级别：市级安全教育基地、区级安全教育基地、街道级安全教育基地均需配有持证救护人员或应急第一响应人及专业物业管理人员。</w:t>
      </w:r>
    </w:p>
    <w:p>
      <w:pPr>
        <w:pStyle w:val="13"/>
        <w:spacing w:line="560" w:lineRule="exact"/>
        <w:ind w:firstLine="632" w:firstLineChars="200"/>
        <w:rPr>
          <w:rFonts w:ascii="仿宋_GB2312" w:hAnsi="仿宋_GB2312" w:cs="仿宋_GB2312"/>
          <w:szCs w:val="32"/>
        </w:rPr>
      </w:pPr>
      <w:r>
        <w:rPr>
          <w:rFonts w:hint="eastAsia" w:ascii="仿宋_GB2312" w:hAnsi="仿宋_GB2312" w:cs="仿宋_GB2312"/>
          <w:szCs w:val="32"/>
        </w:rPr>
        <w:t>按照安全教育基地类别：综合性安全教育基地、专业性安全教育基地、移动式及其他特色安全教育基地均需配有持证救护人员及专业物业管理人员。</w:t>
      </w:r>
    </w:p>
    <w:p>
      <w:pPr>
        <w:pStyle w:val="13"/>
        <w:tabs>
          <w:tab w:val="left" w:pos="5056"/>
        </w:tabs>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4.宣传推广（20分）</w:t>
      </w:r>
    </w:p>
    <w:p>
      <w:pPr>
        <w:pStyle w:val="54"/>
        <w:spacing w:line="560" w:lineRule="exact"/>
        <w:ind w:firstLine="632"/>
        <w:rPr>
          <w:rFonts w:ascii="仿宋_GB2312" w:hAnsi="仿宋_GB2312" w:cs="仿宋_GB2312"/>
        </w:rPr>
      </w:pPr>
      <w:r>
        <w:rPr>
          <w:rFonts w:hint="eastAsia" w:ascii="仿宋_GB2312" w:hAnsi="仿宋_GB2312" w:cs="仿宋_GB2312"/>
        </w:rPr>
        <w:t>（7）通过安全文化墙、展览图板、线下体验馆等多种渠道开展安全宣传教育，营造学习安全知识，强化安全意识浓厚的氛围。（12分）</w:t>
      </w:r>
    </w:p>
    <w:p>
      <w:pPr>
        <w:pStyle w:val="13"/>
        <w:spacing w:line="560" w:lineRule="exact"/>
        <w:ind w:firstLine="632" w:firstLineChars="200"/>
        <w:rPr>
          <w:rFonts w:ascii="仿宋_GB2312" w:hAnsi="仿宋_GB2312" w:cs="仿宋_GB2312"/>
          <w:szCs w:val="32"/>
        </w:rPr>
      </w:pPr>
      <w:r>
        <w:rPr>
          <w:rFonts w:hint="eastAsia" w:ascii="仿宋_GB2312" w:hAnsi="仿宋_GB2312" w:cs="仿宋_GB2312"/>
          <w:szCs w:val="32"/>
        </w:rPr>
        <w:t>（8）丰富宣传载体，借助线上各类平台，开展安全知识讲座、线上科普、线上参观等各类宣传活动，扩大安全教育受众群体。（8分）</w:t>
      </w:r>
    </w:p>
    <w:p>
      <w:pPr>
        <w:pStyle w:val="13"/>
        <w:tabs>
          <w:tab w:val="left" w:pos="5056"/>
        </w:tabs>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5.参观培训（8分）</w:t>
      </w:r>
    </w:p>
    <w:p>
      <w:pPr>
        <w:pStyle w:val="13"/>
        <w:spacing w:line="560" w:lineRule="exact"/>
        <w:ind w:firstLine="632" w:firstLineChars="200"/>
        <w:rPr>
          <w:rFonts w:ascii="仿宋_GB2312" w:hAnsi="仿宋_GB2312" w:cs="仿宋_GB2312"/>
          <w:szCs w:val="32"/>
        </w:rPr>
      </w:pPr>
      <w:r>
        <w:rPr>
          <w:rFonts w:hint="eastAsia" w:ascii="仿宋_GB2312" w:hAnsi="仿宋_GB2312" w:cs="仿宋_GB2312"/>
          <w:szCs w:val="32"/>
        </w:rPr>
        <w:t>（9）参观接待总人数（8分）</w:t>
      </w:r>
    </w:p>
    <w:p>
      <w:pPr>
        <w:pStyle w:val="13"/>
        <w:spacing w:line="560" w:lineRule="exact"/>
        <w:ind w:firstLine="632" w:firstLineChars="200"/>
        <w:rPr>
          <w:rFonts w:ascii="仿宋_GB2312" w:hAnsi="仿宋_GB2312" w:cs="仿宋_GB2312"/>
          <w:szCs w:val="32"/>
        </w:rPr>
      </w:pPr>
      <w:r>
        <w:rPr>
          <w:rFonts w:hint="eastAsia" w:ascii="仿宋_GB2312" w:hAnsi="仿宋_GB2312" w:cs="仿宋_GB2312"/>
          <w:szCs w:val="32"/>
        </w:rPr>
        <w:t>按照安全教育基地级别：每年到基地参观体验、参加基地组织的场馆外活动、通过线上参观安全教育基地、观看基地在线上设置的安全知识培训课程等人次均纳入到基地年度参观培训总人次中，各级安全教育基地根据年度到基地参观培训总人次获得对应分值。</w:t>
      </w:r>
    </w:p>
    <w:p>
      <w:pPr>
        <w:pStyle w:val="13"/>
        <w:spacing w:line="560" w:lineRule="exact"/>
        <w:ind w:firstLine="632" w:firstLineChars="200"/>
        <w:rPr>
          <w:rFonts w:ascii="仿宋_GB2312" w:hAnsi="仿宋_GB2312" w:cs="仿宋_GB2312"/>
          <w:szCs w:val="32"/>
        </w:rPr>
      </w:pPr>
      <w:r>
        <w:rPr>
          <w:rFonts w:hint="eastAsia" w:ascii="仿宋_GB2312" w:hAnsi="仿宋_GB2312" w:cs="仿宋_GB2312"/>
          <w:szCs w:val="32"/>
        </w:rPr>
        <w:t>按照安全教育基地类别：每年到基地参观体验、参加基地组织的场馆外活动、通过线上参观安全教育基地、观看基地在线上设置的安全知识培训课程等人次均纳入到基地年度参观培训总人次中，各类安全教育基地根据年度到基地参观培训总人次获得对应分值。</w:t>
      </w:r>
    </w:p>
    <w:p>
      <w:pPr>
        <w:pStyle w:val="13"/>
        <w:tabs>
          <w:tab w:val="left" w:pos="5056"/>
        </w:tabs>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6.便民服务（8分）</w:t>
      </w:r>
    </w:p>
    <w:p>
      <w:pPr>
        <w:pStyle w:val="13"/>
        <w:spacing w:line="560" w:lineRule="exact"/>
        <w:ind w:firstLine="560"/>
        <w:rPr>
          <w:rFonts w:ascii="仿宋_GB2312" w:hAnsi="仿宋_GB2312" w:cs="仿宋_GB2312"/>
          <w:szCs w:val="32"/>
        </w:rPr>
      </w:pPr>
      <w:r>
        <w:rPr>
          <w:rFonts w:hint="eastAsia" w:ascii="仿宋_GB2312" w:hAnsi="仿宋_GB2312" w:cs="仿宋_GB2312"/>
          <w:szCs w:val="32"/>
        </w:rPr>
        <w:t>（10）以为民、便民、利民为服务宗旨，围绕方便市民、中小学生和各行业各领域从业人员等不同群体到基地参观培训、学习安全知识和技能，而提供系列便民服务。（8分）</w:t>
      </w:r>
    </w:p>
    <w:p>
      <w:pPr>
        <w:pStyle w:val="13"/>
        <w:tabs>
          <w:tab w:val="left" w:pos="5056"/>
        </w:tabs>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7.服务质量（4分）</w:t>
      </w:r>
    </w:p>
    <w:p>
      <w:pPr>
        <w:pStyle w:val="13"/>
        <w:spacing w:line="560" w:lineRule="exact"/>
        <w:ind w:firstLine="632" w:firstLineChars="200"/>
        <w:rPr>
          <w:rFonts w:ascii="仿宋_GB2312" w:hAnsi="仿宋_GB2312" w:cs="仿宋_GB2312"/>
          <w:bCs/>
          <w:szCs w:val="32"/>
        </w:rPr>
      </w:pPr>
      <w:r>
        <w:rPr>
          <w:rFonts w:hint="eastAsia" w:ascii="仿宋_GB2312" w:hAnsi="仿宋_GB2312" w:cs="仿宋_GB2312"/>
          <w:szCs w:val="32"/>
        </w:rPr>
        <w:t>（11）制定了健全的接待服务制度，接待信息记录完整；每季度通过随机发放调查问卷方式，获取参观者对安全教育基地讲解质量、服务、体验感等方面的整体评价，有效回收调查问卷不少于100份，且满意率达90%及以上获得满分，单月被投诉3次以上则不得分。（4分）</w:t>
      </w:r>
    </w:p>
    <w:p>
      <w:pPr>
        <w:pStyle w:val="13"/>
        <w:tabs>
          <w:tab w:val="left" w:pos="5056"/>
        </w:tabs>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8.配套管理（8分）</w:t>
      </w:r>
    </w:p>
    <w:p>
      <w:pPr>
        <w:pStyle w:val="13"/>
        <w:spacing w:line="560" w:lineRule="exact"/>
        <w:ind w:firstLine="632" w:firstLineChars="200"/>
        <w:rPr>
          <w:rFonts w:ascii="仿宋_GB2312" w:hAnsi="仿宋_GB2312" w:cs="仿宋_GB2312"/>
          <w:szCs w:val="32"/>
        </w:rPr>
      </w:pPr>
      <w:r>
        <w:rPr>
          <w:rFonts w:hint="eastAsia" w:ascii="仿宋_GB2312" w:hAnsi="仿宋_GB2312" w:cs="仿宋_GB2312"/>
          <w:szCs w:val="32"/>
        </w:rPr>
        <w:t>（12）监控设施完备，监控影像资料保存不少于30天；消防控制及火灾报警系统完备；内部运营管理制度健全，内部机构设置合理；基地设备设施维护台账、各类宣传活动台账、宣教产品投入台账等各类档案完备。（8分）</w:t>
      </w:r>
    </w:p>
    <w:p>
      <w:pPr>
        <w:pStyle w:val="13"/>
        <w:tabs>
          <w:tab w:val="left" w:pos="5056"/>
        </w:tabs>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9.安全保障（8分）</w:t>
      </w:r>
    </w:p>
    <w:p>
      <w:pPr>
        <w:pStyle w:val="13"/>
        <w:spacing w:line="560" w:lineRule="exact"/>
        <w:ind w:firstLine="632" w:firstLineChars="200"/>
        <w:rPr>
          <w:rFonts w:ascii="仿宋_GB2312" w:hAnsi="仿宋_GB2312" w:cs="仿宋_GB2312"/>
          <w:szCs w:val="32"/>
        </w:rPr>
      </w:pPr>
      <w:r>
        <w:rPr>
          <w:rFonts w:hint="eastAsia" w:ascii="仿宋_GB2312" w:hAnsi="仿宋_GB2312" w:cs="仿宋_GB2312"/>
          <w:szCs w:val="32"/>
        </w:rPr>
        <w:t>（13）制定合理的安全教育基地安全生产管理体系；制定适合安全教育基地的应急预案，配有安全保卫人员，并定期开展应急演练；场馆安全标识规范，消防逃生通道畅通；定期开展安全检查、防火检查；未发生过安全责任事故。（8分）</w:t>
      </w:r>
    </w:p>
    <w:p>
      <w:pPr>
        <w:pStyle w:val="13"/>
        <w:tabs>
          <w:tab w:val="left" w:pos="5056"/>
        </w:tabs>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10.争优创先（10分）</w:t>
      </w:r>
    </w:p>
    <w:p>
      <w:pPr>
        <w:pStyle w:val="13"/>
        <w:spacing w:line="560" w:lineRule="exact"/>
        <w:ind w:firstLine="632" w:firstLineChars="200"/>
        <w:rPr>
          <w:rFonts w:ascii="仿宋_GB2312" w:hAnsi="仿宋_GB2312" w:cs="仿宋_GB2312"/>
          <w:szCs w:val="32"/>
          <w:highlight w:val="yellow"/>
        </w:rPr>
      </w:pPr>
      <w:r>
        <w:rPr>
          <w:rFonts w:hint="eastAsia" w:ascii="仿宋_GB2312" w:hAnsi="仿宋_GB2312" w:cs="仿宋_GB2312"/>
          <w:szCs w:val="32"/>
        </w:rPr>
        <w:t>（14）积极参加全国、省、市各类科普宣传、法治宣传、安全教育等基地评选或各类安全知识宣教竞赛，加强与不同领域安全教育基地的交流合作，锻炼讲解团队业务能力，提升基地服务水平，积极拓宽安全知识和安全活动宣传渠道，扩大社会影响力。（10分）</w:t>
      </w:r>
    </w:p>
    <w:p>
      <w:pPr>
        <w:pStyle w:val="13"/>
        <w:spacing w:line="560" w:lineRule="exact"/>
        <w:ind w:firstLine="632" w:firstLineChars="200"/>
        <w:rPr>
          <w:rFonts w:ascii="仿宋_GB2312" w:hAnsi="仿宋_GB2312" w:cs="仿宋_GB2312"/>
          <w:szCs w:val="32"/>
        </w:rPr>
      </w:pPr>
      <w:r>
        <w:rPr>
          <w:rFonts w:hint="eastAsia" w:ascii="仿宋_GB2312" w:hAnsi="仿宋_GB2312" w:cs="仿宋_GB2312"/>
          <w:szCs w:val="32"/>
        </w:rPr>
        <w:t>以上评分标准中，既可按照不同级别，也可按照不同类别评定的选项，由考核组根据申请单位的申报材料及实际情况，择一类评定。</w:t>
      </w:r>
    </w:p>
    <w:p>
      <w:pPr>
        <w:pStyle w:val="13"/>
        <w:tabs>
          <w:tab w:val="left" w:pos="5056"/>
        </w:tabs>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（二）级别评定</w:t>
      </w:r>
    </w:p>
    <w:p>
      <w:pPr>
        <w:pStyle w:val="13"/>
        <w:spacing w:line="560" w:lineRule="exact"/>
        <w:ind w:firstLine="632" w:firstLineChars="200"/>
        <w:rPr>
          <w:rFonts w:ascii="仿宋_GB2312" w:hAnsi="仿宋_GB2312" w:cs="仿宋_GB2312"/>
          <w:szCs w:val="32"/>
        </w:rPr>
      </w:pPr>
      <w:r>
        <w:rPr>
          <w:rFonts w:hint="eastAsia" w:ascii="仿宋_GB2312" w:hAnsi="仿宋_GB2312" w:cs="仿宋_GB2312"/>
          <w:szCs w:val="32"/>
        </w:rPr>
        <w:t>总分值为100分。得分90分以上（含90分）的基地评定为五星级安全教育基地；得分80分以上（含80分）、90分以下的基地评定为四星级安全教育基地；得分60分以上（含60分）、80分以下的安全教育基地评定为三星级安全教育基地。</w:t>
      </w:r>
    </w:p>
    <w:p>
      <w:pPr>
        <w:pStyle w:val="13"/>
        <w:tabs>
          <w:tab w:val="left" w:pos="5056"/>
        </w:tabs>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（三）级别调整</w:t>
      </w:r>
    </w:p>
    <w:p>
      <w:pPr>
        <w:pStyle w:val="13"/>
        <w:spacing w:line="560" w:lineRule="exact"/>
        <w:ind w:firstLine="632" w:firstLineChars="200"/>
        <w:rPr>
          <w:rFonts w:ascii="仿宋_GB2312" w:hAnsi="仿宋_GB2312" w:cs="仿宋_GB2312"/>
          <w:szCs w:val="32"/>
        </w:rPr>
      </w:pPr>
      <w:r>
        <w:rPr>
          <w:rFonts w:hint="eastAsia" w:ascii="仿宋_GB2312" w:hAnsi="仿宋_GB2312" w:cs="仿宋_GB2312"/>
          <w:szCs w:val="32"/>
        </w:rPr>
        <w:t>为提升安全教育基地建设水平，在基地等级称号的有效期内，市应急管理局将对已获得相应级别的安全教育基地进行不定期检查抽查，并根据检查抽查结果，对基地实行升级、保级、降级的动态调整机制。</w:t>
      </w:r>
    </w:p>
    <w:p>
      <w:pPr>
        <w:pStyle w:val="13"/>
        <w:tabs>
          <w:tab w:val="left" w:pos="5056"/>
        </w:tabs>
        <w:spacing w:line="56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（四）退出机制</w:t>
      </w:r>
    </w:p>
    <w:p>
      <w:pPr>
        <w:pStyle w:val="13"/>
        <w:spacing w:line="560" w:lineRule="exact"/>
        <w:ind w:firstLine="632" w:firstLineChars="200"/>
        <w:rPr>
          <w:rFonts w:ascii="仿宋_GB2312" w:hAnsi="仿宋_GB2312" w:cs="仿宋_GB2312"/>
          <w:sz w:val="32"/>
          <w:szCs w:val="32"/>
          <w:highlight w:val="yellow"/>
        </w:rPr>
      </w:pPr>
      <w:r>
        <w:rPr>
          <w:rFonts w:hint="eastAsia" w:ascii="仿宋_GB2312" w:hAnsi="仿宋_GB2312" w:cs="仿宋_GB2312"/>
          <w:sz w:val="32"/>
          <w:szCs w:val="32"/>
        </w:rPr>
        <w:t>市应急管理局对全市安全教育基地实行动态管理，经考核评定已获得相应等级的基地，符合以下情形之一者，撤销其等级称号：</w:t>
      </w:r>
    </w:p>
    <w:p>
      <w:pPr>
        <w:pStyle w:val="13"/>
        <w:spacing w:line="560" w:lineRule="exact"/>
        <w:ind w:firstLine="632" w:firstLineChars="200"/>
        <w:rPr>
          <w:rFonts w:ascii="仿宋_GB2312" w:hAnsi="仿宋_GB2312" w:cs="仿宋_GB2312"/>
          <w:sz w:val="32"/>
          <w:szCs w:val="32"/>
        </w:rPr>
      </w:pPr>
      <w:r>
        <w:rPr>
          <w:rFonts w:hint="eastAsia" w:ascii="仿宋_GB2312" w:hAnsi="仿宋_GB2312" w:cs="仿宋_GB2312"/>
          <w:sz w:val="32"/>
          <w:szCs w:val="32"/>
        </w:rPr>
        <w:t>1.违反法律法规和规章的；</w:t>
      </w:r>
    </w:p>
    <w:p>
      <w:pPr>
        <w:pStyle w:val="13"/>
        <w:spacing w:line="560" w:lineRule="exact"/>
        <w:ind w:firstLine="632" w:firstLineChars="200"/>
        <w:rPr>
          <w:rFonts w:ascii="仿宋_GB2312" w:hAnsi="仿宋_GB2312" w:cs="仿宋_GB2312"/>
          <w:sz w:val="32"/>
          <w:szCs w:val="32"/>
        </w:rPr>
      </w:pPr>
      <w:r>
        <w:rPr>
          <w:rFonts w:hint="eastAsia" w:ascii="仿宋_GB2312" w:hAnsi="仿宋_GB2312" w:cs="仿宋_GB2312"/>
          <w:sz w:val="32"/>
          <w:szCs w:val="32"/>
        </w:rPr>
        <w:t>2.申请时提供虚假材料或采取其他手段骗取资格的；</w:t>
      </w:r>
    </w:p>
    <w:p>
      <w:pPr>
        <w:pStyle w:val="2"/>
        <w:ind w:firstLine="632"/>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3.不提交年度科普工作计划和总结的；</w:t>
      </w:r>
    </w:p>
    <w:p>
      <w:pPr>
        <w:pStyle w:val="2"/>
        <w:ind w:firstLine="632"/>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4.有效期满不提交延续称号申请的；</w:t>
      </w:r>
    </w:p>
    <w:p>
      <w:pPr>
        <w:pStyle w:val="13"/>
        <w:spacing w:line="560" w:lineRule="exact"/>
        <w:ind w:firstLine="632" w:firstLineChars="200"/>
        <w:rPr>
          <w:rFonts w:ascii="仿宋_GB2312" w:hAnsi="仿宋_GB2312" w:cs="仿宋_GB2312"/>
          <w:sz w:val="32"/>
          <w:szCs w:val="32"/>
        </w:rPr>
      </w:pPr>
      <w:r>
        <w:rPr>
          <w:rFonts w:hint="eastAsia" w:ascii="仿宋_GB2312" w:hAnsi="仿宋_GB2312" w:cs="仿宋_GB2312"/>
          <w:sz w:val="32"/>
          <w:szCs w:val="32"/>
        </w:rPr>
        <w:t>5.因安全教育基地布局发生较大变化，导致功能及条件无法满足开展安全宣传活动的；</w:t>
      </w:r>
    </w:p>
    <w:p>
      <w:pPr>
        <w:pStyle w:val="13"/>
        <w:spacing w:line="560" w:lineRule="exact"/>
        <w:ind w:firstLine="632" w:firstLineChars="200"/>
        <w:rPr>
          <w:rFonts w:ascii="仿宋_GB2312" w:hAnsi="仿宋_GB2312" w:cs="仿宋_GB2312"/>
          <w:sz w:val="32"/>
          <w:szCs w:val="32"/>
        </w:rPr>
      </w:pPr>
      <w:r>
        <w:rPr>
          <w:rFonts w:hint="eastAsia" w:ascii="仿宋_GB2312" w:hAnsi="仿宋_GB2312" w:cs="仿宋_GB2312"/>
          <w:sz w:val="32"/>
          <w:szCs w:val="32"/>
        </w:rPr>
        <w:t>6.未履行深圳市安全教育基地义务，未能发挥安全知识宣传教育功能的；</w:t>
      </w:r>
    </w:p>
    <w:p>
      <w:pPr>
        <w:pStyle w:val="13"/>
        <w:spacing w:line="560" w:lineRule="exact"/>
        <w:ind w:firstLine="632" w:firstLineChars="200"/>
        <w:rPr>
          <w:rFonts w:ascii="仿宋_GB2312" w:hAnsi="仿宋_GB2312" w:cs="仿宋_GB2312"/>
          <w:sz w:val="32"/>
          <w:szCs w:val="32"/>
        </w:rPr>
      </w:pPr>
      <w:r>
        <w:rPr>
          <w:rFonts w:hint="eastAsia" w:ascii="仿宋_GB2312" w:hAnsi="仿宋_GB2312" w:cs="仿宋_GB2312"/>
          <w:sz w:val="32"/>
          <w:szCs w:val="32"/>
        </w:rPr>
        <w:t>7.因自身原因向市应急管理局申请放弃基地等级称号的；</w:t>
      </w:r>
    </w:p>
    <w:p>
      <w:pPr>
        <w:pStyle w:val="13"/>
        <w:spacing w:line="560" w:lineRule="exact"/>
        <w:ind w:firstLine="632" w:firstLineChars="200"/>
        <w:rPr>
          <w:rFonts w:ascii="仿宋_GB2312" w:hAnsi="仿宋_GB2312" w:cs="仿宋_GB2312"/>
          <w:sz w:val="32"/>
          <w:szCs w:val="32"/>
        </w:rPr>
      </w:pPr>
      <w:r>
        <w:rPr>
          <w:rFonts w:hint="eastAsia" w:ascii="仿宋_GB2312" w:hAnsi="仿宋_GB2312" w:cs="仿宋_GB2312"/>
          <w:sz w:val="32"/>
          <w:szCs w:val="32"/>
        </w:rPr>
        <w:t>8.未能履行安全生产主体责任的；</w:t>
      </w:r>
    </w:p>
    <w:p>
      <w:pPr>
        <w:pStyle w:val="2"/>
        <w:ind w:firstLine="632"/>
        <w:rPr>
          <w:rFonts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9.发生一般亡人及以上安全责任事故或社会影响较大的责任事故的；</w:t>
      </w:r>
    </w:p>
    <w:p>
      <w:pPr>
        <w:pStyle w:val="2"/>
        <w:ind w:firstLine="632"/>
        <w:rPr>
          <w:rFonts w:ascii="仿宋_GB2312" w:hAnsi="仿宋_GB2312" w:eastAsia="仿宋_GB2312" w:cs="仿宋_GB2312"/>
          <w:sz w:val="32"/>
          <w:szCs w:val="32"/>
          <w:lang w:val="en-US" w:bidi="ar-SA"/>
        </w:rPr>
      </w:pPr>
      <w:r>
        <w:rPr>
          <w:rFonts w:hint="eastAsia" w:ascii="仿宋_GB2312" w:hAnsi="仿宋_GB2312" w:eastAsia="仿宋_GB2312" w:cs="仿宋_GB2312"/>
          <w:sz w:val="32"/>
          <w:szCs w:val="32"/>
          <w:lang w:val="en-US" w:bidi="ar-SA"/>
        </w:rPr>
        <w:t>10.其他应当撤销称号的情形。</w:t>
      </w:r>
    </w:p>
    <w:p>
      <w:pPr>
        <w:pStyle w:val="2"/>
        <w:spacing w:after="0"/>
        <w:ind w:firstLine="632"/>
        <w:rPr>
          <w:rFonts w:ascii="黑体" w:hAnsi="黑体" w:eastAsia="黑体" w:cs="黑体"/>
          <w:sz w:val="32"/>
          <w:szCs w:val="32"/>
          <w:lang w:val="en-US" w:bidi="ar-SA"/>
        </w:rPr>
      </w:pPr>
      <w:r>
        <w:rPr>
          <w:rFonts w:hint="eastAsia" w:ascii="黑体" w:hAnsi="黑体" w:eastAsia="黑体" w:cs="黑体"/>
          <w:sz w:val="32"/>
          <w:szCs w:val="32"/>
          <w:lang w:val="en-US" w:bidi="ar-SA"/>
        </w:rPr>
        <w:t>四、附则</w:t>
      </w:r>
    </w:p>
    <w:p>
      <w:pPr>
        <w:pStyle w:val="2"/>
        <w:spacing w:after="0"/>
        <w:ind w:firstLine="632"/>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本指引由深圳市应急管理局负责解释。</w:t>
      </w:r>
    </w:p>
    <w:p>
      <w:pPr>
        <w:pStyle w:val="13"/>
        <w:spacing w:afterLines="0" w:line="560" w:lineRule="exact"/>
        <w:ind w:firstLine="632" w:firstLineChars="200"/>
        <w:rPr>
          <w:sz w:val="32"/>
          <w:szCs w:val="32"/>
        </w:rPr>
      </w:pPr>
      <w:r>
        <w:rPr>
          <w:rFonts w:hint="eastAsia" w:ascii="仿宋_GB2312" w:hAnsi="仿宋_GB2312" w:cs="仿宋_GB2312"/>
          <w:sz w:val="32"/>
          <w:szCs w:val="32"/>
        </w:rPr>
        <w:t>本指引自2023年1月1日施行，有效期五年。</w:t>
      </w:r>
      <w:r>
        <w:rPr>
          <w:rFonts w:hint="eastAsia" w:ascii="仿宋_GB2312" w:hAnsi="仿宋_GB2312" w:cs="仿宋_GB2312"/>
          <w:color w:val="000000"/>
          <w:kern w:val="0"/>
          <w:sz w:val="32"/>
          <w:szCs w:val="32"/>
        </w:rPr>
        <w:t>原深圳市应急管理局印发的</w:t>
      </w:r>
      <w:r>
        <w:rPr>
          <w:rFonts w:hint="eastAsia" w:ascii="仿宋_GB2312" w:hAnsi="仿宋_GB2312" w:cs="仿宋_GB2312"/>
          <w:sz w:val="32"/>
          <w:szCs w:val="32"/>
        </w:rPr>
        <w:t>《深圳市安全教育基地评定指引》（</w:t>
      </w:r>
      <w:r>
        <w:rPr>
          <w:rFonts w:hint="eastAsia" w:ascii="仿宋_GB2312" w:hAnsi="宋体" w:cs="宋体"/>
          <w:kern w:val="0"/>
          <w:sz w:val="32"/>
          <w:szCs w:val="32"/>
        </w:rPr>
        <w:t>深应急规</w:t>
      </w:r>
      <w:r>
        <w:rPr>
          <w:rFonts w:hint="eastAsia" w:ascii="宋体" w:hAnsi="宋体" w:cs="宋体"/>
          <w:kern w:val="0"/>
          <w:sz w:val="32"/>
          <w:szCs w:val="32"/>
        </w:rPr>
        <w:t>〔</w:t>
      </w:r>
      <w:r>
        <w:rPr>
          <w:rFonts w:hint="eastAsia" w:ascii="仿宋_GB2312" w:hAnsi="宋体" w:cs="宋体"/>
          <w:kern w:val="0"/>
          <w:sz w:val="32"/>
          <w:szCs w:val="32"/>
        </w:rPr>
        <w:t>2020〕6号）同时废止。</w:t>
      </w:r>
    </w:p>
    <w:p>
      <w:pPr>
        <w:spacing w:line="20" w:lineRule="exact"/>
        <w:rPr>
          <w:color w:val="000000"/>
        </w:rPr>
      </w:pPr>
    </w:p>
    <w:sectPr>
      <w:headerReference r:id="rId3" w:type="default"/>
      <w:footerReference r:id="rId4" w:type="default"/>
      <w:pgSz w:w="11906" w:h="16838"/>
      <w:pgMar w:top="2098" w:right="1474" w:bottom="1984" w:left="1587" w:header="851" w:footer="1587" w:gutter="0"/>
      <w:pgNumType w:fmt="decimal"/>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altName w:val="华文仿宋"/>
    <w:panose1 w:val="02010600030101010101"/>
    <w:charset w:val="00"/>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0000000" w:usb3="00000000" w:csb0="2000019F" w:csb1="00000000"/>
  </w:font>
  <w:font w:name="仿宋">
    <w:altName w:val="方正仿宋_GBK"/>
    <w:panose1 w:val="0201060906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CESI黑体-GB2312">
    <w:panose1 w:val="02000500000000000000"/>
    <w:charset w:val="86"/>
    <w:family w:val="auto"/>
    <w:pitch w:val="default"/>
    <w:sig w:usb0="800002BF" w:usb1="184F6CF8" w:usb2="00000012" w:usb3="00000000" w:csb0="0004000F"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pPr>
    <w:r>
      <w:rPr>
        <w:sz w:val="18"/>
      </w:rPr>
      <w:pict>
        <v:shape id="_x0000_s1085" o:spid="_x0000_s108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2AF"/>
    <w:rsid w:val="000822B4"/>
    <w:rsid w:val="001B4B20"/>
    <w:rsid w:val="00367A26"/>
    <w:rsid w:val="00397683"/>
    <w:rsid w:val="003B0356"/>
    <w:rsid w:val="003D4000"/>
    <w:rsid w:val="003D59FA"/>
    <w:rsid w:val="003D62AF"/>
    <w:rsid w:val="003E5950"/>
    <w:rsid w:val="00404DD7"/>
    <w:rsid w:val="0046717F"/>
    <w:rsid w:val="005F187F"/>
    <w:rsid w:val="00745093"/>
    <w:rsid w:val="00763115"/>
    <w:rsid w:val="007E2446"/>
    <w:rsid w:val="00824048"/>
    <w:rsid w:val="008E5D29"/>
    <w:rsid w:val="009A3146"/>
    <w:rsid w:val="009F15A5"/>
    <w:rsid w:val="00A91427"/>
    <w:rsid w:val="00B26687"/>
    <w:rsid w:val="00B34BF2"/>
    <w:rsid w:val="00B40496"/>
    <w:rsid w:val="00B65DE9"/>
    <w:rsid w:val="00B6661B"/>
    <w:rsid w:val="00BA4F78"/>
    <w:rsid w:val="00C05043"/>
    <w:rsid w:val="00C43523"/>
    <w:rsid w:val="00D60543"/>
    <w:rsid w:val="00DE6398"/>
    <w:rsid w:val="00E84768"/>
    <w:rsid w:val="00FE7F8A"/>
    <w:rsid w:val="02407A70"/>
    <w:rsid w:val="024B57D4"/>
    <w:rsid w:val="04AB168A"/>
    <w:rsid w:val="0A9D2F97"/>
    <w:rsid w:val="0BBFBEAC"/>
    <w:rsid w:val="0D617BC7"/>
    <w:rsid w:val="0D9D79F6"/>
    <w:rsid w:val="0E825DB1"/>
    <w:rsid w:val="0E864717"/>
    <w:rsid w:val="0F1B23BF"/>
    <w:rsid w:val="10066A51"/>
    <w:rsid w:val="10D73FE9"/>
    <w:rsid w:val="114A4377"/>
    <w:rsid w:val="136D7791"/>
    <w:rsid w:val="144B3AE7"/>
    <w:rsid w:val="15490EA3"/>
    <w:rsid w:val="16710696"/>
    <w:rsid w:val="17BB2ED4"/>
    <w:rsid w:val="19771D42"/>
    <w:rsid w:val="1A694281"/>
    <w:rsid w:val="1CC76DBB"/>
    <w:rsid w:val="1D27EA88"/>
    <w:rsid w:val="1D7D3F5A"/>
    <w:rsid w:val="1E1FEF29"/>
    <w:rsid w:val="1ED11F7E"/>
    <w:rsid w:val="21414FA7"/>
    <w:rsid w:val="24BE5A3C"/>
    <w:rsid w:val="26E65B65"/>
    <w:rsid w:val="26EFA3EC"/>
    <w:rsid w:val="27F470EA"/>
    <w:rsid w:val="296D0004"/>
    <w:rsid w:val="29AA5C86"/>
    <w:rsid w:val="2A295228"/>
    <w:rsid w:val="2D0A159E"/>
    <w:rsid w:val="2E9E3D67"/>
    <w:rsid w:val="2FADA772"/>
    <w:rsid w:val="31F821B8"/>
    <w:rsid w:val="35194096"/>
    <w:rsid w:val="377F3FFE"/>
    <w:rsid w:val="37EFA45C"/>
    <w:rsid w:val="38470F3F"/>
    <w:rsid w:val="397330FD"/>
    <w:rsid w:val="39D7DE3D"/>
    <w:rsid w:val="39DAD165"/>
    <w:rsid w:val="3A5A7A19"/>
    <w:rsid w:val="3AC46378"/>
    <w:rsid w:val="3ADF2271"/>
    <w:rsid w:val="3C696FC1"/>
    <w:rsid w:val="3D39D31A"/>
    <w:rsid w:val="3DD553AC"/>
    <w:rsid w:val="3DF97E36"/>
    <w:rsid w:val="3E19523A"/>
    <w:rsid w:val="3E483A0E"/>
    <w:rsid w:val="3EFEF5D3"/>
    <w:rsid w:val="3F9905B9"/>
    <w:rsid w:val="3FD67D19"/>
    <w:rsid w:val="3FFB177B"/>
    <w:rsid w:val="3FFC7907"/>
    <w:rsid w:val="3FFFECA2"/>
    <w:rsid w:val="41272DE9"/>
    <w:rsid w:val="45731CC9"/>
    <w:rsid w:val="45FC778B"/>
    <w:rsid w:val="46F75972"/>
    <w:rsid w:val="472F7CCC"/>
    <w:rsid w:val="47932FDA"/>
    <w:rsid w:val="47B37163"/>
    <w:rsid w:val="48473B0F"/>
    <w:rsid w:val="4954569F"/>
    <w:rsid w:val="49B65F41"/>
    <w:rsid w:val="4B82607D"/>
    <w:rsid w:val="4C4113CF"/>
    <w:rsid w:val="4D8471A7"/>
    <w:rsid w:val="4DD3E0F8"/>
    <w:rsid w:val="4DE57875"/>
    <w:rsid w:val="4FEB3B86"/>
    <w:rsid w:val="519D406A"/>
    <w:rsid w:val="523550BC"/>
    <w:rsid w:val="53F7B2E3"/>
    <w:rsid w:val="53FB4CCB"/>
    <w:rsid w:val="54446BB6"/>
    <w:rsid w:val="55BD30A5"/>
    <w:rsid w:val="55DB919D"/>
    <w:rsid w:val="570D9775"/>
    <w:rsid w:val="57ED252F"/>
    <w:rsid w:val="58E77EAF"/>
    <w:rsid w:val="5A5939ED"/>
    <w:rsid w:val="5A9C068F"/>
    <w:rsid w:val="5B5D6068"/>
    <w:rsid w:val="5BB7487C"/>
    <w:rsid w:val="5BFF8CA0"/>
    <w:rsid w:val="5E36034D"/>
    <w:rsid w:val="5EEE0FCB"/>
    <w:rsid w:val="5F1FB19B"/>
    <w:rsid w:val="5F820458"/>
    <w:rsid w:val="5F9B24D3"/>
    <w:rsid w:val="5FDE6722"/>
    <w:rsid w:val="5FE6F242"/>
    <w:rsid w:val="5FEE165C"/>
    <w:rsid w:val="5FEF0959"/>
    <w:rsid w:val="5FFB2934"/>
    <w:rsid w:val="60465233"/>
    <w:rsid w:val="60495092"/>
    <w:rsid w:val="630A5496"/>
    <w:rsid w:val="65F9EA72"/>
    <w:rsid w:val="66091AE3"/>
    <w:rsid w:val="666660DE"/>
    <w:rsid w:val="66DD741E"/>
    <w:rsid w:val="67BF99EE"/>
    <w:rsid w:val="67EBC739"/>
    <w:rsid w:val="67EE39F6"/>
    <w:rsid w:val="67FB7EAA"/>
    <w:rsid w:val="67FE64B3"/>
    <w:rsid w:val="685F3CB1"/>
    <w:rsid w:val="68AF4E0D"/>
    <w:rsid w:val="68C07330"/>
    <w:rsid w:val="696D74DE"/>
    <w:rsid w:val="69913047"/>
    <w:rsid w:val="69FB5633"/>
    <w:rsid w:val="6CC7C4D7"/>
    <w:rsid w:val="6DFC7497"/>
    <w:rsid w:val="6E983285"/>
    <w:rsid w:val="6EAF732D"/>
    <w:rsid w:val="6FE76296"/>
    <w:rsid w:val="70030B0E"/>
    <w:rsid w:val="70C42FF4"/>
    <w:rsid w:val="712026E3"/>
    <w:rsid w:val="715871DB"/>
    <w:rsid w:val="71BD9F09"/>
    <w:rsid w:val="71CB33D1"/>
    <w:rsid w:val="74A83091"/>
    <w:rsid w:val="75CF9152"/>
    <w:rsid w:val="760854F6"/>
    <w:rsid w:val="76151B6D"/>
    <w:rsid w:val="766F57C9"/>
    <w:rsid w:val="77271155"/>
    <w:rsid w:val="7766C4AF"/>
    <w:rsid w:val="777943DF"/>
    <w:rsid w:val="778B6E58"/>
    <w:rsid w:val="77A91A3E"/>
    <w:rsid w:val="77BDE5FA"/>
    <w:rsid w:val="77BEC636"/>
    <w:rsid w:val="77DB3634"/>
    <w:rsid w:val="77F64651"/>
    <w:rsid w:val="790A550D"/>
    <w:rsid w:val="798FDE5A"/>
    <w:rsid w:val="79BF30B8"/>
    <w:rsid w:val="79E1572D"/>
    <w:rsid w:val="79FB1C7F"/>
    <w:rsid w:val="7A953B26"/>
    <w:rsid w:val="7ABF72FD"/>
    <w:rsid w:val="7BF5B39E"/>
    <w:rsid w:val="7BFE6F27"/>
    <w:rsid w:val="7CC56BE8"/>
    <w:rsid w:val="7DB82432"/>
    <w:rsid w:val="7DD71861"/>
    <w:rsid w:val="7DED91A5"/>
    <w:rsid w:val="7DF1F866"/>
    <w:rsid w:val="7DFF4E84"/>
    <w:rsid w:val="7EBED48D"/>
    <w:rsid w:val="7EBF52EC"/>
    <w:rsid w:val="7EDF2F19"/>
    <w:rsid w:val="7EF3E30D"/>
    <w:rsid w:val="7EFB7D7A"/>
    <w:rsid w:val="7F680563"/>
    <w:rsid w:val="7F6BEE95"/>
    <w:rsid w:val="7F7ED615"/>
    <w:rsid w:val="7FB3E378"/>
    <w:rsid w:val="7FC5230F"/>
    <w:rsid w:val="7FF31C42"/>
    <w:rsid w:val="7FFEB1BB"/>
    <w:rsid w:val="8BDFB69E"/>
    <w:rsid w:val="8EC64D3D"/>
    <w:rsid w:val="99FF2FB6"/>
    <w:rsid w:val="9AF6D404"/>
    <w:rsid w:val="9CFFFD21"/>
    <w:rsid w:val="A7B8F1D7"/>
    <w:rsid w:val="A8DF7011"/>
    <w:rsid w:val="AD6F8168"/>
    <w:rsid w:val="AFFDF5CA"/>
    <w:rsid w:val="B845C64B"/>
    <w:rsid w:val="B9A76295"/>
    <w:rsid w:val="BB79CE36"/>
    <w:rsid w:val="BBFDB70F"/>
    <w:rsid w:val="BEE8A8BE"/>
    <w:rsid w:val="BF6F1785"/>
    <w:rsid w:val="BFBF89A2"/>
    <w:rsid w:val="BFF7D4F8"/>
    <w:rsid w:val="BFFF5A7D"/>
    <w:rsid w:val="CDA94557"/>
    <w:rsid w:val="CDFE0DE7"/>
    <w:rsid w:val="CFBEC2CB"/>
    <w:rsid w:val="CFFBEEB3"/>
    <w:rsid w:val="D9BFEC16"/>
    <w:rsid w:val="DBFEAA06"/>
    <w:rsid w:val="DDBF272F"/>
    <w:rsid w:val="DDF7833F"/>
    <w:rsid w:val="DDFFD2A3"/>
    <w:rsid w:val="DEB5E837"/>
    <w:rsid w:val="DF6BE6F7"/>
    <w:rsid w:val="DF7B0A87"/>
    <w:rsid w:val="DF7F841E"/>
    <w:rsid w:val="DFBD76A5"/>
    <w:rsid w:val="DFF760F1"/>
    <w:rsid w:val="DFF92EFD"/>
    <w:rsid w:val="DFFF78AF"/>
    <w:rsid w:val="E7F96B2F"/>
    <w:rsid w:val="E7FAA41B"/>
    <w:rsid w:val="E7FDB59C"/>
    <w:rsid w:val="E7FF3362"/>
    <w:rsid w:val="E7FF586B"/>
    <w:rsid w:val="E9FF6AB5"/>
    <w:rsid w:val="EB176556"/>
    <w:rsid w:val="EB3F3A37"/>
    <w:rsid w:val="ED752AB4"/>
    <w:rsid w:val="EE7FA68B"/>
    <w:rsid w:val="EF3F024E"/>
    <w:rsid w:val="EF6F99ED"/>
    <w:rsid w:val="EF7333D3"/>
    <w:rsid w:val="EFF7C8E0"/>
    <w:rsid w:val="F31E491E"/>
    <w:rsid w:val="F5B57940"/>
    <w:rsid w:val="F5E70497"/>
    <w:rsid w:val="F675F84C"/>
    <w:rsid w:val="F7FF3096"/>
    <w:rsid w:val="FA77A085"/>
    <w:rsid w:val="FBBFB7E6"/>
    <w:rsid w:val="FBDD5BA6"/>
    <w:rsid w:val="FBFD332A"/>
    <w:rsid w:val="FCCD957D"/>
    <w:rsid w:val="FD6B4F77"/>
    <w:rsid w:val="FD9F091C"/>
    <w:rsid w:val="FDAE61B6"/>
    <w:rsid w:val="FDF90D50"/>
    <w:rsid w:val="FE77C18E"/>
    <w:rsid w:val="FEC549FC"/>
    <w:rsid w:val="FEF7D845"/>
    <w:rsid w:val="FEFAAAE9"/>
    <w:rsid w:val="FFABDBF8"/>
    <w:rsid w:val="FFAF0AE9"/>
    <w:rsid w:val="FFBCFF45"/>
    <w:rsid w:val="FFFB6A6E"/>
    <w:rsid w:val="FFFD2E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方正小标宋简体" w:hAnsi="方正小标宋简体" w:eastAsia="方正小标宋简体" w:cs="方正小标宋简体"/>
      <w:kern w:val="44"/>
      <w:sz w:val="44"/>
      <w:szCs w:val="44"/>
    </w:rPr>
  </w:style>
  <w:style w:type="paragraph" w:styleId="4">
    <w:name w:val="heading 2"/>
    <w:basedOn w:val="1"/>
    <w:next w:val="1"/>
    <w:unhideWhenUsed/>
    <w:qFormat/>
    <w:uiPriority w:val="0"/>
    <w:pPr>
      <w:keepNext/>
      <w:keepLines/>
      <w:widowControl w:val="0"/>
      <w:spacing w:beforeLines="0" w:beforeAutospacing="0" w:afterLines="0" w:afterAutospacing="0" w:line="560" w:lineRule="exact"/>
      <w:ind w:firstLine="640" w:firstLineChars="200"/>
      <w:jc w:val="both"/>
      <w:outlineLvl w:val="1"/>
    </w:pPr>
    <w:rPr>
      <w:rFonts w:ascii="黑体" w:hAnsi="黑体" w:eastAsia="黑体" w:cs="黑体"/>
      <w:kern w:val="2"/>
      <w:sz w:val="32"/>
      <w:szCs w:val="32"/>
      <w:lang w:val="en-US" w:eastAsia="zh-CN" w:bidi="ar-SA"/>
    </w:rPr>
  </w:style>
  <w:style w:type="paragraph" w:styleId="5">
    <w:name w:val="heading 3"/>
    <w:basedOn w:val="1"/>
    <w:next w:val="1"/>
    <w:qFormat/>
    <w:uiPriority w:val="0"/>
    <w:pPr>
      <w:keepNext/>
      <w:keepLines/>
      <w:spacing w:line="416" w:lineRule="auto"/>
      <w:outlineLvl w:val="2"/>
    </w:pPr>
    <w:rPr>
      <w:rFonts w:ascii="Times New Roman" w:hAnsi="Times New Roman"/>
      <w:b/>
      <w:bCs/>
      <w:sz w:val="32"/>
      <w:szCs w:val="32"/>
    </w:rPr>
  </w:style>
  <w:style w:type="character" w:default="1" w:styleId="29">
    <w:name w:val="Default Paragraph Font"/>
    <w:link w:val="30"/>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afterLines="0" w:afterAutospacing="0" w:line="560" w:lineRule="exact"/>
      <w:ind w:firstLine="640" w:firstLineChars="200"/>
      <w:jc w:val="both"/>
    </w:pPr>
    <w:rPr>
      <w:rFonts w:ascii="仿宋_GB2312" w:hAnsi="仿宋_GB2312" w:eastAsia="仿宋_GB2312" w:cs="仿宋_GB2312"/>
      <w:kern w:val="2"/>
      <w:sz w:val="32"/>
      <w:szCs w:val="32"/>
      <w:lang w:val="en-US" w:eastAsia="zh-CN" w:bidi="ar-SA"/>
    </w:rPr>
  </w:style>
  <w:style w:type="paragraph" w:styleId="6">
    <w:name w:val="table of authorities"/>
    <w:next w:val="1"/>
    <w:qFormat/>
    <w:uiPriority w:val="99"/>
    <w:pPr>
      <w:widowControl w:val="0"/>
      <w:ind w:left="420" w:leftChars="200"/>
      <w:jc w:val="both"/>
    </w:pPr>
    <w:rPr>
      <w:rFonts w:ascii="Times New Roman" w:hAnsi="Times New Roman" w:eastAsia="仿宋_GB2312" w:cs="Times New Roman"/>
      <w:kern w:val="2"/>
      <w:sz w:val="32"/>
      <w:szCs w:val="32"/>
      <w:lang w:val="en-US" w:eastAsia="zh-CN" w:bidi="ar-SA"/>
    </w:rPr>
  </w:style>
  <w:style w:type="paragraph" w:styleId="7">
    <w:name w:val="index 8"/>
    <w:basedOn w:val="1"/>
    <w:next w:val="1"/>
    <w:unhideWhenUsed/>
    <w:qFormat/>
    <w:uiPriority w:val="99"/>
    <w:pPr>
      <w:ind w:left="2940"/>
    </w:pPr>
  </w:style>
  <w:style w:type="paragraph" w:styleId="8">
    <w:name w:val="Normal Indent"/>
    <w:basedOn w:val="1"/>
    <w:link w:val="35"/>
    <w:qFormat/>
    <w:uiPriority w:val="0"/>
    <w:pPr>
      <w:ind w:firstLine="420"/>
    </w:pPr>
    <w:rPr>
      <w:rFonts w:cs="Times New Roman"/>
      <w:szCs w:val="24"/>
    </w:rPr>
  </w:style>
  <w:style w:type="paragraph" w:styleId="9">
    <w:name w:val="index 5"/>
    <w:basedOn w:val="1"/>
    <w:next w:val="1"/>
    <w:qFormat/>
    <w:uiPriority w:val="0"/>
    <w:pPr>
      <w:ind w:left="1680"/>
    </w:pPr>
    <w:rPr>
      <w:rFonts w:ascii="Calibri" w:hAnsi="Calibri" w:eastAsia="宋体" w:cs="Times New Roman"/>
    </w:rPr>
  </w:style>
  <w:style w:type="paragraph" w:styleId="10">
    <w:name w:val="Document Map"/>
    <w:basedOn w:val="1"/>
    <w:semiHidden/>
    <w:qFormat/>
    <w:uiPriority w:val="0"/>
    <w:pPr>
      <w:shd w:val="clear" w:color="auto" w:fill="000080"/>
    </w:pPr>
  </w:style>
  <w:style w:type="paragraph" w:styleId="11">
    <w:name w:val="annotation text"/>
    <w:basedOn w:val="1"/>
    <w:qFormat/>
    <w:uiPriority w:val="0"/>
    <w:pPr>
      <w:jc w:val="left"/>
    </w:pPr>
  </w:style>
  <w:style w:type="paragraph" w:styleId="12">
    <w:name w:val="Body Text Indent"/>
    <w:basedOn w:val="13"/>
    <w:unhideWhenUsed/>
    <w:qFormat/>
    <w:uiPriority w:val="99"/>
    <w:pPr>
      <w:spacing w:after="120"/>
      <w:ind w:left="420" w:leftChars="200"/>
    </w:pPr>
  </w:style>
  <w:style w:type="paragraph" w:customStyle="1" w:styleId="13">
    <w:name w:val="正文_0"/>
    <w:next w:val="14"/>
    <w:qFormat/>
    <w:uiPriority w:val="0"/>
    <w:pPr>
      <w:widowControl w:val="0"/>
      <w:jc w:val="both"/>
    </w:pPr>
    <w:rPr>
      <w:rFonts w:ascii="Calibri" w:hAnsi="Calibri" w:eastAsia="仿宋_GB2312" w:cs="Times New Roman"/>
      <w:kern w:val="2"/>
      <w:sz w:val="32"/>
      <w:szCs w:val="24"/>
      <w:lang w:val="en-US" w:eastAsia="zh-CN" w:bidi="ar-SA"/>
    </w:rPr>
  </w:style>
  <w:style w:type="paragraph" w:styleId="14">
    <w:name w:val="Body Text First Indent 2"/>
    <w:basedOn w:val="12"/>
    <w:unhideWhenUsed/>
    <w:qFormat/>
    <w:uiPriority w:val="99"/>
    <w:pPr>
      <w:spacing w:before="100" w:beforeAutospacing="1" w:after="0"/>
      <w:ind w:firstLine="420" w:firstLineChars="200"/>
    </w:pPr>
  </w:style>
  <w:style w:type="paragraph" w:styleId="15">
    <w:name w:val="toc 5"/>
    <w:basedOn w:val="1"/>
    <w:next w:val="1"/>
    <w:qFormat/>
    <w:uiPriority w:val="0"/>
    <w:pPr>
      <w:ind w:left="1680"/>
    </w:pPr>
    <w:rPr>
      <w:rFonts w:ascii="Times New Roman" w:hAnsi="Times New Roman" w:eastAsia="宋体" w:cs="Times New Roman"/>
    </w:rPr>
  </w:style>
  <w:style w:type="paragraph" w:styleId="16">
    <w:name w:val="Plain Text"/>
    <w:basedOn w:val="1"/>
    <w:next w:val="7"/>
    <w:qFormat/>
    <w:uiPriority w:val="0"/>
    <w:rPr>
      <w:rFonts w:ascii="宋体" w:hAnsi="Courier New" w:eastAsia="宋体" w:cs="Courier New"/>
      <w:sz w:val="21"/>
      <w:szCs w:val="21"/>
    </w:rPr>
  </w:style>
  <w:style w:type="paragraph" w:styleId="17">
    <w:name w:val="Body Text Indent 2"/>
    <w:basedOn w:val="1"/>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18">
    <w:name w:val="endnote text"/>
    <w:basedOn w:val="1"/>
    <w:qFormat/>
    <w:uiPriority w:val="0"/>
    <w:pPr>
      <w:snapToGrid w:val="0"/>
      <w:jc w:val="left"/>
    </w:pPr>
    <w:rPr>
      <w:rFonts w:ascii="Calibri" w:hAnsi="Calibri" w:eastAsia="宋体" w:cs="Times New Roman"/>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footnote text"/>
    <w:qFormat/>
    <w:uiPriority w:val="0"/>
    <w:pPr>
      <w:widowControl w:val="0"/>
      <w:snapToGrid w:val="0"/>
      <w:jc w:val="left"/>
    </w:pPr>
    <w:rPr>
      <w:rFonts w:ascii="Calibri" w:hAnsi="Calibri" w:eastAsia="宋体" w:cs="Times New Roman"/>
      <w:kern w:val="2"/>
      <w:sz w:val="18"/>
      <w:szCs w:val="24"/>
      <w:lang w:val="en-US" w:eastAsia="zh-CN" w:bidi="ar-SA"/>
    </w:rPr>
  </w:style>
  <w:style w:type="paragraph" w:styleId="22">
    <w:name w:val="toc 2"/>
    <w:basedOn w:val="1"/>
    <w:next w:val="1"/>
    <w:qFormat/>
    <w:uiPriority w:val="39"/>
    <w:pPr>
      <w:ind w:left="320"/>
    </w:pPr>
    <w:rPr>
      <w:rFonts w:ascii="等线" w:eastAsia="等线"/>
      <w:smallCaps/>
      <w:sz w:val="20"/>
      <w:szCs w:val="20"/>
    </w:rPr>
  </w:style>
  <w:style w:type="paragraph" w:styleId="2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4">
    <w:name w:val="Normal (Web)"/>
    <w:basedOn w:val="1"/>
    <w:qFormat/>
    <w:uiPriority w:val="0"/>
    <w:pPr>
      <w:spacing w:before="100" w:beforeAutospacing="1" w:after="100" w:afterAutospacing="1"/>
      <w:jc w:val="left"/>
    </w:pPr>
    <w:rPr>
      <w:rFonts w:ascii="Times New Roman" w:hAnsi="Times New Roman" w:eastAsia="仿宋_GB2312"/>
      <w:kern w:val="0"/>
      <w:sz w:val="24"/>
      <w:szCs w:val="24"/>
    </w:rPr>
  </w:style>
  <w:style w:type="paragraph" w:styleId="25">
    <w:name w:val="Title"/>
    <w:basedOn w:val="1"/>
    <w:next w:val="1"/>
    <w:link w:val="36"/>
    <w:qFormat/>
    <w:uiPriority w:val="0"/>
    <w:pPr>
      <w:spacing w:before="240" w:after="60" w:line="560" w:lineRule="exact"/>
      <w:ind w:firstLine="200" w:firstLineChars="200"/>
      <w:jc w:val="center"/>
      <w:outlineLvl w:val="0"/>
    </w:pPr>
    <w:rPr>
      <w:rFonts w:ascii="Cambria" w:hAnsi="Cambria" w:eastAsia="方正小标宋简体"/>
      <w:bCs/>
      <w:sz w:val="44"/>
      <w:szCs w:val="32"/>
    </w:rPr>
  </w:style>
  <w:style w:type="paragraph" w:styleId="26">
    <w:name w:val="Body Text First Indent"/>
    <w:basedOn w:val="2"/>
    <w:next w:val="1"/>
    <w:qFormat/>
    <w:uiPriority w:val="0"/>
    <w:pPr>
      <w:widowControl w:val="0"/>
      <w:spacing w:after="120"/>
      <w:ind w:left="115" w:firstLine="420" w:firstLineChars="100"/>
      <w:jc w:val="both"/>
    </w:pPr>
    <w:rPr>
      <w:rFonts w:ascii="仿宋" w:hAnsi="仿宋" w:eastAsia="仿宋" w:cs="仿宋"/>
      <w:kern w:val="2"/>
      <w:sz w:val="30"/>
      <w:szCs w:val="32"/>
      <w:lang w:val="en-US" w:eastAsia="zh-CN" w:bidi="ar-SA"/>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默认段落字体 Para Char Char"/>
    <w:basedOn w:val="1"/>
    <w:link w:val="29"/>
    <w:qFormat/>
    <w:uiPriority w:val="0"/>
    <w:rPr>
      <w:rFonts w:ascii="Times New Roman" w:hAnsi="Times New Roman"/>
      <w:szCs w:val="24"/>
    </w:rPr>
  </w:style>
  <w:style w:type="character" w:styleId="31">
    <w:name w:val="Strong"/>
    <w:qFormat/>
    <w:uiPriority w:val="0"/>
    <w:rPr>
      <w:rFonts w:cs="Times New Roman"/>
      <w:b/>
      <w:bCs/>
    </w:rPr>
  </w:style>
  <w:style w:type="character" w:styleId="32">
    <w:name w:val="page number"/>
    <w:basedOn w:val="29"/>
    <w:qFormat/>
    <w:uiPriority w:val="0"/>
  </w:style>
  <w:style w:type="character" w:styleId="33">
    <w:name w:val="Hyperlink"/>
    <w:basedOn w:val="29"/>
    <w:qFormat/>
    <w:uiPriority w:val="0"/>
    <w:rPr>
      <w:color w:val="0000FF"/>
      <w:u w:val="single"/>
    </w:rPr>
  </w:style>
  <w:style w:type="character" w:styleId="34">
    <w:name w:val="footnote reference"/>
    <w:qFormat/>
    <w:uiPriority w:val="0"/>
    <w:rPr>
      <w:vertAlign w:val="superscript"/>
    </w:rPr>
  </w:style>
  <w:style w:type="character" w:customStyle="1" w:styleId="35">
    <w:name w:val="正文缩进 Char"/>
    <w:link w:val="8"/>
    <w:qFormat/>
    <w:uiPriority w:val="0"/>
    <w:rPr>
      <w:rFonts w:cs="Times New Roman"/>
      <w:szCs w:val="24"/>
    </w:rPr>
  </w:style>
  <w:style w:type="character" w:customStyle="1" w:styleId="36">
    <w:name w:val="Title Char"/>
    <w:basedOn w:val="29"/>
    <w:link w:val="25"/>
    <w:qFormat/>
    <w:locked/>
    <w:uiPriority w:val="0"/>
    <w:rPr>
      <w:rFonts w:ascii="Cambria" w:hAnsi="Cambria" w:eastAsia="方正小标宋简体"/>
      <w:bCs/>
      <w:kern w:val="2"/>
      <w:sz w:val="44"/>
      <w:szCs w:val="32"/>
      <w:lang w:val="en-US" w:eastAsia="zh-CN" w:bidi="ar-SA"/>
    </w:rPr>
  </w:style>
  <w:style w:type="paragraph" w:customStyle="1" w:styleId="37">
    <w:name w:val="UserStyle_0"/>
    <w:qFormat/>
    <w:uiPriority w:val="0"/>
    <w:pPr>
      <w:textAlignment w:val="baseline"/>
    </w:pPr>
    <w:rPr>
      <w:rFonts w:ascii="黑体" w:hAnsi="Times New Roman" w:eastAsia="黑体" w:cs="Times New Roman"/>
      <w:color w:val="000000"/>
      <w:sz w:val="24"/>
      <w:szCs w:val="24"/>
      <w:lang w:val="en-US" w:eastAsia="zh-CN" w:bidi="ar-SA"/>
    </w:rPr>
  </w:style>
  <w:style w:type="paragraph" w:customStyle="1" w:styleId="38">
    <w:name w:val="Plain Text1"/>
    <w:qFormat/>
    <w:uiPriority w:val="0"/>
    <w:pPr>
      <w:widowControl w:val="0"/>
      <w:jc w:val="both"/>
    </w:pPr>
    <w:rPr>
      <w:rFonts w:ascii="宋体" w:hAnsi="Courier New" w:eastAsia="宋体" w:cs="Times New Roman"/>
      <w:kern w:val="2"/>
      <w:sz w:val="30"/>
      <w:szCs w:val="21"/>
      <w:lang w:val="en-US" w:eastAsia="zh-CN" w:bidi="ar-SA"/>
    </w:rPr>
  </w:style>
  <w:style w:type="paragraph" w:customStyle="1" w:styleId="3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Char1"/>
    <w:basedOn w:val="1"/>
    <w:qFormat/>
    <w:uiPriority w:val="0"/>
    <w:rPr>
      <w:rFonts w:ascii="Tahoma" w:hAnsi="Tahoma" w:cs="Times New Roman"/>
      <w:sz w:val="24"/>
      <w:szCs w:val="20"/>
    </w:rPr>
  </w:style>
  <w:style w:type="paragraph" w:customStyle="1" w:styleId="41">
    <w:name w:val="PlainText"/>
    <w:qFormat/>
    <w:uiPriority w:val="0"/>
    <w:pPr>
      <w:widowControl w:val="0"/>
      <w:jc w:val="both"/>
      <w:textAlignment w:val="baseline"/>
    </w:pPr>
    <w:rPr>
      <w:rFonts w:ascii="宋体" w:hAnsi="Courier New" w:eastAsia="宋体" w:cs="Times New Roman"/>
      <w:kern w:val="2"/>
      <w:sz w:val="21"/>
      <w:szCs w:val="22"/>
      <w:lang w:val="en-US" w:eastAsia="zh-CN" w:bidi="ar-SA"/>
    </w:rPr>
  </w:style>
  <w:style w:type="paragraph" w:customStyle="1" w:styleId="42">
    <w:name w:val="NormalIndent"/>
    <w:basedOn w:val="1"/>
    <w:qFormat/>
    <w:uiPriority w:val="0"/>
    <w:pPr>
      <w:widowControl/>
      <w:ind w:firstLine="420"/>
      <w:textAlignment w:val="baseline"/>
    </w:pPr>
    <w:rPr>
      <w:szCs w:val="20"/>
    </w:rPr>
  </w:style>
  <w:style w:type="paragraph" w:customStyle="1" w:styleId="43">
    <w:name w:val=" Char"/>
    <w:basedOn w:val="1"/>
    <w:qFormat/>
    <w:uiPriority w:val="0"/>
    <w:rPr>
      <w:rFonts w:ascii="Times New Roman" w:hAnsi="Times New Roman"/>
      <w:sz w:val="24"/>
      <w:szCs w:val="24"/>
    </w:rPr>
  </w:style>
  <w:style w:type="paragraph" w:customStyle="1" w:styleId="44">
    <w:name w:val="一级标题"/>
    <w:basedOn w:val="1"/>
    <w:qFormat/>
    <w:uiPriority w:val="99"/>
    <w:pPr>
      <w:tabs>
        <w:tab w:val="left" w:pos="8374"/>
      </w:tabs>
      <w:spacing w:line="560" w:lineRule="exact"/>
      <w:ind w:firstLine="200" w:firstLineChars="200"/>
      <w:outlineLvl w:val="1"/>
    </w:pPr>
    <w:rPr>
      <w:rFonts w:ascii="黑体" w:hAnsi="黑体" w:eastAsia="黑体" w:cs="黑体"/>
    </w:rPr>
  </w:style>
  <w:style w:type="paragraph" w:customStyle="1" w:styleId="45">
    <w:name w:val="正文_0_0"/>
    <w:next w:val="2"/>
    <w:qFormat/>
    <w:uiPriority w:val="0"/>
    <w:pPr>
      <w:widowControl w:val="0"/>
      <w:jc w:val="both"/>
    </w:pPr>
    <w:rPr>
      <w:rFonts w:ascii="Times New Roman" w:hAnsi="Times New Roman" w:eastAsia="仿宋_GB2312" w:cs="Times New Roman"/>
      <w:kern w:val="2"/>
      <w:sz w:val="32"/>
      <w:lang w:val="en-US" w:eastAsia="zh-CN" w:bidi="ar-SA"/>
    </w:rPr>
  </w:style>
  <w:style w:type="character" w:customStyle="1" w:styleId="46">
    <w:name w:val="NormalCharacter"/>
    <w:link w:val="47"/>
    <w:semiHidden/>
    <w:qFormat/>
    <w:uiPriority w:val="0"/>
    <w:rPr>
      <w:rFonts w:eastAsia="宋体"/>
      <w:sz w:val="24"/>
      <w:szCs w:val="24"/>
    </w:rPr>
  </w:style>
  <w:style w:type="paragraph" w:customStyle="1" w:styleId="47">
    <w:name w:val="UserStyle_2"/>
    <w:basedOn w:val="1"/>
    <w:link w:val="46"/>
    <w:qFormat/>
    <w:uiPriority w:val="0"/>
    <w:pPr>
      <w:textAlignment w:val="baseline"/>
    </w:pPr>
    <w:rPr>
      <w:rFonts w:eastAsia="宋体"/>
      <w:sz w:val="24"/>
      <w:szCs w:val="24"/>
    </w:rPr>
  </w:style>
  <w:style w:type="character" w:customStyle="1" w:styleId="48">
    <w:name w:val="font21"/>
    <w:basedOn w:val="29"/>
    <w:qFormat/>
    <w:uiPriority w:val="0"/>
    <w:rPr>
      <w:rFonts w:hint="eastAsia" w:ascii="仿宋_GB2312" w:eastAsia="仿宋_GB2312"/>
      <w:color w:val="000000"/>
      <w:sz w:val="28"/>
      <w:szCs w:val="28"/>
      <w:u w:val="none"/>
    </w:rPr>
  </w:style>
  <w:style w:type="character" w:customStyle="1" w:styleId="49">
    <w:name w:val="font11"/>
    <w:basedOn w:val="29"/>
    <w:qFormat/>
    <w:uiPriority w:val="0"/>
    <w:rPr>
      <w:rFonts w:hint="eastAsia" w:ascii="仿宋_GB2312" w:eastAsia="仿宋_GB2312"/>
      <w:color w:val="00B0F0"/>
      <w:sz w:val="28"/>
      <w:szCs w:val="28"/>
      <w:u w:val="none"/>
    </w:rPr>
  </w:style>
  <w:style w:type="character" w:customStyle="1" w:styleId="50">
    <w:name w:val="font31"/>
    <w:basedOn w:val="29"/>
    <w:qFormat/>
    <w:uiPriority w:val="0"/>
    <w:rPr>
      <w:rFonts w:hint="eastAsia" w:ascii="仿宋_GB2312" w:eastAsia="仿宋_GB2312"/>
      <w:color w:val="000000"/>
      <w:sz w:val="28"/>
      <w:szCs w:val="28"/>
      <w:u w:val="none"/>
    </w:rPr>
  </w:style>
  <w:style w:type="paragraph" w:styleId="51">
    <w:name w:val="List Paragraph"/>
    <w:basedOn w:val="1"/>
    <w:qFormat/>
    <w:uiPriority w:val="99"/>
    <w:pPr>
      <w:ind w:firstLine="420" w:firstLineChars="200"/>
    </w:pPr>
  </w:style>
  <w:style w:type="paragraph" w:customStyle="1" w:styleId="52">
    <w:name w:val="BodyText"/>
    <w:basedOn w:val="1"/>
    <w:qFormat/>
    <w:uiPriority w:val="0"/>
    <w:pPr>
      <w:tabs>
        <w:tab w:val="left" w:pos="562"/>
        <w:tab w:val="left" w:pos="3372"/>
        <w:tab w:val="left" w:pos="3653"/>
      </w:tabs>
    </w:pPr>
    <w:rPr>
      <w:sz w:val="24"/>
    </w:rPr>
  </w:style>
  <w:style w:type="character" w:customStyle="1" w:styleId="53">
    <w:name w:val="fontstyle01"/>
    <w:basedOn w:val="29"/>
    <w:qFormat/>
    <w:uiPriority w:val="0"/>
    <w:rPr>
      <w:rFonts w:ascii="仿宋" w:hAnsi="仿宋" w:eastAsia="仿宋" w:cs="仿宋"/>
      <w:color w:val="000000"/>
      <w:sz w:val="32"/>
      <w:szCs w:val="32"/>
    </w:rPr>
  </w:style>
  <w:style w:type="paragraph" w:customStyle="1" w:styleId="54">
    <w:name w:val="列出段落1"/>
    <w:qFormat/>
    <w:uiPriority w:val="34"/>
    <w:pPr>
      <w:widowControl w:val="0"/>
      <w:ind w:firstLine="420" w:firstLineChars="200"/>
      <w:jc w:val="both"/>
    </w:pPr>
    <w:rPr>
      <w:rFonts w:ascii="Calibri"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85" textRotate="1"/>
    <customShpInfo spid="_x0000_s207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100</Words>
  <Characters>576</Characters>
  <Lines>4</Lines>
  <Paragraphs>1</Paragraphs>
  <TotalTime>8</TotalTime>
  <ScaleCrop>false</ScaleCrop>
  <LinksUpToDate>false</LinksUpToDate>
  <CharactersWithSpaces>675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2018-01-26T17:56:00Z</dcterms:created>
  <dc:creator>杨洁</dc:creator>
  <cp:lastModifiedBy>chen</cp:lastModifiedBy>
  <cp:lastPrinted>2023-11-02T18:08:00Z</cp:lastPrinted>
  <dcterms:modified xsi:type="dcterms:W3CDTF">2023-11-03T15:21:20Z</dcterms:modified>
  <dc:title>深安办〔2016〕2号                    签发人：杨 威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A4302CF326E527F5616F4065F154ACC2</vt:lpwstr>
  </property>
</Properties>
</file>