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before="0" w:after="0" w:line="560" w:lineRule="exact"/>
        <w:ind w:firstLine="0" w:firstLineChars="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坪山街道残疾人综合（职业）康复服务中心</w:t>
      </w:r>
    </w:p>
    <w:p>
      <w:pPr>
        <w:pageBreakBefore w:val="0"/>
        <w:kinsoku/>
        <w:wordWrap/>
        <w:overflowPunct/>
        <w:topLinePunct w:val="0"/>
        <w:autoSpaceDE/>
        <w:autoSpaceDN/>
        <w:bidi w:val="0"/>
        <w:spacing w:before="0" w:after="0" w:line="560" w:lineRule="exact"/>
        <w:ind w:firstLine="0" w:firstLineChars="0"/>
        <w:jc w:val="center"/>
        <w:textAlignment w:val="auto"/>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color w:val="000000"/>
          <w:sz w:val="44"/>
          <w:szCs w:val="44"/>
          <w:lang w:val="en-US" w:eastAsia="zh-CN"/>
        </w:rPr>
        <w:t>社工服务项目的</w:t>
      </w:r>
      <w:r>
        <w:rPr>
          <w:rFonts w:hint="eastAsia" w:ascii="方正小标宋_GBK" w:hAnsi="方正小标宋_GBK" w:eastAsia="方正小标宋_GBK" w:cs="方正小标宋_GBK"/>
          <w:b w:val="0"/>
          <w:bCs/>
          <w:color w:val="000000"/>
          <w:sz w:val="44"/>
          <w:szCs w:val="44"/>
        </w:rPr>
        <w:t>采购需求</w:t>
      </w:r>
    </w:p>
    <w:p>
      <w:pPr>
        <w:pStyle w:val="7"/>
        <w:pageBreakBefore w:val="0"/>
        <w:kinsoku/>
        <w:overflowPunct/>
        <w:topLinePunct w:val="0"/>
        <w:autoSpaceDE/>
        <w:bidi w:val="0"/>
        <w:spacing w:line="560" w:lineRule="exact"/>
        <w:rPr>
          <w:rFonts w:hint="eastAsia" w:ascii="方正小标宋_GBK" w:hAnsi="方正小标宋_GBK" w:eastAsia="方正小标宋_GBK" w:cs="方正小标宋_GBK"/>
          <w:b w:val="0"/>
          <w:bCs/>
          <w:color w:val="000000"/>
          <w:sz w:val="44"/>
          <w:szCs w:val="44"/>
        </w:rPr>
      </w:pPr>
    </w:p>
    <w:p>
      <w:pPr>
        <w:pageBreakBefore w:val="0"/>
        <w:numPr>
          <w:ilvl w:val="0"/>
          <w:numId w:val="1"/>
        </w:numPr>
        <w:kinsoku/>
        <w:wordWrap/>
        <w:overflowPunct/>
        <w:topLinePunct w:val="0"/>
        <w:autoSpaceDE/>
        <w:autoSpaceDN/>
        <w:bidi w:val="0"/>
        <w:spacing w:line="560" w:lineRule="exact"/>
        <w:ind w:firstLine="640" w:firstLineChars="200"/>
        <w:textAlignment w:val="auto"/>
        <w:outlineLvl w:val="0"/>
        <w:rPr>
          <w:rFonts w:hint="eastAsia" w:ascii="黑体" w:hAnsi="黑体" w:eastAsia="黑体" w:cs="仿宋"/>
          <w:b w:val="0"/>
          <w:bCs w:val="0"/>
          <w:color w:val="000000"/>
          <w:sz w:val="32"/>
          <w:szCs w:val="32"/>
        </w:rPr>
      </w:pPr>
      <w:r>
        <w:rPr>
          <w:rFonts w:hint="eastAsia" w:ascii="黑体" w:hAnsi="黑体" w:eastAsia="黑体" w:cs="仿宋"/>
          <w:b w:val="0"/>
          <w:bCs w:val="0"/>
          <w:color w:val="000000"/>
          <w:sz w:val="32"/>
          <w:szCs w:val="32"/>
        </w:rPr>
        <w:t>采购项目概况</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坪山街道残疾人综合（职业）康复服务中心（以下简称职康中心)于2022年被评为广东省首批、坪山区唯一的广东省五星级社区康园中心。职康中心</w:t>
      </w:r>
      <w:r>
        <w:rPr>
          <w:rFonts w:hint="eastAsia" w:ascii="仿宋_GB2312" w:eastAsia="仿宋_GB2312" w:cs="Times New Roman"/>
          <w:b w:val="0"/>
          <w:bCs w:val="0"/>
          <w:kern w:val="2"/>
          <w:sz w:val="32"/>
          <w:szCs w:val="32"/>
          <w:lang w:val="en-US" w:eastAsia="zh-CN" w:bidi="ar-SA"/>
        </w:rPr>
        <w:t>以</w:t>
      </w:r>
      <w:r>
        <w:rPr>
          <w:rFonts w:hint="eastAsia" w:ascii="仿宋_GB2312" w:hAnsi="Calibri" w:eastAsia="仿宋_GB2312" w:cs="Times New Roman"/>
          <w:b w:val="0"/>
          <w:bCs w:val="0"/>
          <w:kern w:val="2"/>
          <w:sz w:val="32"/>
          <w:szCs w:val="32"/>
          <w:lang w:val="en-US" w:eastAsia="zh-CN" w:bidi="ar-SA"/>
        </w:rPr>
        <w:t>开展就业年龄段残疾人的社会化训练</w:t>
      </w:r>
      <w:r>
        <w:rPr>
          <w:rFonts w:hint="eastAsia" w:ascii="仿宋_GB2312" w:eastAsia="仿宋_GB2312" w:cs="Times New Roman"/>
          <w:b w:val="0"/>
          <w:bCs w:val="0"/>
          <w:kern w:val="2"/>
          <w:sz w:val="32"/>
          <w:szCs w:val="32"/>
          <w:lang w:val="en-US" w:eastAsia="zh-CN" w:bidi="ar-SA"/>
        </w:rPr>
        <w:t>为</w:t>
      </w:r>
      <w:r>
        <w:rPr>
          <w:rFonts w:hint="eastAsia" w:ascii="仿宋_GB2312" w:hAnsi="Calibri" w:eastAsia="仿宋_GB2312" w:cs="Times New Roman"/>
          <w:b w:val="0"/>
          <w:bCs w:val="0"/>
          <w:kern w:val="2"/>
          <w:sz w:val="32"/>
          <w:szCs w:val="32"/>
          <w:lang w:val="en-US" w:eastAsia="zh-CN" w:bidi="ar-SA"/>
        </w:rPr>
        <w:t>重点，</w:t>
      </w:r>
      <w:r>
        <w:rPr>
          <w:rFonts w:hint="eastAsia" w:ascii="仿宋_GB2312" w:eastAsia="仿宋_GB2312" w:cs="Times New Roman"/>
          <w:b w:val="0"/>
          <w:bCs w:val="0"/>
          <w:kern w:val="2"/>
          <w:sz w:val="32"/>
          <w:szCs w:val="32"/>
          <w:lang w:val="en-US" w:eastAsia="zh-CN" w:bidi="ar-SA"/>
        </w:rPr>
        <w:t>采取</w:t>
      </w:r>
      <w:r>
        <w:rPr>
          <w:rFonts w:hint="eastAsia" w:ascii="仿宋_GB2312" w:hAnsi="Calibri" w:eastAsia="仿宋_GB2312" w:cs="Times New Roman"/>
          <w:b w:val="0"/>
          <w:bCs w:val="0"/>
          <w:kern w:val="2"/>
          <w:sz w:val="32"/>
          <w:szCs w:val="32"/>
          <w:lang w:val="en-US" w:eastAsia="zh-CN" w:bidi="ar-SA"/>
        </w:rPr>
        <w:t>整合社会资源、拓展服务范围、延伸服务深度等多维度的服务方式满足辖区残疾人及其家属多层次、个性化的需求。</w:t>
      </w:r>
      <w:r>
        <w:rPr>
          <w:rFonts w:hint="eastAsia" w:ascii="仿宋_GB2312" w:hAnsi="Calibri" w:eastAsia="仿宋_GB2312" w:cs="Times New Roman"/>
          <w:b w:val="0"/>
          <w:bCs w:val="0"/>
          <w:kern w:val="2"/>
          <w:sz w:val="32"/>
          <w:szCs w:val="32"/>
          <w:highlight w:val="none"/>
          <w:lang w:val="en-US" w:eastAsia="zh-CN" w:bidi="ar-SA"/>
        </w:rPr>
        <w:t>截至2023年4月，坪山街道现有户籍残疾人215人，其中就业年龄段残疾人83人，接受职康中心会员制管理的就业年龄段残疾人60人。</w:t>
      </w:r>
    </w:p>
    <w:p>
      <w:pPr>
        <w:pStyle w:val="2"/>
        <w:spacing w:line="560" w:lineRule="exact"/>
        <w:ind w:firstLine="640" w:firstLineChars="200"/>
        <w:rPr>
          <w:rFonts w:hint="eastAsia" w:ascii="仿宋_GB2312" w:hAnsi="Calibri" w:eastAsia="仿宋_GB2312" w:cs="Times New Roman"/>
          <w:b w:val="0"/>
          <w:bCs w:val="0"/>
          <w:sz w:val="32"/>
          <w:szCs w:val="32"/>
          <w:lang w:val="en-US" w:eastAsia="zh-CN"/>
        </w:rPr>
      </w:pPr>
      <w:r>
        <w:rPr>
          <w:rFonts w:hint="eastAsia" w:ascii="仿宋_GB2312" w:hAnsi="Calibri" w:eastAsia="仿宋_GB2312" w:cs="Times New Roman"/>
          <w:b w:val="0"/>
          <w:bCs w:val="0"/>
          <w:sz w:val="32"/>
          <w:szCs w:val="32"/>
          <w:lang w:val="en-US" w:eastAsia="zh-CN"/>
        </w:rPr>
        <w:t>为切实做好职康中心工作，更好地服务辖区残疾人，现申请购买坪山街道残疾人综合（职业）康复服务中心社工服务项目（时间为2023年6月15日至2024年6月14日）。</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仿宋"/>
          <w:color w:val="000000"/>
          <w:sz w:val="32"/>
          <w:szCs w:val="32"/>
          <w:highlight w:val="none"/>
        </w:rPr>
      </w:pPr>
      <w:r>
        <w:rPr>
          <w:rFonts w:hint="eastAsia" w:ascii="黑体" w:hAnsi="黑体" w:eastAsia="黑体" w:cs="仿宋"/>
          <w:b w:val="0"/>
          <w:bCs w:val="0"/>
          <w:color w:val="000000"/>
          <w:sz w:val="32"/>
          <w:szCs w:val="32"/>
          <w:lang w:val="en-US" w:eastAsia="zh-CN"/>
        </w:rPr>
        <w:t>二、</w:t>
      </w:r>
      <w:r>
        <w:rPr>
          <w:rFonts w:hint="eastAsia" w:ascii="黑体" w:hAnsi="黑体" w:eastAsia="黑体" w:cs="仿宋"/>
          <w:color w:val="000000"/>
          <w:sz w:val="32"/>
          <w:szCs w:val="32"/>
          <w:highlight w:val="none"/>
          <w:lang w:val="en-US" w:eastAsia="zh-CN"/>
        </w:rPr>
        <w:t>服务</w:t>
      </w:r>
      <w:r>
        <w:rPr>
          <w:rFonts w:hint="eastAsia" w:ascii="黑体" w:hAnsi="黑体" w:eastAsia="黑体" w:cs="仿宋"/>
          <w:color w:val="000000"/>
          <w:sz w:val="32"/>
          <w:szCs w:val="32"/>
          <w:highlight w:val="none"/>
          <w:lang w:eastAsia="zh-CN"/>
        </w:rPr>
        <w:t>内容</w:t>
      </w:r>
    </w:p>
    <w:tbl>
      <w:tblPr>
        <w:tblStyle w:val="5"/>
        <w:tblW w:w="9013" w:type="dxa"/>
        <w:tblInd w:w="-224" w:type="dxa"/>
        <w:tblLayout w:type="fixed"/>
        <w:tblCellMar>
          <w:top w:w="0" w:type="dxa"/>
          <w:left w:w="0" w:type="dxa"/>
          <w:bottom w:w="0" w:type="dxa"/>
          <w:right w:w="0" w:type="dxa"/>
        </w:tblCellMar>
      </w:tblPr>
      <w:tblGrid>
        <w:gridCol w:w="405"/>
        <w:gridCol w:w="1290"/>
        <w:gridCol w:w="1425"/>
        <w:gridCol w:w="4650"/>
        <w:gridCol w:w="1243"/>
      </w:tblGrid>
      <w:tr>
        <w:tblPrEx>
          <w:tblCellMar>
            <w:top w:w="0" w:type="dxa"/>
            <w:left w:w="0" w:type="dxa"/>
            <w:bottom w:w="0" w:type="dxa"/>
            <w:right w:w="0" w:type="dxa"/>
          </w:tblCellMar>
        </w:tblPrEx>
        <w:trPr>
          <w:trHeight w:val="865" w:hRule="atLeast"/>
        </w:trPr>
        <w:tc>
          <w:tcPr>
            <w:tcW w:w="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序号</w:t>
            </w:r>
          </w:p>
        </w:tc>
        <w:tc>
          <w:tcPr>
            <w:tcW w:w="27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指  标</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项目技术要求</w:t>
            </w:r>
          </w:p>
        </w:tc>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协议水平</w:t>
            </w:r>
          </w:p>
        </w:tc>
      </w:tr>
      <w:tr>
        <w:tblPrEx>
          <w:tblCellMar>
            <w:top w:w="0" w:type="dxa"/>
            <w:left w:w="0" w:type="dxa"/>
            <w:bottom w:w="0" w:type="dxa"/>
            <w:right w:w="0" w:type="dxa"/>
          </w:tblCellMar>
        </w:tblPrEx>
        <w:trPr>
          <w:trHeight w:val="1355" w:hRule="atLeast"/>
        </w:trPr>
        <w:tc>
          <w:tcPr>
            <w:tcW w:w="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w:t>
            </w:r>
          </w:p>
        </w:tc>
        <w:tc>
          <w:tcPr>
            <w:tcW w:w="129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服务管理</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指标</w:t>
            </w:r>
          </w:p>
        </w:tc>
        <w:tc>
          <w:tcPr>
            <w:tcW w:w="1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落实职康中心相关服务管理制度</w:t>
            </w:r>
          </w:p>
        </w:tc>
        <w:tc>
          <w:tcPr>
            <w:tcW w:w="46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包括安全管理制度、财务管理、档案管理、消防消毒制度、应急预案等。</w:t>
            </w:r>
          </w:p>
        </w:tc>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2"/>
                <w:sz w:val="24"/>
                <w:szCs w:val="24"/>
                <w:u w:val="none"/>
                <w:lang w:val="en-US" w:eastAsia="zh-CN" w:bidi="ar"/>
              </w:rPr>
              <w:t>1</w:t>
            </w:r>
            <w:r>
              <w:rPr>
                <w:rStyle w:val="9"/>
                <w:rFonts w:hint="eastAsia" w:ascii="仿宋_GB2312" w:hAnsi="仿宋_GB2312" w:eastAsia="仿宋_GB2312" w:cs="仿宋_GB2312"/>
                <w:lang w:val="en-US" w:eastAsia="zh-CN" w:bidi="ar"/>
              </w:rPr>
              <w:t>套</w:t>
            </w:r>
          </w:p>
        </w:tc>
      </w:tr>
      <w:tr>
        <w:tblPrEx>
          <w:tblCellMar>
            <w:top w:w="0" w:type="dxa"/>
            <w:left w:w="0" w:type="dxa"/>
            <w:bottom w:w="0" w:type="dxa"/>
            <w:right w:w="0" w:type="dxa"/>
          </w:tblCellMar>
        </w:tblPrEx>
        <w:trPr>
          <w:trHeight w:val="554" w:hRule="atLeast"/>
        </w:trPr>
        <w:tc>
          <w:tcPr>
            <w:tcW w:w="4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w:t>
            </w:r>
          </w:p>
        </w:tc>
        <w:tc>
          <w:tcPr>
            <w:tcW w:w="12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专业服务化项目指标</w:t>
            </w: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建档</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val="en-US" w:bidi="ar"/>
              </w:rPr>
            </w:pPr>
            <w:r>
              <w:rPr>
                <w:rFonts w:hint="eastAsia" w:ascii="仿宋_GB2312" w:hAnsi="仿宋_GB2312" w:eastAsia="仿宋_GB2312" w:cs="仿宋_GB2312"/>
                <w:i w:val="0"/>
                <w:color w:val="000000"/>
                <w:kern w:val="2"/>
                <w:sz w:val="24"/>
                <w:szCs w:val="24"/>
                <w:u w:val="none"/>
                <w:lang w:val="en-US" w:eastAsia="zh-CN" w:bidi="ar"/>
              </w:rPr>
              <w:t>为残疾人建立服务档案，并及时更新。</w:t>
            </w:r>
          </w:p>
        </w:tc>
        <w:tc>
          <w:tcPr>
            <w:tcW w:w="124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80人</w:t>
            </w:r>
          </w:p>
        </w:tc>
      </w:tr>
      <w:tr>
        <w:tblPrEx>
          <w:tblCellMar>
            <w:top w:w="0" w:type="dxa"/>
            <w:left w:w="0" w:type="dxa"/>
            <w:bottom w:w="0" w:type="dxa"/>
            <w:right w:w="0" w:type="dxa"/>
          </w:tblCellMar>
        </w:tblPrEx>
        <w:trPr>
          <w:trHeight w:val="625" w:hRule="atLeast"/>
        </w:trPr>
        <w:tc>
          <w:tcPr>
            <w:tcW w:w="4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3</w:t>
            </w:r>
          </w:p>
        </w:tc>
        <w:tc>
          <w:tcPr>
            <w:tcW w:w="12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探访</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为残疾人和残疾人家属提供上门、电话等服务，了解残疾人及家属近况。</w:t>
            </w:r>
          </w:p>
        </w:tc>
        <w:tc>
          <w:tcPr>
            <w:tcW w:w="124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100人次</w:t>
            </w:r>
          </w:p>
        </w:tc>
      </w:tr>
      <w:tr>
        <w:tblPrEx>
          <w:tblCellMar>
            <w:top w:w="0" w:type="dxa"/>
            <w:left w:w="0" w:type="dxa"/>
            <w:bottom w:w="0" w:type="dxa"/>
            <w:right w:w="0" w:type="dxa"/>
          </w:tblCellMar>
        </w:tblPrEx>
        <w:trPr>
          <w:trHeight w:val="985" w:hRule="atLeast"/>
        </w:trPr>
        <w:tc>
          <w:tcPr>
            <w:tcW w:w="40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12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咨询、访谈</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提供相关惠残政策、心理状态、生活状态为主题的咨询、访谈服务。</w:t>
            </w:r>
          </w:p>
        </w:tc>
        <w:tc>
          <w:tcPr>
            <w:tcW w:w="1243"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150人次</w:t>
            </w:r>
          </w:p>
        </w:tc>
      </w:tr>
      <w:tr>
        <w:tblPrEx>
          <w:tblCellMar>
            <w:top w:w="0" w:type="dxa"/>
            <w:left w:w="0" w:type="dxa"/>
            <w:bottom w:w="0" w:type="dxa"/>
            <w:right w:w="0" w:type="dxa"/>
          </w:tblCellMar>
        </w:tblPrEx>
        <w:trPr>
          <w:trHeight w:val="2010" w:hRule="atLeast"/>
        </w:trPr>
        <w:tc>
          <w:tcPr>
            <w:tcW w:w="4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5</w:t>
            </w:r>
          </w:p>
        </w:tc>
        <w:tc>
          <w:tcPr>
            <w:tcW w:w="12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辅导个案</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以个别化的方式为有需要的个人或家庭提供服务，包括情绪疏导、成长辅导、政策咨询、资源链接、能力提升、技能训练等内容，跟进不少于4次，每次不少于40分钟。</w:t>
            </w:r>
          </w:p>
        </w:tc>
        <w:tc>
          <w:tcPr>
            <w:tcW w:w="12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10个</w:t>
            </w:r>
          </w:p>
        </w:tc>
      </w:tr>
      <w:tr>
        <w:tblPrEx>
          <w:tblCellMar>
            <w:top w:w="0" w:type="dxa"/>
            <w:left w:w="0" w:type="dxa"/>
            <w:bottom w:w="0" w:type="dxa"/>
            <w:right w:w="0" w:type="dxa"/>
          </w:tblCellMar>
        </w:tblPrEx>
        <w:trPr>
          <w:trHeight w:val="1445" w:hRule="atLeast"/>
        </w:trPr>
        <w:tc>
          <w:tcPr>
            <w:tcW w:w="4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6</w:t>
            </w:r>
          </w:p>
        </w:tc>
        <w:tc>
          <w:tcPr>
            <w:tcW w:w="12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小组工作</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根据残疾人发展程度、特点、需求及残疾人家属的有关需要，开展有针对性的小组工作，每个小组不小少于5节，每次不少于40分钟。</w:t>
            </w:r>
          </w:p>
        </w:tc>
        <w:tc>
          <w:tcPr>
            <w:tcW w:w="12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 xml:space="preserve">   2个</w:t>
            </w:r>
          </w:p>
        </w:tc>
      </w:tr>
      <w:tr>
        <w:tblPrEx>
          <w:tblCellMar>
            <w:top w:w="0" w:type="dxa"/>
            <w:left w:w="0" w:type="dxa"/>
            <w:bottom w:w="0" w:type="dxa"/>
            <w:right w:w="0" w:type="dxa"/>
          </w:tblCellMar>
        </w:tblPrEx>
        <w:trPr>
          <w:trHeight w:val="980" w:hRule="atLeast"/>
        </w:trPr>
        <w:tc>
          <w:tcPr>
            <w:tcW w:w="405"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7</w:t>
            </w:r>
          </w:p>
        </w:tc>
        <w:tc>
          <w:tcPr>
            <w:tcW w:w="12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中小型活动</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包括但不限于心理减压、常识教育、节日康娱等主题，每场参加人数在10至30人之间。</w:t>
            </w:r>
          </w:p>
        </w:tc>
        <w:tc>
          <w:tcPr>
            <w:tcW w:w="1243"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10场</w:t>
            </w:r>
          </w:p>
        </w:tc>
      </w:tr>
      <w:tr>
        <w:tblPrEx>
          <w:tblCellMar>
            <w:top w:w="0" w:type="dxa"/>
            <w:left w:w="0" w:type="dxa"/>
            <w:bottom w:w="0" w:type="dxa"/>
            <w:right w:w="0" w:type="dxa"/>
          </w:tblCellMar>
        </w:tblPrEx>
        <w:trPr>
          <w:trHeight w:val="420" w:hRule="atLeast"/>
        </w:trPr>
        <w:tc>
          <w:tcPr>
            <w:tcW w:w="4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8</w:t>
            </w:r>
          </w:p>
        </w:tc>
        <w:tc>
          <w:tcPr>
            <w:tcW w:w="12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大型活动</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不少于100人次。</w:t>
            </w:r>
          </w:p>
        </w:tc>
        <w:tc>
          <w:tcPr>
            <w:tcW w:w="124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1场</w:t>
            </w:r>
          </w:p>
        </w:tc>
      </w:tr>
      <w:tr>
        <w:tblPrEx>
          <w:tblCellMar>
            <w:top w:w="0" w:type="dxa"/>
            <w:left w:w="0" w:type="dxa"/>
            <w:bottom w:w="0" w:type="dxa"/>
            <w:right w:w="0" w:type="dxa"/>
          </w:tblCellMar>
        </w:tblPrEx>
        <w:trPr>
          <w:trHeight w:val="1340" w:hRule="atLeast"/>
        </w:trPr>
        <w:tc>
          <w:tcPr>
            <w:tcW w:w="4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9</w:t>
            </w:r>
          </w:p>
        </w:tc>
        <w:tc>
          <w:tcPr>
            <w:tcW w:w="12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技能提升</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活动</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围绕生活、体育、舞蹈、手工艺品等各项技能，结合社工专业理念，开展技能提升活动，每场参加人数在8至20人之间。</w:t>
            </w:r>
          </w:p>
        </w:tc>
        <w:tc>
          <w:tcPr>
            <w:tcW w:w="124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40场</w:t>
            </w:r>
          </w:p>
        </w:tc>
      </w:tr>
      <w:tr>
        <w:tblPrEx>
          <w:tblCellMar>
            <w:top w:w="0" w:type="dxa"/>
            <w:left w:w="0" w:type="dxa"/>
            <w:bottom w:w="0" w:type="dxa"/>
            <w:right w:w="0" w:type="dxa"/>
          </w:tblCellMar>
        </w:tblPrEx>
        <w:trPr>
          <w:trHeight w:val="910" w:hRule="atLeast"/>
        </w:trPr>
        <w:tc>
          <w:tcPr>
            <w:tcW w:w="4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outlineLvl w:val="9"/>
              <w:rPr>
                <w:rFonts w:hint="eastAsia" w:ascii="仿宋_GB2312" w:hAnsi="仿宋_GB2312" w:eastAsia="仿宋_GB2312" w:cs="仿宋_GB2312"/>
                <w:b/>
                <w:i w:val="0"/>
                <w:color w:val="000000"/>
                <w:sz w:val="24"/>
                <w:szCs w:val="24"/>
                <w:u w:val="none"/>
                <w:lang w:val="en-US" w:eastAsia="zh-CN"/>
              </w:rPr>
            </w:pPr>
            <w:r>
              <w:rPr>
                <w:rFonts w:hint="eastAsia" w:ascii="仿宋_GB2312" w:hAnsi="仿宋_GB2312" w:eastAsia="仿宋_GB2312" w:cs="仿宋_GB2312"/>
                <w:b/>
                <w:i w:val="0"/>
                <w:color w:val="000000"/>
                <w:sz w:val="24"/>
                <w:szCs w:val="24"/>
                <w:u w:val="none"/>
                <w:lang w:val="en-US" w:eastAsia="zh-CN"/>
              </w:rPr>
              <w:t>10</w:t>
            </w:r>
          </w:p>
        </w:tc>
        <w:tc>
          <w:tcPr>
            <w:tcW w:w="12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社群运营</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做好各类服务群管理，包括请休假、线上分享互动等。</w:t>
            </w:r>
          </w:p>
        </w:tc>
        <w:tc>
          <w:tcPr>
            <w:tcW w:w="124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1年</w:t>
            </w:r>
          </w:p>
        </w:tc>
      </w:tr>
      <w:tr>
        <w:tblPrEx>
          <w:tblCellMar>
            <w:top w:w="0" w:type="dxa"/>
            <w:left w:w="0" w:type="dxa"/>
            <w:bottom w:w="0" w:type="dxa"/>
            <w:right w:w="0" w:type="dxa"/>
          </w:tblCellMar>
        </w:tblPrEx>
        <w:trPr>
          <w:trHeight w:val="1980" w:hRule="atLeast"/>
        </w:trPr>
        <w:tc>
          <w:tcPr>
            <w:tcW w:w="40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lang w:val="en-US"/>
              </w:rPr>
            </w:pPr>
            <w:r>
              <w:rPr>
                <w:rFonts w:hint="eastAsia" w:ascii="仿宋_GB2312" w:hAnsi="仿宋_GB2312" w:eastAsia="仿宋_GB2312" w:cs="仿宋_GB2312"/>
                <w:b/>
                <w:i w:val="0"/>
                <w:color w:val="000000"/>
                <w:kern w:val="0"/>
                <w:sz w:val="24"/>
                <w:szCs w:val="24"/>
                <w:u w:val="none"/>
                <w:lang w:val="en-US" w:eastAsia="zh-CN" w:bidi="ar"/>
              </w:rPr>
              <w:t>11</w:t>
            </w:r>
          </w:p>
        </w:tc>
        <w:tc>
          <w:tcPr>
            <w:tcW w:w="12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完成市、区级残联各类活动及培训相关工作。</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①协助活动前期报名宣传；</w:t>
            </w:r>
            <w:r>
              <w:rPr>
                <w:rFonts w:hint="eastAsia" w:ascii="仿宋_GB2312" w:hAnsi="仿宋_GB2312" w:eastAsia="仿宋_GB2312" w:cs="仿宋_GB2312"/>
                <w:i w:val="0"/>
                <w:color w:val="000000"/>
                <w:kern w:val="2"/>
                <w:sz w:val="24"/>
                <w:szCs w:val="24"/>
                <w:u w:val="none"/>
                <w:lang w:val="en-US" w:eastAsia="zh-CN" w:bidi="ar"/>
              </w:rPr>
              <w:br w:type="textWrapping"/>
            </w:r>
            <w:r>
              <w:rPr>
                <w:rFonts w:hint="eastAsia" w:ascii="仿宋_GB2312" w:hAnsi="仿宋_GB2312" w:eastAsia="仿宋_GB2312" w:cs="仿宋_GB2312"/>
                <w:i w:val="0"/>
                <w:color w:val="000000"/>
                <w:kern w:val="2"/>
                <w:sz w:val="24"/>
                <w:szCs w:val="24"/>
                <w:u w:val="none"/>
                <w:lang w:val="en-US" w:eastAsia="zh-CN" w:bidi="ar"/>
              </w:rPr>
              <w:t>②帮助残疾人报名；</w:t>
            </w:r>
            <w:r>
              <w:rPr>
                <w:rFonts w:hint="eastAsia" w:ascii="仿宋_GB2312" w:hAnsi="仿宋_GB2312" w:eastAsia="仿宋_GB2312" w:cs="仿宋_GB2312"/>
                <w:i w:val="0"/>
                <w:color w:val="000000"/>
                <w:kern w:val="2"/>
                <w:sz w:val="24"/>
                <w:szCs w:val="24"/>
                <w:u w:val="none"/>
                <w:lang w:val="en-US" w:eastAsia="zh-CN" w:bidi="ar"/>
              </w:rPr>
              <w:br w:type="textWrapping"/>
            </w:r>
            <w:r>
              <w:rPr>
                <w:rFonts w:hint="eastAsia" w:ascii="仿宋_GB2312" w:hAnsi="仿宋_GB2312" w:eastAsia="仿宋_GB2312" w:cs="仿宋_GB2312"/>
                <w:i w:val="0"/>
                <w:color w:val="000000"/>
                <w:kern w:val="2"/>
                <w:sz w:val="24"/>
                <w:szCs w:val="24"/>
                <w:u w:val="none"/>
                <w:lang w:val="en-US" w:eastAsia="zh-CN" w:bidi="ar"/>
              </w:rPr>
              <w:t>③帮助残疾人参与竞赛类活动的相关训练；</w:t>
            </w:r>
            <w:r>
              <w:rPr>
                <w:rFonts w:hint="eastAsia" w:ascii="仿宋_GB2312" w:hAnsi="仿宋_GB2312" w:eastAsia="仿宋_GB2312" w:cs="仿宋_GB2312"/>
                <w:i w:val="0"/>
                <w:color w:val="000000"/>
                <w:kern w:val="2"/>
                <w:sz w:val="24"/>
                <w:szCs w:val="24"/>
                <w:u w:val="none"/>
                <w:lang w:val="en-US" w:eastAsia="zh-CN" w:bidi="ar"/>
              </w:rPr>
              <w:br w:type="textWrapping"/>
            </w:r>
            <w:r>
              <w:rPr>
                <w:rFonts w:hint="eastAsia" w:ascii="仿宋_GB2312" w:hAnsi="仿宋_GB2312" w:eastAsia="仿宋_GB2312" w:cs="仿宋_GB2312"/>
                <w:i w:val="0"/>
                <w:color w:val="000000"/>
                <w:kern w:val="2"/>
                <w:sz w:val="24"/>
                <w:szCs w:val="24"/>
                <w:u w:val="none"/>
                <w:lang w:val="en-US" w:eastAsia="zh-CN" w:bidi="ar"/>
              </w:rPr>
              <w:t>④协助组织残疾人参加活动。</w:t>
            </w:r>
          </w:p>
        </w:tc>
        <w:tc>
          <w:tcPr>
            <w:tcW w:w="124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sz w:val="24"/>
                <w:szCs w:val="24"/>
                <w:u w:val="none"/>
                <w:lang w:val="en-US" w:eastAsia="zh-CN" w:bidi="ar"/>
              </w:rPr>
              <w:t>100%</w:t>
            </w:r>
          </w:p>
        </w:tc>
      </w:tr>
      <w:tr>
        <w:tblPrEx>
          <w:tblCellMar>
            <w:top w:w="0" w:type="dxa"/>
            <w:left w:w="0" w:type="dxa"/>
            <w:bottom w:w="0" w:type="dxa"/>
            <w:right w:w="0" w:type="dxa"/>
          </w:tblCellMar>
        </w:tblPrEx>
        <w:trPr>
          <w:trHeight w:val="1760" w:hRule="atLeast"/>
        </w:trPr>
        <w:tc>
          <w:tcPr>
            <w:tcW w:w="4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12</w:t>
            </w:r>
          </w:p>
        </w:tc>
        <w:tc>
          <w:tcPr>
            <w:tcW w:w="12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bidi="ar"/>
              </w:rPr>
              <w:t>残联业务</w:t>
            </w:r>
          </w:p>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bidi="ar"/>
              </w:rPr>
              <w:t>工作</w:t>
            </w: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联合社区残协开展相关服务</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政策业务宣传、服务对象特殊问题探讨等。</w:t>
            </w:r>
          </w:p>
        </w:tc>
        <w:tc>
          <w:tcPr>
            <w:tcW w:w="1243"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bidi="ar"/>
              </w:rPr>
              <w:t>100%</w:t>
            </w:r>
          </w:p>
        </w:tc>
      </w:tr>
      <w:tr>
        <w:tblPrEx>
          <w:tblCellMar>
            <w:top w:w="0" w:type="dxa"/>
            <w:left w:w="0" w:type="dxa"/>
            <w:bottom w:w="0" w:type="dxa"/>
            <w:right w:w="0" w:type="dxa"/>
          </w:tblCellMar>
        </w:tblPrEx>
        <w:trPr>
          <w:trHeight w:val="1385" w:hRule="atLeast"/>
        </w:trPr>
        <w:tc>
          <w:tcPr>
            <w:tcW w:w="4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13</w:t>
            </w:r>
          </w:p>
        </w:tc>
        <w:tc>
          <w:tcPr>
            <w:tcW w:w="12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协助街道惠残政策业务开展</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①协助汇总、复核各项惠残业务有关资料；</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color w:val="000000"/>
                <w:sz w:val="24"/>
                <w:szCs w:val="24"/>
                <w:lang w:val="en-US" w:eastAsia="zh-CN" w:bidi="ar"/>
              </w:rPr>
            </w:pPr>
            <w:r>
              <w:rPr>
                <w:rFonts w:hint="eastAsia" w:ascii="仿宋_GB2312" w:hAnsi="仿宋_GB2312" w:eastAsia="仿宋_GB2312" w:cs="仿宋_GB2312"/>
                <w:i w:val="0"/>
                <w:color w:val="000000"/>
                <w:kern w:val="2"/>
                <w:sz w:val="24"/>
                <w:szCs w:val="24"/>
                <w:u w:val="none"/>
                <w:lang w:val="en-US" w:eastAsia="zh-CN" w:bidi="ar"/>
              </w:rPr>
              <w:t>②跟进惠残业务有关平台的工作。</w:t>
            </w:r>
          </w:p>
        </w:tc>
        <w:tc>
          <w:tcPr>
            <w:tcW w:w="1243"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bidi="ar"/>
              </w:rPr>
              <w:t>100%</w:t>
            </w:r>
          </w:p>
        </w:tc>
      </w:tr>
      <w:tr>
        <w:tblPrEx>
          <w:tblCellMar>
            <w:top w:w="0" w:type="dxa"/>
            <w:left w:w="0" w:type="dxa"/>
            <w:bottom w:w="0" w:type="dxa"/>
            <w:right w:w="0" w:type="dxa"/>
          </w:tblCellMar>
        </w:tblPrEx>
        <w:trPr>
          <w:trHeight w:val="1460" w:hRule="atLeast"/>
        </w:trPr>
        <w:tc>
          <w:tcPr>
            <w:tcW w:w="405"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lang w:val="en-US"/>
              </w:rPr>
            </w:pPr>
            <w:r>
              <w:rPr>
                <w:rFonts w:hint="eastAsia" w:ascii="仿宋_GB2312" w:hAnsi="仿宋_GB2312" w:eastAsia="仿宋_GB2312" w:cs="仿宋_GB2312"/>
                <w:b/>
                <w:i w:val="0"/>
                <w:color w:val="000000"/>
                <w:kern w:val="0"/>
                <w:sz w:val="24"/>
                <w:szCs w:val="24"/>
                <w:u w:val="none"/>
                <w:lang w:val="en-US" w:eastAsia="zh-CN" w:bidi="ar"/>
              </w:rPr>
              <w:t>14</w:t>
            </w:r>
          </w:p>
        </w:tc>
        <w:tc>
          <w:tcPr>
            <w:tcW w:w="12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完成直属部门安排的</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其他工作</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协助开展有关低保、优抚、残障、老年人等困弱群体和文化服务等日常工作。</w:t>
            </w:r>
          </w:p>
        </w:tc>
        <w:tc>
          <w:tcPr>
            <w:tcW w:w="124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sz w:val="24"/>
                <w:szCs w:val="24"/>
                <w:u w:val="none"/>
                <w:lang w:val="en-US" w:eastAsia="zh-CN" w:bidi="ar"/>
              </w:rPr>
              <w:t>100%</w:t>
            </w:r>
          </w:p>
        </w:tc>
      </w:tr>
      <w:tr>
        <w:tblPrEx>
          <w:tblCellMar>
            <w:top w:w="0" w:type="dxa"/>
            <w:left w:w="0" w:type="dxa"/>
            <w:bottom w:w="0" w:type="dxa"/>
            <w:right w:w="0" w:type="dxa"/>
          </w:tblCellMar>
        </w:tblPrEx>
        <w:trPr>
          <w:trHeight w:val="1610" w:hRule="atLeast"/>
        </w:trPr>
        <w:tc>
          <w:tcPr>
            <w:tcW w:w="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15</w:t>
            </w:r>
          </w:p>
        </w:tc>
        <w:tc>
          <w:tcPr>
            <w:tcW w:w="1290"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服务成效</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产出</w:t>
            </w:r>
          </w:p>
        </w:tc>
        <w:tc>
          <w:tcPr>
            <w:tcW w:w="142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服务需求</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调研报告</w:t>
            </w:r>
          </w:p>
        </w:tc>
        <w:tc>
          <w:tcPr>
            <w:tcW w:w="465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围绕残疾人设计需求调研问卷，通过线上线下的方式发放并回收问卷。对服务对象的需求进行汇总、分析，形成科学、完整的调研报告，指导服务计划的制定。</w:t>
            </w:r>
          </w:p>
        </w:tc>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1份</w:t>
            </w:r>
          </w:p>
        </w:tc>
      </w:tr>
      <w:tr>
        <w:tblPrEx>
          <w:tblCellMar>
            <w:top w:w="0" w:type="dxa"/>
            <w:left w:w="0" w:type="dxa"/>
            <w:bottom w:w="0" w:type="dxa"/>
            <w:right w:w="0" w:type="dxa"/>
          </w:tblCellMar>
        </w:tblPrEx>
        <w:trPr>
          <w:trHeight w:val="1021" w:hRule="atLeast"/>
        </w:trPr>
        <w:tc>
          <w:tcPr>
            <w:tcW w:w="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16</w:t>
            </w:r>
          </w:p>
        </w:tc>
        <w:tc>
          <w:tcPr>
            <w:tcW w:w="12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终期总结</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报告</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项目服务运营情况形成年度总结报告。</w:t>
            </w:r>
          </w:p>
        </w:tc>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1份</w:t>
            </w:r>
          </w:p>
        </w:tc>
      </w:tr>
      <w:tr>
        <w:tblPrEx>
          <w:tblCellMar>
            <w:top w:w="0" w:type="dxa"/>
            <w:left w:w="0" w:type="dxa"/>
            <w:bottom w:w="0" w:type="dxa"/>
            <w:right w:w="0" w:type="dxa"/>
          </w:tblCellMar>
        </w:tblPrEx>
        <w:trPr>
          <w:trHeight w:val="821" w:hRule="atLeast"/>
        </w:trPr>
        <w:tc>
          <w:tcPr>
            <w:tcW w:w="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17</w:t>
            </w:r>
          </w:p>
        </w:tc>
        <w:tc>
          <w:tcPr>
            <w:tcW w:w="12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残疾人</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志愿者服务</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组织残疾人开展各类志愿服务。</w:t>
            </w:r>
          </w:p>
        </w:tc>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150小时</w:t>
            </w:r>
          </w:p>
        </w:tc>
      </w:tr>
      <w:tr>
        <w:tblPrEx>
          <w:tblCellMar>
            <w:top w:w="0" w:type="dxa"/>
            <w:left w:w="0" w:type="dxa"/>
            <w:bottom w:w="0" w:type="dxa"/>
            <w:right w:w="0" w:type="dxa"/>
          </w:tblCellMar>
        </w:tblPrEx>
        <w:trPr>
          <w:trHeight w:val="1004" w:hRule="atLeast"/>
        </w:trPr>
        <w:tc>
          <w:tcPr>
            <w:tcW w:w="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lang w:val="en-US"/>
              </w:rPr>
            </w:pPr>
            <w:r>
              <w:rPr>
                <w:rFonts w:hint="eastAsia" w:ascii="仿宋_GB2312" w:hAnsi="仿宋_GB2312" w:eastAsia="仿宋_GB2312" w:cs="仿宋_GB2312"/>
                <w:b/>
                <w:i w:val="0"/>
                <w:color w:val="000000"/>
                <w:kern w:val="0"/>
                <w:sz w:val="24"/>
                <w:szCs w:val="24"/>
                <w:u w:val="none"/>
                <w:lang w:val="en-US" w:eastAsia="zh-CN" w:bidi="ar"/>
              </w:rPr>
              <w:t>18</w:t>
            </w:r>
          </w:p>
        </w:tc>
        <w:tc>
          <w:tcPr>
            <w:tcW w:w="12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残疾人各类</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作品</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通过专业服务化指标完成，帮助残疾人完成舞蹈节目、手工艺品等作品。</w:t>
            </w:r>
          </w:p>
        </w:tc>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3样</w:t>
            </w:r>
          </w:p>
        </w:tc>
      </w:tr>
      <w:tr>
        <w:tblPrEx>
          <w:tblCellMar>
            <w:top w:w="0" w:type="dxa"/>
            <w:left w:w="0" w:type="dxa"/>
            <w:bottom w:w="0" w:type="dxa"/>
            <w:right w:w="0" w:type="dxa"/>
          </w:tblCellMar>
        </w:tblPrEx>
        <w:trPr>
          <w:trHeight w:val="955" w:hRule="atLeast"/>
        </w:trPr>
        <w:tc>
          <w:tcPr>
            <w:tcW w:w="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lang w:val="en-US"/>
              </w:rPr>
            </w:pPr>
            <w:r>
              <w:rPr>
                <w:rFonts w:hint="eastAsia" w:ascii="仿宋_GB2312" w:hAnsi="仿宋_GB2312" w:eastAsia="仿宋_GB2312" w:cs="仿宋_GB2312"/>
                <w:b/>
                <w:i w:val="0"/>
                <w:color w:val="000000"/>
                <w:kern w:val="0"/>
                <w:sz w:val="24"/>
                <w:szCs w:val="24"/>
                <w:u w:val="none"/>
                <w:lang w:val="en-US" w:eastAsia="zh-CN" w:bidi="ar"/>
              </w:rPr>
              <w:t>19</w:t>
            </w:r>
          </w:p>
        </w:tc>
        <w:tc>
          <w:tcPr>
            <w:tcW w:w="1290"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服务宣传</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指标</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服务宣传</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报道</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通过媒体宣传报道。</w:t>
            </w:r>
          </w:p>
        </w:tc>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15次</w:t>
            </w:r>
          </w:p>
        </w:tc>
      </w:tr>
      <w:tr>
        <w:tblPrEx>
          <w:tblCellMar>
            <w:top w:w="0" w:type="dxa"/>
            <w:left w:w="0" w:type="dxa"/>
            <w:bottom w:w="0" w:type="dxa"/>
            <w:right w:w="0" w:type="dxa"/>
          </w:tblCellMar>
        </w:tblPrEx>
        <w:trPr>
          <w:trHeight w:val="1179" w:hRule="atLeast"/>
        </w:trPr>
        <w:tc>
          <w:tcPr>
            <w:tcW w:w="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lang w:val="en-US"/>
              </w:rPr>
            </w:pPr>
            <w:r>
              <w:rPr>
                <w:rFonts w:hint="eastAsia" w:ascii="仿宋_GB2312" w:hAnsi="仿宋_GB2312" w:eastAsia="仿宋_GB2312" w:cs="仿宋_GB2312"/>
                <w:b/>
                <w:i w:val="0"/>
                <w:color w:val="000000"/>
                <w:kern w:val="0"/>
                <w:sz w:val="24"/>
                <w:szCs w:val="24"/>
                <w:u w:val="none"/>
                <w:lang w:val="en-US" w:eastAsia="zh-CN" w:bidi="ar"/>
              </w:rPr>
              <w:t>20</w:t>
            </w:r>
          </w:p>
        </w:tc>
        <w:tc>
          <w:tcPr>
            <w:tcW w:w="12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资源方链接</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通过微信、电话、面谈、宣传等方式和资源方进行沟通。</w:t>
            </w:r>
          </w:p>
        </w:tc>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20次</w:t>
            </w:r>
          </w:p>
        </w:tc>
      </w:tr>
    </w:tbl>
    <w:p>
      <w:pPr>
        <w:numPr>
          <w:ilvl w:val="0"/>
          <w:numId w:val="0"/>
        </w:numPr>
        <w:spacing w:line="560" w:lineRule="exact"/>
        <w:ind w:firstLine="640" w:firstLineChars="200"/>
        <w:outlineLvl w:val="0"/>
        <w:rPr>
          <w:rFonts w:hint="eastAsia" w:eastAsia="宋体"/>
          <w:lang w:eastAsia="zh-CN"/>
        </w:rPr>
      </w:pPr>
      <w:r>
        <w:rPr>
          <w:rFonts w:hint="eastAsia" w:ascii="黑体" w:hAnsi="黑体" w:eastAsia="黑体" w:cs="黑体"/>
          <w:color w:val="000000"/>
          <w:sz w:val="32"/>
          <w:szCs w:val="32"/>
          <w:highlight w:val="none"/>
          <w:lang w:eastAsia="zh-CN"/>
        </w:rPr>
        <w:t>三、</w:t>
      </w:r>
      <w:r>
        <w:rPr>
          <w:rFonts w:hint="eastAsia" w:ascii="黑体" w:hAnsi="黑体" w:eastAsia="黑体" w:cs="黑体"/>
          <w:color w:val="000000"/>
          <w:sz w:val="32"/>
          <w:szCs w:val="32"/>
          <w:highlight w:val="none"/>
        </w:rPr>
        <w:t>项目管理要求</w:t>
      </w:r>
    </w:p>
    <w:p>
      <w:pPr>
        <w:pStyle w:val="2"/>
        <w:spacing w:line="560" w:lineRule="exact"/>
        <w:ind w:firstLine="640" w:firstLineChars="200"/>
        <w:rPr>
          <w:rFonts w:hint="eastAsia" w:ascii="楷体_GB2312" w:hAnsi="楷体_GB2312" w:eastAsia="楷体_GB2312" w:cs="楷体_GB2312"/>
          <w:b w:val="0"/>
          <w:bCs w:val="0"/>
          <w:color w:val="000000"/>
          <w:sz w:val="32"/>
          <w:szCs w:val="32"/>
          <w:highlight w:val="none"/>
          <w:lang w:val="en-US" w:eastAsia="zh-CN"/>
        </w:rPr>
      </w:pPr>
      <w:r>
        <w:rPr>
          <w:rFonts w:hint="eastAsia" w:ascii="楷体_GB2312" w:hAnsi="楷体_GB2312" w:eastAsia="楷体_GB2312" w:cs="楷体_GB2312"/>
          <w:b w:val="0"/>
          <w:bCs w:val="0"/>
          <w:color w:val="000000"/>
          <w:sz w:val="32"/>
          <w:szCs w:val="32"/>
          <w:highlight w:val="none"/>
          <w:lang w:eastAsia="zh-CN"/>
        </w:rPr>
        <w:t>（</w:t>
      </w:r>
      <w:r>
        <w:rPr>
          <w:rFonts w:hint="eastAsia" w:ascii="楷体_GB2312" w:hAnsi="楷体_GB2312" w:eastAsia="楷体_GB2312" w:cs="楷体_GB2312"/>
          <w:b w:val="0"/>
          <w:bCs w:val="0"/>
          <w:color w:val="000000"/>
          <w:sz w:val="32"/>
          <w:szCs w:val="32"/>
          <w:highlight w:val="none"/>
          <w:lang w:val="en-US" w:eastAsia="zh-CN"/>
        </w:rPr>
        <w:t>一</w:t>
      </w:r>
      <w:r>
        <w:rPr>
          <w:rFonts w:hint="eastAsia" w:ascii="楷体_GB2312" w:hAnsi="楷体_GB2312" w:eastAsia="楷体_GB2312" w:cs="楷体_GB2312"/>
          <w:b w:val="0"/>
          <w:bCs w:val="0"/>
          <w:color w:val="000000"/>
          <w:sz w:val="32"/>
          <w:szCs w:val="32"/>
          <w:highlight w:val="none"/>
          <w:lang w:eastAsia="zh-CN"/>
        </w:rPr>
        <w:t>）</w:t>
      </w:r>
      <w:r>
        <w:rPr>
          <w:rFonts w:hint="eastAsia" w:ascii="楷体_GB2312" w:hAnsi="楷体_GB2312" w:eastAsia="楷体_GB2312" w:cs="楷体_GB2312"/>
          <w:b w:val="0"/>
          <w:bCs w:val="0"/>
          <w:color w:val="000000"/>
          <w:sz w:val="32"/>
          <w:szCs w:val="32"/>
          <w:highlight w:val="none"/>
          <w:lang w:val="en-US" w:eastAsia="zh-CN"/>
        </w:rPr>
        <w:t>项目管理要求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1.中标单位委派人员必须接受采购单位具体管理方的检查和管理，以保证高质量完成各项工作；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2.投标单位须配合采购单位的采购小组对证明文件进行核证；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3.为确保项目质量，中标单位不得将项目转包、分包；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highlight w:val="none"/>
        </w:rPr>
      </w:pPr>
      <w:r>
        <w:rPr>
          <w:rFonts w:hint="eastAsia" w:ascii="仿宋_GB2312" w:hAnsi="仿宋" w:eastAsia="仿宋_GB2312" w:cs="仿宋"/>
          <w:color w:val="000000"/>
          <w:sz w:val="32"/>
          <w:szCs w:val="32"/>
          <w:highlight w:val="none"/>
        </w:rPr>
        <w:t>4.投标单位若认为采购需求文件的技术要求或其他要求有倾向性或不公正性，可在采购需求公告期间提出，以维护采购行为的公平、公正。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楷体_GB2312" w:hAnsi="楷体_GB2312" w:eastAsia="楷体_GB2312" w:cs="楷体_GB2312"/>
          <w:color w:val="000000"/>
          <w:sz w:val="32"/>
          <w:szCs w:val="32"/>
        </w:rPr>
        <w:t>（二）项目服务要求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1.中标单位及时委派5名全职社工入驻本项目，社工持证率100%，社工需严格遵守国家法律法规及社会工作伦理道德，服从采购单位管理，为服务对象提供优质服务。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2.中标单位提供的服务应当严格遵守法律、法规且符合国家、省、市、区的相关法律法规及政策性规定。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3.中标单位应及时完成采购单位交办的工作内容，避免拖延。</w:t>
      </w:r>
    </w:p>
    <w:p>
      <w:pPr>
        <w:pStyle w:val="2"/>
        <w:spacing w:line="560" w:lineRule="exact"/>
        <w:ind w:firstLine="640" w:firstLineChars="200"/>
        <w:rPr>
          <w:rFonts w:hint="default" w:eastAsia="黑体"/>
          <w:color w:val="000000"/>
          <w:lang w:val="en-US" w:eastAsia="zh-CN"/>
        </w:rPr>
      </w:pPr>
      <w:r>
        <w:rPr>
          <w:rFonts w:hint="eastAsia" w:ascii="仿宋_GB2312" w:hAnsi="仿宋_GB2312" w:eastAsia="仿宋_GB2312" w:cs="仿宋_GB2312"/>
          <w:b w:val="0"/>
          <w:bCs w:val="0"/>
          <w:color w:val="000000"/>
          <w:sz w:val="32"/>
          <w:szCs w:val="32"/>
          <w:shd w:val="clear" w:color="auto" w:fill="auto"/>
          <w:lang w:val="en-US" w:eastAsia="zh-CN"/>
        </w:rPr>
        <w:t>4.中标单位在服务过程中需建立服务档案，明确查阅权限。需对采购单位所知悉或获得的一切信息资料，有保密义务，不能私自复印留存，泄漏有关信息；未经采购单位同意，中标单位不能向第三方提供或披露有关资料和信息，法律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仿宋"/>
          <w:color w:val="000000"/>
          <w:sz w:val="32"/>
          <w:szCs w:val="32"/>
        </w:rPr>
      </w:pPr>
      <w:r>
        <w:rPr>
          <w:rFonts w:hint="eastAsia" w:ascii="黑体" w:hAnsi="黑体" w:eastAsia="黑体" w:cs="仿宋"/>
          <w:color w:val="000000"/>
          <w:sz w:val="32"/>
          <w:szCs w:val="32"/>
          <w:lang w:eastAsia="zh-CN"/>
        </w:rPr>
        <w:t>四</w:t>
      </w:r>
      <w:r>
        <w:rPr>
          <w:rFonts w:hint="eastAsia" w:ascii="黑体" w:hAnsi="黑体" w:eastAsia="黑体" w:cs="仿宋"/>
          <w:color w:val="000000"/>
          <w:sz w:val="32"/>
          <w:szCs w:val="32"/>
        </w:rPr>
        <w:t>、供应商资格要求</w:t>
      </w:r>
    </w:p>
    <w:p>
      <w:pPr>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投标</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须为在中华人民共和国境内注册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具有</w:t>
      </w:r>
      <w:r>
        <w:rPr>
          <w:rFonts w:hint="eastAsia" w:ascii="仿宋_GB2312" w:hAnsi="仿宋_GB2312" w:eastAsia="仿宋_GB2312" w:cs="仿宋_GB2312"/>
          <w:color w:val="auto"/>
          <w:sz w:val="32"/>
          <w:szCs w:val="32"/>
        </w:rPr>
        <w:t>独立法人</w:t>
      </w:r>
      <w:r>
        <w:rPr>
          <w:rFonts w:hint="eastAsia" w:ascii="仿宋_GB2312" w:hAnsi="仿宋_GB2312" w:eastAsia="仿宋_GB2312" w:cs="仿宋_GB2312"/>
          <w:color w:val="auto"/>
          <w:sz w:val="32"/>
          <w:szCs w:val="32"/>
          <w:lang w:val="en-US" w:eastAsia="zh-CN"/>
        </w:rPr>
        <w:t>资格或是具有独立承担民事责任能力的其他组织（独立法人提供营业执照扫描件或复印件；非法人组织则提供主管部门颁发或批准成立的证书或其他证明文件扫描件或复印件）。</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投标</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参加本次政府采购活动前3年内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在经营活动中没有重大违法记录</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3.投标单位应具有良好的商业信誉。拒绝</w:t>
      </w:r>
      <w:r>
        <w:rPr>
          <w:rFonts w:hint="eastAsia" w:ascii="仿宋_GB2312" w:hAnsi="仿宋_GB2312" w:eastAsia="仿宋_GB2312" w:cs="仿宋_GB2312"/>
          <w:sz w:val="32"/>
          <w:szCs w:val="32"/>
          <w:lang w:val="en-US" w:eastAsia="zh-CN"/>
        </w:rPr>
        <w:t>因违法经营受到刑事处罚或者责令停产停业、吊销许可证或者执照、受到较大数额罚款等行政处罚的投标单位参与本项目的采购活动。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仿宋"/>
          <w:color w:val="000000"/>
          <w:sz w:val="32"/>
          <w:szCs w:val="32"/>
        </w:rPr>
      </w:pPr>
      <w:r>
        <w:rPr>
          <w:rFonts w:hint="eastAsia" w:ascii="黑体" w:hAnsi="黑体" w:eastAsia="黑体" w:cs="仿宋"/>
          <w:color w:val="000000"/>
          <w:sz w:val="32"/>
          <w:szCs w:val="32"/>
          <w:lang w:eastAsia="zh-CN"/>
        </w:rPr>
        <w:t>五</w:t>
      </w:r>
      <w:r>
        <w:rPr>
          <w:rFonts w:hint="eastAsia" w:ascii="黑体" w:hAnsi="黑体" w:eastAsia="黑体" w:cs="仿宋"/>
          <w:color w:val="000000"/>
          <w:sz w:val="32"/>
          <w:szCs w:val="32"/>
        </w:rPr>
        <w:t>、评标定标方法</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ascii="仿宋_GB2312" w:hAnsi="仿宋" w:eastAsia="仿宋_GB2312" w:cs="仿宋"/>
          <w:color w:val="000000"/>
          <w:sz w:val="32"/>
          <w:szCs w:val="32"/>
        </w:rPr>
      </w:pPr>
      <w:r>
        <w:rPr>
          <w:rFonts w:hint="eastAsia" w:ascii="仿宋_GB2312" w:hAnsi="仿宋" w:eastAsia="仿宋_GB2312" w:cs="仿宋"/>
          <w:color w:val="000000"/>
          <w:sz w:val="32"/>
          <w:szCs w:val="32"/>
          <w:lang w:eastAsia="zh-Hans"/>
        </w:rPr>
        <w:t>项目</w:t>
      </w:r>
      <w:r>
        <w:rPr>
          <w:rFonts w:hint="eastAsia" w:ascii="仿宋_GB2312" w:hAnsi="仿宋" w:eastAsia="仿宋_GB2312" w:cs="仿宋"/>
          <w:color w:val="000000"/>
          <w:sz w:val="32"/>
          <w:szCs w:val="32"/>
        </w:rPr>
        <w:t>采用综合评分法，即投标文件满足采购需求文件全部实质性要求，且按照评审因素的量化指标评审得分最高的投标</w:t>
      </w:r>
      <w:r>
        <w:rPr>
          <w:rFonts w:hint="eastAsia" w:ascii="仿宋_GB2312" w:hAnsi="仿宋" w:eastAsia="仿宋_GB2312" w:cs="仿宋"/>
          <w:color w:val="000000"/>
          <w:sz w:val="32"/>
          <w:szCs w:val="32"/>
          <w:lang w:val="en-US" w:eastAsia="zh-CN"/>
        </w:rPr>
        <w:t>单位</w:t>
      </w:r>
      <w:r>
        <w:rPr>
          <w:rFonts w:hint="eastAsia" w:ascii="仿宋_GB2312" w:hAnsi="仿宋" w:eastAsia="仿宋_GB2312" w:cs="仿宋"/>
          <w:color w:val="000000"/>
          <w:sz w:val="32"/>
          <w:szCs w:val="32"/>
        </w:rPr>
        <w:t>为中标候选</w:t>
      </w:r>
      <w:r>
        <w:rPr>
          <w:rFonts w:hint="eastAsia" w:ascii="仿宋_GB2312" w:hAnsi="仿宋" w:eastAsia="仿宋_GB2312" w:cs="仿宋"/>
          <w:color w:val="000000"/>
          <w:sz w:val="32"/>
          <w:szCs w:val="32"/>
          <w:lang w:val="en-US" w:eastAsia="zh-CN"/>
        </w:rPr>
        <w:t>单位</w:t>
      </w:r>
      <w:r>
        <w:rPr>
          <w:rFonts w:hint="eastAsia" w:ascii="仿宋_GB2312" w:hAnsi="仿宋" w:eastAsia="仿宋_GB2312" w:cs="仿宋"/>
          <w:color w:val="000000"/>
          <w:sz w:val="32"/>
          <w:szCs w:val="32"/>
        </w:rPr>
        <w:t>的评标方法。</w:t>
      </w:r>
      <w:r>
        <w:rPr>
          <w:rFonts w:hint="eastAsia" w:ascii="仿宋_GB2312" w:hAnsi="仿宋" w:eastAsia="仿宋_GB2312" w:cs="仿宋"/>
          <w:color w:val="000000"/>
          <w:sz w:val="32"/>
          <w:szCs w:val="32"/>
        </w:rPr>
        <w:tab/>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ascii="仿宋_GB2312" w:hAnsi="仿宋" w:eastAsia="仿宋_GB2312" w:cs="仿宋"/>
          <w:color w:val="000000"/>
          <w:sz w:val="32"/>
          <w:szCs w:val="32"/>
        </w:rPr>
      </w:pPr>
      <w:r>
        <w:rPr>
          <w:rFonts w:hint="eastAsia" w:ascii="仿宋_GB2312" w:hAnsi="仿宋" w:eastAsia="仿宋_GB2312" w:cs="仿宋"/>
          <w:color w:val="000000"/>
          <w:sz w:val="32"/>
          <w:szCs w:val="32"/>
        </w:rPr>
        <w:t>确定中标单位按评审后得分由高到低顺序排列。得分相同的，按投标报价由低到高顺序排列。得分且投标报价相同的，按技术指标优劣顺序排列。</w:t>
      </w:r>
      <w:r>
        <w:rPr>
          <w:rFonts w:hint="eastAsia" w:ascii="仿宋_GB2312" w:hAnsi="仿宋" w:eastAsia="仿宋_GB2312" w:cs="仿宋"/>
          <w:color w:val="000000"/>
          <w:sz w:val="32"/>
          <w:szCs w:val="32"/>
        </w:rPr>
        <w:tab/>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ascii="仿宋_GB2312" w:hAnsi="仿宋" w:eastAsia="仿宋_GB2312" w:cs="仿宋"/>
          <w:color w:val="000000"/>
          <w:sz w:val="32"/>
          <w:szCs w:val="32"/>
        </w:rPr>
      </w:pPr>
      <w:r>
        <w:rPr>
          <w:rFonts w:hint="eastAsia" w:ascii="仿宋_GB2312" w:hAnsi="仿宋" w:eastAsia="仿宋_GB2312" w:cs="仿宋"/>
          <w:color w:val="000000"/>
          <w:sz w:val="32"/>
          <w:szCs w:val="32"/>
        </w:rPr>
        <w:t>采购小组会对每个通过资格性检查和符合性检查且报价不超过预算金额或投标控制价的投标单位进行评审、打分，然后汇总每个投标单位每项评分因素的评分。</w:t>
      </w:r>
      <w:r>
        <w:rPr>
          <w:rFonts w:hint="eastAsia" w:ascii="仿宋_GB2312" w:hAnsi="仿宋" w:eastAsia="仿宋_GB2312" w:cs="仿宋"/>
          <w:color w:val="000000"/>
          <w:sz w:val="32"/>
          <w:szCs w:val="32"/>
        </w:rPr>
        <w:tab/>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采购小组在评标时，按照以下量化的评审因素，对进入该阶段评审的各投标文件进行分析和比较:</w:t>
      </w:r>
    </w:p>
    <w:tbl>
      <w:tblPr>
        <w:tblStyle w:val="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523"/>
        <w:gridCol w:w="676"/>
        <w:gridCol w:w="1143"/>
        <w:gridCol w:w="4635"/>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058" w:type="dxa"/>
            <w:gridSpan w:val="4"/>
            <w:vAlign w:val="center"/>
          </w:tcPr>
          <w:p>
            <w:pPr>
              <w:spacing w:line="300" w:lineRule="atLeas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评分项</w:t>
            </w:r>
          </w:p>
        </w:tc>
        <w:tc>
          <w:tcPr>
            <w:tcW w:w="4635" w:type="dxa"/>
            <w:vAlign w:val="center"/>
          </w:tcPr>
          <w:p>
            <w:pPr>
              <w:spacing w:line="300" w:lineRule="atLeas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权重</w:t>
            </w:r>
          </w:p>
        </w:tc>
        <w:tc>
          <w:tcPr>
            <w:tcW w:w="707" w:type="dxa"/>
            <w:vAlign w:val="center"/>
          </w:tcPr>
          <w:p>
            <w:pPr>
              <w:spacing w:line="300" w:lineRule="atLeast"/>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58" w:type="dxa"/>
            <w:gridSpan w:val="4"/>
            <w:vAlign w:val="center"/>
          </w:tcPr>
          <w:p>
            <w:pPr>
              <w:spacing w:line="300" w:lineRule="atLeast"/>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rPr>
              <w:t>价格</w:t>
            </w:r>
            <w:r>
              <w:rPr>
                <w:rFonts w:hint="eastAsia" w:ascii="仿宋_GB2312" w:hAnsi="仿宋_GB2312" w:eastAsia="仿宋_GB2312" w:cs="仿宋_GB2312"/>
                <w:b/>
                <w:bCs/>
                <w:color w:val="000000"/>
                <w:sz w:val="24"/>
                <w:szCs w:val="24"/>
                <w:lang w:eastAsia="zh-CN"/>
              </w:rPr>
              <w:t>指标</w:t>
            </w:r>
          </w:p>
        </w:tc>
        <w:tc>
          <w:tcPr>
            <w:tcW w:w="4635" w:type="dxa"/>
            <w:vAlign w:val="center"/>
          </w:tcPr>
          <w:p>
            <w:pPr>
              <w:spacing w:line="300" w:lineRule="atLeas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20</w:t>
            </w:r>
          </w:p>
        </w:tc>
        <w:tc>
          <w:tcPr>
            <w:tcW w:w="707" w:type="dxa"/>
            <w:vAlign w:val="center"/>
          </w:tcPr>
          <w:p>
            <w:pPr>
              <w:spacing w:line="300" w:lineRule="atLeast"/>
              <w:jc w:val="center"/>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16" w:type="dxa"/>
            <w:vAlign w:val="center"/>
          </w:tcPr>
          <w:p>
            <w:pPr>
              <w:spacing w:line="300" w:lineRule="atLeast"/>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序号</w:t>
            </w:r>
          </w:p>
        </w:tc>
        <w:tc>
          <w:tcPr>
            <w:tcW w:w="1523" w:type="dxa"/>
            <w:vAlign w:val="center"/>
          </w:tcPr>
          <w:p>
            <w:pPr>
              <w:spacing w:line="300" w:lineRule="atLeast"/>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评分因素</w:t>
            </w:r>
          </w:p>
        </w:tc>
        <w:tc>
          <w:tcPr>
            <w:tcW w:w="676" w:type="dxa"/>
            <w:vAlign w:val="center"/>
          </w:tcPr>
          <w:p>
            <w:pPr>
              <w:spacing w:line="300" w:lineRule="atLeast"/>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权重</w:t>
            </w:r>
          </w:p>
        </w:tc>
        <w:tc>
          <w:tcPr>
            <w:tcW w:w="1143" w:type="dxa"/>
            <w:vAlign w:val="center"/>
          </w:tcPr>
          <w:p>
            <w:pPr>
              <w:spacing w:line="300" w:lineRule="atLeast"/>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评分</w:t>
            </w:r>
          </w:p>
          <w:p>
            <w:pPr>
              <w:spacing w:line="300" w:lineRule="atLeast"/>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方式</w:t>
            </w:r>
          </w:p>
        </w:tc>
        <w:tc>
          <w:tcPr>
            <w:tcW w:w="4635" w:type="dxa"/>
            <w:vAlign w:val="center"/>
          </w:tcPr>
          <w:p>
            <w:pPr>
              <w:spacing w:line="300" w:lineRule="atLeast"/>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评分准则</w:t>
            </w:r>
          </w:p>
        </w:tc>
        <w:tc>
          <w:tcPr>
            <w:tcW w:w="707" w:type="dxa"/>
            <w:vAlign w:val="center"/>
          </w:tcPr>
          <w:p>
            <w:pPr>
              <w:spacing w:line="300" w:lineRule="atLeast"/>
              <w:jc w:val="center"/>
              <w:rPr>
                <w:rFonts w:hint="eastAsia" w:ascii="仿宋" w:hAnsi="仿宋" w:eastAsia="仿宋" w:cs="仿宋"/>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4" w:hRule="atLeast"/>
          <w:jc w:val="center"/>
        </w:trPr>
        <w:tc>
          <w:tcPr>
            <w:tcW w:w="716" w:type="dxa"/>
            <w:vAlign w:val="center"/>
          </w:tcPr>
          <w:p>
            <w:pPr>
              <w:spacing w:line="300" w:lineRule="atLeast"/>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1</w:t>
            </w:r>
          </w:p>
        </w:tc>
        <w:tc>
          <w:tcPr>
            <w:tcW w:w="1523" w:type="dxa"/>
            <w:vAlign w:val="center"/>
          </w:tcPr>
          <w:p>
            <w:pPr>
              <w:spacing w:line="300" w:lineRule="atLeast"/>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价格高低</w:t>
            </w:r>
          </w:p>
        </w:tc>
        <w:tc>
          <w:tcPr>
            <w:tcW w:w="676" w:type="dxa"/>
            <w:vAlign w:val="center"/>
          </w:tcPr>
          <w:p>
            <w:pPr>
              <w:spacing w:line="300" w:lineRule="atLeast"/>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20</w:t>
            </w:r>
          </w:p>
        </w:tc>
        <w:tc>
          <w:tcPr>
            <w:tcW w:w="1143" w:type="dxa"/>
            <w:vAlign w:val="center"/>
          </w:tcPr>
          <w:p>
            <w:pPr>
              <w:spacing w:line="300" w:lineRule="atLeast"/>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采购</w:t>
            </w:r>
            <w:r>
              <w:rPr>
                <w:rFonts w:hint="eastAsia" w:ascii="仿宋_GB2312" w:hAnsi="仿宋_GB2312" w:eastAsia="仿宋_GB2312" w:cs="仿宋_GB2312"/>
                <w:b w:val="0"/>
                <w:bCs w:val="0"/>
                <w:color w:val="000000"/>
                <w:sz w:val="24"/>
                <w:szCs w:val="24"/>
                <w:lang w:val="en-US" w:eastAsia="zh-CN"/>
              </w:rPr>
              <w:t>小组</w:t>
            </w:r>
            <w:r>
              <w:rPr>
                <w:rFonts w:hint="eastAsia" w:ascii="仿宋_GB2312" w:hAnsi="仿宋_GB2312" w:eastAsia="仿宋_GB2312" w:cs="仿宋_GB2312"/>
                <w:b w:val="0"/>
                <w:bCs w:val="0"/>
                <w:color w:val="000000"/>
                <w:sz w:val="24"/>
                <w:szCs w:val="24"/>
              </w:rPr>
              <w:t>打分</w:t>
            </w:r>
          </w:p>
        </w:tc>
        <w:tc>
          <w:tcPr>
            <w:tcW w:w="4635" w:type="dxa"/>
            <w:vAlign w:val="center"/>
          </w:tcPr>
          <w:p>
            <w:pPr>
              <w:spacing w:line="300" w:lineRule="atLeast"/>
              <w:jc w:val="left"/>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满足采购需求</w:t>
            </w:r>
            <w:r>
              <w:rPr>
                <w:rFonts w:hint="eastAsia" w:ascii="仿宋_GB2312" w:hAnsi="仿宋_GB2312" w:eastAsia="仿宋_GB2312" w:cs="仿宋_GB2312"/>
                <w:b w:val="0"/>
                <w:bCs w:val="0"/>
                <w:color w:val="000000"/>
                <w:sz w:val="24"/>
                <w:szCs w:val="24"/>
                <w:lang w:val="en-US" w:eastAsia="zh-CN"/>
              </w:rPr>
              <w:t>中供应商资格</w:t>
            </w:r>
            <w:r>
              <w:rPr>
                <w:rFonts w:hint="eastAsia" w:ascii="仿宋_GB2312" w:hAnsi="仿宋_GB2312" w:eastAsia="仿宋_GB2312" w:cs="仿宋_GB2312"/>
                <w:b w:val="0"/>
                <w:bCs w:val="0"/>
                <w:color w:val="000000"/>
                <w:sz w:val="24"/>
                <w:szCs w:val="24"/>
              </w:rPr>
              <w:t>要求</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rPr>
              <w:t>且投标价格最低的投标报价为评标基准价，其价格分为满分；</w:t>
            </w:r>
          </w:p>
          <w:p>
            <w:pPr>
              <w:spacing w:line="300" w:lineRule="atLeast"/>
              <w:jc w:val="left"/>
              <w:rPr>
                <w:rFonts w:hint="eastAsia" w:ascii="仿宋_GB2312" w:hAnsi="仿宋_GB2312" w:eastAsia="仿宋_GB2312" w:cs="仿宋_GB2312"/>
                <w:color w:val="000000"/>
                <w:lang w:eastAsia="zh-CN"/>
              </w:rPr>
            </w:pPr>
            <w:r>
              <w:rPr>
                <w:rFonts w:hint="eastAsia" w:ascii="仿宋_GB2312" w:hAnsi="仿宋_GB2312" w:eastAsia="仿宋_GB2312" w:cs="仿宋_GB2312"/>
                <w:b w:val="0"/>
                <w:bCs w:val="0"/>
                <w:color w:val="000000"/>
                <w:sz w:val="24"/>
                <w:szCs w:val="24"/>
              </w:rPr>
              <w:t>其它投标</w:t>
            </w:r>
            <w:r>
              <w:rPr>
                <w:rFonts w:hint="eastAsia" w:ascii="仿宋_GB2312" w:hAnsi="仿宋_GB2312" w:eastAsia="仿宋_GB2312" w:cs="仿宋_GB2312"/>
                <w:b w:val="0"/>
                <w:bCs w:val="0"/>
                <w:color w:val="000000"/>
                <w:kern w:val="0"/>
                <w:sz w:val="24"/>
                <w:szCs w:val="24"/>
                <w:lang w:val="en-US" w:eastAsia="zh-CN" w:bidi="ar"/>
              </w:rPr>
              <w:t>单位</w:t>
            </w:r>
            <w:r>
              <w:rPr>
                <w:rFonts w:hint="eastAsia" w:ascii="仿宋_GB2312" w:hAnsi="仿宋_GB2312" w:eastAsia="仿宋_GB2312" w:cs="仿宋_GB2312"/>
                <w:b w:val="0"/>
                <w:bCs w:val="0"/>
                <w:color w:val="000000"/>
                <w:sz w:val="24"/>
                <w:szCs w:val="24"/>
              </w:rPr>
              <w:t>的价格分统一按照下列公</w:t>
            </w:r>
            <w:r>
              <w:rPr>
                <w:rFonts w:hint="eastAsia" w:ascii="仿宋_GB2312" w:hAnsi="仿宋_GB2312" w:eastAsia="仿宋_GB2312" w:cs="仿宋_GB2312"/>
                <w:b w:val="0"/>
                <w:bCs w:val="0"/>
                <w:color w:val="000000"/>
                <w:sz w:val="24"/>
                <w:szCs w:val="24"/>
                <w:lang w:eastAsia="zh-CN"/>
              </w:rPr>
              <w:t>式</w:t>
            </w:r>
            <w:r>
              <w:rPr>
                <w:rFonts w:hint="eastAsia" w:ascii="仿宋_GB2312" w:hAnsi="仿宋_GB2312" w:eastAsia="仿宋_GB2312" w:cs="仿宋_GB2312"/>
                <w:b w:val="0"/>
                <w:bCs w:val="0"/>
                <w:color w:val="000000"/>
                <w:sz w:val="24"/>
                <w:szCs w:val="24"/>
              </w:rPr>
              <w:t>计算：</w:t>
            </w:r>
          </w:p>
          <w:p>
            <w:pPr>
              <w:spacing w:line="300" w:lineRule="atLeast"/>
              <w:jc w:val="left"/>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投标报价得分=（评标基准价/投标报价）×价格权值×100。</w:t>
            </w:r>
          </w:p>
        </w:tc>
        <w:tc>
          <w:tcPr>
            <w:tcW w:w="707" w:type="dxa"/>
            <w:vAlign w:val="center"/>
          </w:tcPr>
          <w:p>
            <w:pPr>
              <w:spacing w:line="300" w:lineRule="atLeast"/>
              <w:jc w:val="center"/>
              <w:rPr>
                <w:rFonts w:hint="eastAsia" w:ascii="仿宋" w:hAnsi="仿宋" w:eastAsia="仿宋" w:cs="仿宋"/>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058" w:type="dxa"/>
            <w:gridSpan w:val="4"/>
            <w:vAlign w:val="center"/>
          </w:tcPr>
          <w:p>
            <w:pPr>
              <w:spacing w:line="300" w:lineRule="atLeas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技术指标</w:t>
            </w:r>
          </w:p>
        </w:tc>
        <w:tc>
          <w:tcPr>
            <w:tcW w:w="4635" w:type="dxa"/>
            <w:vAlign w:val="center"/>
          </w:tcPr>
          <w:p>
            <w:pPr>
              <w:spacing w:line="300" w:lineRule="atLeast"/>
              <w:jc w:val="center"/>
              <w:rPr>
                <w:rFonts w:hint="default" w:ascii="仿宋_GB2312" w:hAnsi="仿宋_GB2312" w:eastAsia="仿宋_GB2312" w:cs="仿宋_GB2312"/>
                <w:b/>
                <w:bCs/>
                <w:color w:val="000000"/>
                <w:sz w:val="24"/>
                <w:szCs w:val="24"/>
                <w:lang w:val="en-US"/>
              </w:rPr>
            </w:pPr>
            <w:r>
              <w:rPr>
                <w:rFonts w:hint="eastAsia" w:ascii="仿宋_GB2312" w:hAnsi="仿宋_GB2312" w:eastAsia="仿宋_GB2312" w:cs="仿宋_GB2312"/>
                <w:b/>
                <w:bCs/>
                <w:color w:val="000000"/>
                <w:sz w:val="24"/>
                <w:szCs w:val="24"/>
                <w:lang w:val="en-US" w:eastAsia="zh-CN"/>
              </w:rPr>
              <w:t>20</w:t>
            </w:r>
          </w:p>
        </w:tc>
        <w:tc>
          <w:tcPr>
            <w:tcW w:w="707" w:type="dxa"/>
            <w:vAlign w:val="center"/>
          </w:tcPr>
          <w:p>
            <w:pPr>
              <w:spacing w:line="300" w:lineRule="atLeast"/>
              <w:jc w:val="center"/>
              <w:rPr>
                <w:rFonts w:hint="eastAsia" w:ascii="仿宋" w:hAnsi="仿宋" w:eastAsia="仿宋" w:cs="仿宋"/>
                <w:b/>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6" w:type="dxa"/>
            <w:vAlign w:val="center"/>
          </w:tcPr>
          <w:p>
            <w:pPr>
              <w:spacing w:line="300" w:lineRule="atLeast"/>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序号</w:t>
            </w:r>
          </w:p>
        </w:tc>
        <w:tc>
          <w:tcPr>
            <w:tcW w:w="1523" w:type="dxa"/>
            <w:vAlign w:val="center"/>
          </w:tcPr>
          <w:p>
            <w:pPr>
              <w:spacing w:line="300" w:lineRule="atLeast"/>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评分因素</w:t>
            </w:r>
          </w:p>
        </w:tc>
        <w:tc>
          <w:tcPr>
            <w:tcW w:w="676" w:type="dxa"/>
            <w:vAlign w:val="center"/>
          </w:tcPr>
          <w:p>
            <w:pPr>
              <w:spacing w:line="300" w:lineRule="atLeast"/>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权重</w:t>
            </w:r>
          </w:p>
        </w:tc>
        <w:tc>
          <w:tcPr>
            <w:tcW w:w="1143" w:type="dxa"/>
            <w:vAlign w:val="center"/>
          </w:tcPr>
          <w:p>
            <w:pPr>
              <w:spacing w:line="300" w:lineRule="atLeast"/>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评分</w:t>
            </w:r>
          </w:p>
          <w:p>
            <w:pPr>
              <w:spacing w:line="300" w:lineRule="atLeast"/>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方式</w:t>
            </w:r>
          </w:p>
        </w:tc>
        <w:tc>
          <w:tcPr>
            <w:tcW w:w="4635" w:type="dxa"/>
            <w:vAlign w:val="center"/>
          </w:tcPr>
          <w:p>
            <w:pPr>
              <w:spacing w:line="300" w:lineRule="atLeast"/>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评分准则</w:t>
            </w:r>
          </w:p>
        </w:tc>
        <w:tc>
          <w:tcPr>
            <w:tcW w:w="707" w:type="dxa"/>
            <w:vAlign w:val="center"/>
          </w:tcPr>
          <w:p>
            <w:pPr>
              <w:spacing w:line="300" w:lineRule="atLeast"/>
              <w:jc w:val="center"/>
              <w:rPr>
                <w:rFonts w:hint="eastAsia" w:ascii="仿宋" w:hAnsi="仿宋" w:eastAsia="仿宋" w:cs="仿宋"/>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6" w:type="dxa"/>
            <w:vAlign w:val="center"/>
          </w:tcPr>
          <w:p>
            <w:pPr>
              <w:spacing w:line="300" w:lineRule="atLeast"/>
              <w:jc w:val="center"/>
              <w:rPr>
                <w:rFonts w:hint="default"/>
                <w:lang w:val="en-US"/>
              </w:rPr>
            </w:pPr>
          </w:p>
          <w:p>
            <w:pPr>
              <w:rPr>
                <w:rFonts w:hint="eastAsia"/>
                <w:lang w:val="en-US" w:eastAsia="zh-CN"/>
              </w:rPr>
            </w:pPr>
          </w:p>
          <w:p>
            <w:pPr>
              <w:rPr>
                <w:rFonts w:hint="eastAsia"/>
                <w:lang w:val="en-US" w:eastAsia="zh-CN"/>
              </w:rPr>
            </w:pPr>
          </w:p>
          <w:p>
            <w:pPr>
              <w:jc w:val="center"/>
              <w:rPr>
                <w:rFonts w:hint="default"/>
                <w:lang w:val="en-US" w:eastAsia="zh-CN"/>
              </w:rPr>
            </w:pPr>
            <w:r>
              <w:rPr>
                <w:rFonts w:hint="eastAsia" w:ascii="仿宋_GB2312" w:hAnsi="仿宋_GB2312" w:eastAsia="仿宋_GB2312" w:cs="仿宋_GB2312"/>
                <w:color w:val="000000"/>
                <w:sz w:val="24"/>
                <w:szCs w:val="24"/>
                <w:lang w:val="en-US" w:eastAsia="zh-CN"/>
              </w:rPr>
              <w:t>1</w:t>
            </w:r>
          </w:p>
        </w:tc>
        <w:tc>
          <w:tcPr>
            <w:tcW w:w="1523" w:type="dxa"/>
            <w:vAlign w:val="center"/>
          </w:tcPr>
          <w:p>
            <w:pPr>
              <w:spacing w:line="300" w:lineRule="atLeast"/>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项目服务方案</w:t>
            </w:r>
          </w:p>
        </w:tc>
        <w:tc>
          <w:tcPr>
            <w:tcW w:w="676" w:type="dxa"/>
            <w:vAlign w:val="center"/>
          </w:tcPr>
          <w:p>
            <w:pPr>
              <w:autoSpaceDE w:val="0"/>
              <w:autoSpaceDN w:val="0"/>
              <w:adjustRightInd w:val="0"/>
              <w:spacing w:line="300" w:lineRule="atLeast"/>
              <w:jc w:val="center"/>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kern w:val="0"/>
                <w:sz w:val="24"/>
                <w:szCs w:val="24"/>
                <w:lang w:val="en-US" w:eastAsia="zh-CN" w:bidi="ar"/>
              </w:rPr>
              <w:t>10</w:t>
            </w:r>
          </w:p>
        </w:tc>
        <w:tc>
          <w:tcPr>
            <w:tcW w:w="1143" w:type="dxa"/>
            <w:vAlign w:val="center"/>
          </w:tcPr>
          <w:p>
            <w:pPr>
              <w:spacing w:line="300" w:lineRule="atLeast"/>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采购</w:t>
            </w:r>
            <w:r>
              <w:rPr>
                <w:rFonts w:hint="eastAsia" w:ascii="仿宋_GB2312" w:hAnsi="仿宋_GB2312" w:eastAsia="仿宋_GB2312" w:cs="仿宋_GB2312"/>
                <w:b w:val="0"/>
                <w:bCs w:val="0"/>
                <w:color w:val="000000"/>
                <w:sz w:val="24"/>
                <w:szCs w:val="24"/>
                <w:lang w:val="en-US" w:eastAsia="zh-CN"/>
              </w:rPr>
              <w:t>小组</w:t>
            </w:r>
            <w:r>
              <w:rPr>
                <w:rFonts w:hint="eastAsia" w:ascii="仿宋_GB2312" w:hAnsi="仿宋_GB2312" w:eastAsia="仿宋_GB2312" w:cs="仿宋_GB2312"/>
                <w:b w:val="0"/>
                <w:bCs w:val="0"/>
                <w:color w:val="000000"/>
                <w:sz w:val="24"/>
                <w:szCs w:val="24"/>
              </w:rPr>
              <w:t>打分</w:t>
            </w:r>
          </w:p>
        </w:tc>
        <w:tc>
          <w:tcPr>
            <w:tcW w:w="4635" w:type="dxa"/>
            <w:vAlign w:val="center"/>
          </w:tcPr>
          <w:p>
            <w:pPr>
              <w:widowControl/>
              <w:spacing w:line="300" w:lineRule="atLeast"/>
              <w:jc w:val="left"/>
              <w:rPr>
                <w:rFonts w:hint="eastAsia" w:ascii="仿宋_GB2312" w:hAnsi="仿宋_GB2312" w:eastAsia="仿宋_GB2312" w:cs="仿宋_GB2312"/>
                <w:b w:val="0"/>
                <w:bCs w:val="0"/>
                <w:color w:val="000000"/>
                <w:kern w:val="0"/>
                <w:sz w:val="24"/>
                <w:szCs w:val="24"/>
                <w:lang w:val="zh-CN" w:bidi="ar"/>
              </w:rPr>
            </w:pPr>
            <w:r>
              <w:rPr>
                <w:rFonts w:hint="eastAsia" w:ascii="仿宋_GB2312" w:hAnsi="仿宋_GB2312" w:eastAsia="仿宋_GB2312" w:cs="仿宋_GB2312"/>
                <w:b w:val="0"/>
                <w:bCs w:val="0"/>
                <w:color w:val="000000"/>
                <w:kern w:val="0"/>
                <w:sz w:val="24"/>
                <w:szCs w:val="24"/>
                <w:lang w:val="zh-CN" w:bidi="ar"/>
              </w:rPr>
              <w:t>涉及本项目服务方案应包括：1.服务内容；2.服务目标；3.服务指标。</w:t>
            </w:r>
          </w:p>
          <w:p>
            <w:pPr>
              <w:widowControl/>
              <w:spacing w:line="300" w:lineRule="atLeast"/>
              <w:jc w:val="left"/>
              <w:rPr>
                <w:rFonts w:hint="eastAsia" w:ascii="仿宋_GB2312" w:hAnsi="仿宋_GB2312" w:eastAsia="仿宋_GB2312" w:cs="仿宋_GB2312"/>
                <w:b/>
                <w:bCs/>
                <w:color w:val="000000"/>
                <w:kern w:val="0"/>
                <w:sz w:val="24"/>
                <w:szCs w:val="24"/>
                <w:lang w:val="zh-CN" w:bidi="ar"/>
              </w:rPr>
            </w:pPr>
            <w:r>
              <w:rPr>
                <w:rFonts w:hint="eastAsia" w:ascii="仿宋_GB2312" w:hAnsi="仿宋_GB2312" w:eastAsia="仿宋_GB2312" w:cs="仿宋_GB2312"/>
                <w:b/>
                <w:bCs/>
                <w:color w:val="000000"/>
                <w:kern w:val="0"/>
                <w:sz w:val="24"/>
                <w:szCs w:val="24"/>
                <w:lang w:val="en-US" w:eastAsia="zh-CN" w:bidi="ar"/>
              </w:rPr>
              <w:t>1.</w:t>
            </w:r>
            <w:r>
              <w:rPr>
                <w:rFonts w:hint="eastAsia" w:ascii="仿宋_GB2312" w:hAnsi="仿宋_GB2312" w:eastAsia="仿宋_GB2312" w:cs="仿宋_GB2312"/>
                <w:b/>
                <w:bCs/>
                <w:color w:val="000000"/>
                <w:kern w:val="0"/>
                <w:sz w:val="24"/>
                <w:szCs w:val="24"/>
                <w:lang w:val="zh-CN" w:bidi="ar"/>
              </w:rPr>
              <w:t xml:space="preserve">评审标准： </w:t>
            </w:r>
          </w:p>
          <w:p>
            <w:pPr>
              <w:widowControl/>
              <w:spacing w:line="300" w:lineRule="atLeast"/>
              <w:jc w:val="left"/>
              <w:rPr>
                <w:rFonts w:hint="eastAsia" w:ascii="仿宋_GB2312" w:hAnsi="仿宋_GB2312" w:eastAsia="仿宋_GB2312" w:cs="仿宋_GB2312"/>
                <w:b w:val="0"/>
                <w:bCs w:val="0"/>
                <w:color w:val="000000"/>
                <w:kern w:val="0"/>
                <w:sz w:val="24"/>
                <w:szCs w:val="24"/>
                <w:lang w:val="zh-CN" w:bidi="ar"/>
              </w:rPr>
            </w:pPr>
            <w:r>
              <w:rPr>
                <w:rFonts w:hint="eastAsia" w:ascii="仿宋_GB2312" w:hAnsi="仿宋_GB2312" w:eastAsia="仿宋_GB2312" w:cs="仿宋_GB2312"/>
                <w:b w:val="0"/>
                <w:bCs w:val="0"/>
                <w:color w:val="000000"/>
                <w:kern w:val="0"/>
                <w:sz w:val="24"/>
                <w:szCs w:val="24"/>
                <w:lang w:val="zh-CN" w:bidi="ar"/>
              </w:rPr>
              <w:t>服务方案包含上述三点（服务内容、服务目标及服务指标）得6分，满足任意两点得4分，满足任意一点得2分，未满足不得分；</w:t>
            </w:r>
          </w:p>
          <w:p>
            <w:pPr>
              <w:widowControl/>
              <w:spacing w:line="300" w:lineRule="atLeast"/>
              <w:jc w:val="left"/>
              <w:rPr>
                <w:rFonts w:hint="eastAsia" w:ascii="仿宋_GB2312" w:hAnsi="仿宋_GB2312" w:eastAsia="仿宋_GB2312" w:cs="仿宋_GB2312"/>
                <w:b/>
                <w:bCs/>
                <w:color w:val="000000"/>
                <w:kern w:val="0"/>
                <w:sz w:val="24"/>
                <w:szCs w:val="24"/>
                <w:lang w:val="zh-CN" w:bidi="ar"/>
              </w:rPr>
            </w:pPr>
            <w:r>
              <w:rPr>
                <w:rFonts w:hint="eastAsia" w:ascii="仿宋_GB2312" w:hAnsi="仿宋_GB2312" w:eastAsia="仿宋_GB2312" w:cs="仿宋_GB2312"/>
                <w:b/>
                <w:bCs/>
                <w:color w:val="000000"/>
                <w:kern w:val="0"/>
                <w:sz w:val="24"/>
                <w:szCs w:val="24"/>
                <w:lang w:val="zh-CN" w:bidi="ar"/>
              </w:rPr>
              <w:t>2</w:t>
            </w:r>
            <w:r>
              <w:rPr>
                <w:rFonts w:hint="eastAsia" w:ascii="仿宋_GB2312" w:hAnsi="仿宋_GB2312" w:eastAsia="仿宋_GB2312" w:cs="仿宋_GB2312"/>
                <w:b/>
                <w:bCs/>
                <w:color w:val="000000"/>
                <w:kern w:val="0"/>
                <w:sz w:val="24"/>
                <w:szCs w:val="24"/>
                <w:lang w:val="en-US" w:eastAsia="zh-CN" w:bidi="ar"/>
              </w:rPr>
              <w:t>.</w:t>
            </w:r>
            <w:r>
              <w:rPr>
                <w:rFonts w:hint="eastAsia" w:ascii="仿宋_GB2312" w:hAnsi="仿宋_GB2312" w:eastAsia="仿宋_GB2312" w:cs="仿宋_GB2312"/>
                <w:b/>
                <w:bCs/>
                <w:color w:val="000000"/>
                <w:kern w:val="0"/>
                <w:sz w:val="24"/>
                <w:szCs w:val="24"/>
                <w:lang w:val="zh-CN" w:bidi="ar"/>
              </w:rPr>
              <w:t>在此基础上，再根据各供应商的具体响应内容进一步评审：</w:t>
            </w:r>
          </w:p>
          <w:p>
            <w:pPr>
              <w:widowControl/>
              <w:spacing w:line="300" w:lineRule="atLeast"/>
              <w:jc w:val="left"/>
              <w:rPr>
                <w:rFonts w:hint="eastAsia" w:ascii="仿宋_GB2312" w:hAnsi="仿宋_GB2312" w:eastAsia="仿宋_GB2312" w:cs="仿宋_GB2312"/>
                <w:b w:val="0"/>
                <w:bCs w:val="0"/>
                <w:color w:val="000000"/>
                <w:kern w:val="0"/>
                <w:sz w:val="24"/>
                <w:szCs w:val="24"/>
                <w:lang w:val="zh-CN" w:bidi="ar"/>
              </w:rPr>
            </w:pPr>
            <w:r>
              <w:rPr>
                <w:rFonts w:hint="eastAsia" w:ascii="仿宋_GB2312" w:hAnsi="仿宋_GB2312" w:eastAsia="仿宋_GB2312" w:cs="仿宋_GB2312"/>
                <w:b w:val="0"/>
                <w:bCs w:val="0"/>
                <w:color w:val="000000"/>
                <w:kern w:val="0"/>
                <w:sz w:val="24"/>
                <w:szCs w:val="24"/>
                <w:lang w:val="en-US" w:eastAsia="zh-CN" w:bidi="ar"/>
              </w:rPr>
              <w:t>（1）</w:t>
            </w:r>
            <w:r>
              <w:rPr>
                <w:rFonts w:hint="eastAsia" w:ascii="仿宋_GB2312" w:hAnsi="仿宋_GB2312" w:eastAsia="仿宋_GB2312" w:cs="仿宋_GB2312"/>
                <w:b w:val="0"/>
                <w:bCs w:val="0"/>
                <w:color w:val="000000"/>
                <w:kern w:val="0"/>
                <w:sz w:val="24"/>
                <w:szCs w:val="24"/>
                <w:lang w:val="zh-CN" w:bidi="ar"/>
              </w:rPr>
              <w:t xml:space="preserve">方案内容详实具体得4分； </w:t>
            </w:r>
          </w:p>
          <w:p>
            <w:pPr>
              <w:widowControl/>
              <w:spacing w:line="300" w:lineRule="atLeast"/>
              <w:jc w:val="left"/>
              <w:rPr>
                <w:rFonts w:hint="eastAsia" w:ascii="仿宋_GB2312" w:hAnsi="仿宋_GB2312" w:eastAsia="仿宋_GB2312" w:cs="仿宋_GB2312"/>
                <w:b w:val="0"/>
                <w:bCs w:val="0"/>
                <w:color w:val="000000"/>
                <w:kern w:val="0"/>
                <w:sz w:val="24"/>
                <w:szCs w:val="24"/>
                <w:lang w:val="zh-CN" w:bidi="ar"/>
              </w:rPr>
            </w:pP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val="zh-CN" w:bidi="ar"/>
              </w:rPr>
              <w:t>方案内容比较详实得2分；</w:t>
            </w:r>
          </w:p>
          <w:p>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val="zh-CN" w:bidi="ar"/>
              </w:rPr>
              <w:t>方案内容一般得1分。</w:t>
            </w:r>
          </w:p>
          <w:p>
            <w:pPr>
              <w:widowControl/>
              <w:spacing w:line="300" w:lineRule="atLeast"/>
              <w:jc w:val="left"/>
              <w:rPr>
                <w:rFonts w:hint="eastAsia" w:ascii="仿宋_GB2312" w:hAnsi="仿宋_GB2312" w:eastAsia="仿宋_GB2312" w:cs="仿宋_GB2312"/>
                <w:b w:val="0"/>
                <w:bCs w:val="0"/>
                <w:color w:val="000000"/>
                <w:kern w:val="0"/>
                <w:sz w:val="24"/>
                <w:szCs w:val="24"/>
              </w:rPr>
            </w:pPr>
          </w:p>
        </w:tc>
        <w:tc>
          <w:tcPr>
            <w:tcW w:w="707" w:type="dxa"/>
            <w:vAlign w:val="top"/>
          </w:tcPr>
          <w:p>
            <w:pPr>
              <w:widowControl/>
              <w:spacing w:line="300" w:lineRule="atLeast"/>
              <w:jc w:val="left"/>
              <w:rPr>
                <w:rFonts w:hint="eastAsia" w:ascii="仿宋" w:hAnsi="仿宋" w:eastAsia="仿宋" w:cs="仿宋"/>
                <w:b w:val="0"/>
                <w:bCs w:val="0"/>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16" w:type="dxa"/>
            <w:vAlign w:val="center"/>
          </w:tcPr>
          <w:p>
            <w:pPr>
              <w:spacing w:line="300" w:lineRule="atLeast"/>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w:t>
            </w:r>
          </w:p>
        </w:tc>
        <w:tc>
          <w:tcPr>
            <w:tcW w:w="1523" w:type="dxa"/>
            <w:vAlign w:val="center"/>
          </w:tcPr>
          <w:p>
            <w:pPr>
              <w:spacing w:line="300" w:lineRule="atLeast"/>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color w:val="000000"/>
                <w:sz w:val="24"/>
                <w:szCs w:val="24"/>
                <w:lang w:bidi="ar"/>
              </w:rPr>
              <w:t>项目的跟踪服务、意见反馈、内部监控等流程</w:t>
            </w:r>
          </w:p>
        </w:tc>
        <w:tc>
          <w:tcPr>
            <w:tcW w:w="676" w:type="dxa"/>
            <w:vAlign w:val="center"/>
          </w:tcPr>
          <w:p>
            <w:pPr>
              <w:autoSpaceDE w:val="0"/>
              <w:autoSpaceDN w:val="0"/>
              <w:adjustRightInd w:val="0"/>
              <w:spacing w:line="300" w:lineRule="atLeast"/>
              <w:jc w:val="center"/>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10</w:t>
            </w:r>
          </w:p>
        </w:tc>
        <w:tc>
          <w:tcPr>
            <w:tcW w:w="1143" w:type="dxa"/>
            <w:vAlign w:val="center"/>
          </w:tcPr>
          <w:p>
            <w:pPr>
              <w:spacing w:line="300" w:lineRule="atLeast"/>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采购</w:t>
            </w:r>
            <w:r>
              <w:rPr>
                <w:rFonts w:hint="eastAsia" w:ascii="仿宋_GB2312" w:hAnsi="仿宋_GB2312" w:eastAsia="仿宋_GB2312" w:cs="仿宋_GB2312"/>
                <w:b w:val="0"/>
                <w:bCs w:val="0"/>
                <w:color w:val="auto"/>
                <w:sz w:val="24"/>
                <w:szCs w:val="24"/>
                <w:lang w:val="en-US" w:eastAsia="zh-CN"/>
              </w:rPr>
              <w:t>小组</w:t>
            </w:r>
            <w:r>
              <w:rPr>
                <w:rFonts w:hint="eastAsia" w:ascii="仿宋_GB2312" w:hAnsi="仿宋_GB2312" w:eastAsia="仿宋_GB2312" w:cs="仿宋_GB2312"/>
                <w:b w:val="0"/>
                <w:bCs w:val="0"/>
                <w:color w:val="auto"/>
                <w:sz w:val="24"/>
                <w:szCs w:val="24"/>
              </w:rPr>
              <w:t>打分</w:t>
            </w:r>
          </w:p>
        </w:tc>
        <w:tc>
          <w:tcPr>
            <w:tcW w:w="4635" w:type="dxa"/>
            <w:vAlign w:val="center"/>
          </w:tcPr>
          <w:p>
            <w:pPr>
              <w:widowControl/>
              <w:spacing w:line="300" w:lineRule="atLeast"/>
              <w:jc w:val="left"/>
              <w:rPr>
                <w:rFonts w:hint="eastAsia" w:ascii="仿宋_GB2312" w:hAnsi="仿宋_GB2312" w:eastAsia="仿宋_GB2312" w:cs="仿宋_GB2312"/>
                <w:color w:val="000000"/>
                <w:kern w:val="0"/>
                <w:sz w:val="24"/>
                <w:szCs w:val="24"/>
                <w:lang w:val="zh-CN" w:eastAsia="zh-CN" w:bidi="ar"/>
              </w:rPr>
            </w:pPr>
            <w:r>
              <w:rPr>
                <w:rFonts w:hint="eastAsia" w:ascii="仿宋_GB2312" w:hAnsi="仿宋_GB2312" w:eastAsia="仿宋_GB2312" w:cs="仿宋_GB2312"/>
                <w:color w:val="000000"/>
                <w:kern w:val="0"/>
                <w:sz w:val="24"/>
                <w:szCs w:val="24"/>
                <w:lang w:val="zh-CN" w:eastAsia="zh-CN" w:bidi="ar"/>
              </w:rPr>
              <w:t>根据投标单位提供的项目跟踪服务、意见反馈及内部监控响应情况进行评审。</w:t>
            </w:r>
          </w:p>
          <w:p>
            <w:pPr>
              <w:widowControl/>
              <w:spacing w:line="300" w:lineRule="atLeast"/>
              <w:jc w:val="left"/>
              <w:rPr>
                <w:rFonts w:hint="eastAsia" w:ascii="仿宋_GB2312" w:hAnsi="仿宋_GB2312" w:eastAsia="仿宋_GB2312" w:cs="仿宋_GB2312"/>
                <w:b/>
                <w:bCs/>
                <w:color w:val="000000"/>
                <w:kern w:val="0"/>
                <w:sz w:val="24"/>
                <w:szCs w:val="24"/>
                <w:lang w:val="zh-CN" w:eastAsia="zh-CN" w:bidi="ar"/>
              </w:rPr>
            </w:pPr>
            <w:r>
              <w:rPr>
                <w:rFonts w:hint="eastAsia" w:ascii="仿宋_GB2312" w:hAnsi="仿宋_GB2312" w:eastAsia="仿宋_GB2312" w:cs="仿宋_GB2312"/>
                <w:b/>
                <w:bCs/>
                <w:color w:val="000000"/>
                <w:kern w:val="0"/>
                <w:sz w:val="24"/>
                <w:szCs w:val="24"/>
                <w:lang w:val="zh-CN" w:eastAsia="zh-CN" w:bidi="ar"/>
              </w:rPr>
              <w:t>1.评审标准：</w:t>
            </w:r>
          </w:p>
          <w:p>
            <w:pPr>
              <w:widowControl/>
              <w:spacing w:line="300" w:lineRule="atLeast"/>
              <w:jc w:val="left"/>
              <w:rPr>
                <w:rFonts w:hint="eastAsia" w:ascii="仿宋_GB2312" w:hAnsi="仿宋_GB2312" w:eastAsia="仿宋_GB2312" w:cs="仿宋_GB2312"/>
                <w:color w:val="000000"/>
                <w:kern w:val="0"/>
                <w:sz w:val="24"/>
                <w:szCs w:val="24"/>
                <w:lang w:val="zh-CN" w:bidi="ar"/>
              </w:rPr>
            </w:pPr>
            <w:r>
              <w:rPr>
                <w:rFonts w:hint="eastAsia" w:ascii="仿宋_GB2312" w:hAnsi="仿宋_GB2312" w:eastAsia="仿宋_GB2312" w:cs="仿宋_GB2312"/>
                <w:color w:val="000000"/>
                <w:kern w:val="0"/>
                <w:sz w:val="24"/>
                <w:szCs w:val="24"/>
                <w:lang w:val="zh-CN" w:bidi="ar"/>
              </w:rPr>
              <w:t>包含上述三点（</w:t>
            </w:r>
            <w:r>
              <w:rPr>
                <w:rFonts w:hint="eastAsia" w:ascii="仿宋_GB2312" w:hAnsi="仿宋_GB2312" w:eastAsia="仿宋_GB2312" w:cs="仿宋_GB2312"/>
                <w:color w:val="000000"/>
                <w:kern w:val="0"/>
                <w:sz w:val="24"/>
                <w:szCs w:val="24"/>
                <w:lang w:val="zh-CN" w:eastAsia="zh-CN" w:bidi="ar"/>
              </w:rPr>
              <w:t>项目跟踪服务、意见反馈及内部监控响应情况</w:t>
            </w:r>
            <w:r>
              <w:rPr>
                <w:rFonts w:hint="eastAsia" w:ascii="仿宋_GB2312" w:hAnsi="仿宋_GB2312" w:eastAsia="仿宋_GB2312" w:cs="仿宋_GB2312"/>
                <w:color w:val="000000"/>
                <w:kern w:val="0"/>
                <w:sz w:val="24"/>
                <w:szCs w:val="24"/>
                <w:lang w:val="zh-CN" w:bidi="ar"/>
              </w:rPr>
              <w:t>）得</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val="zh-CN" w:bidi="ar"/>
              </w:rPr>
              <w:t>分，满足任意两点得</w:t>
            </w:r>
            <w:r>
              <w:rPr>
                <w:rFonts w:hint="eastAsia" w:ascii="仿宋_GB2312" w:hAnsi="仿宋_GB2312" w:eastAsia="仿宋_GB2312" w:cs="仿宋_GB2312"/>
                <w:color w:val="000000"/>
                <w:kern w:val="0"/>
                <w:sz w:val="24"/>
                <w:szCs w:val="24"/>
                <w:lang w:val="en-US" w:eastAsia="zh-CN" w:bidi="ar"/>
              </w:rPr>
              <w:t>4</w:t>
            </w:r>
            <w:r>
              <w:rPr>
                <w:rFonts w:hint="eastAsia" w:ascii="仿宋_GB2312" w:hAnsi="仿宋_GB2312" w:eastAsia="仿宋_GB2312" w:cs="仿宋_GB2312"/>
                <w:color w:val="000000"/>
                <w:kern w:val="0"/>
                <w:sz w:val="24"/>
                <w:szCs w:val="24"/>
                <w:lang w:val="zh-CN" w:bidi="ar"/>
              </w:rPr>
              <w:t>分，满足任意一点得</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val="zh-CN" w:bidi="ar"/>
              </w:rPr>
              <w:t>分，未满足不得分；</w:t>
            </w:r>
          </w:p>
          <w:p>
            <w:pPr>
              <w:widowControl/>
              <w:spacing w:line="300" w:lineRule="atLeast"/>
              <w:jc w:val="left"/>
              <w:rPr>
                <w:rFonts w:hint="eastAsia" w:ascii="仿宋_GB2312" w:hAnsi="仿宋_GB2312" w:eastAsia="仿宋_GB2312" w:cs="仿宋_GB2312"/>
                <w:b/>
                <w:bCs/>
                <w:color w:val="000000"/>
                <w:kern w:val="0"/>
                <w:sz w:val="24"/>
                <w:szCs w:val="24"/>
                <w:lang w:val="zh-CN" w:bidi="ar"/>
              </w:rPr>
            </w:pPr>
            <w:r>
              <w:rPr>
                <w:rFonts w:hint="eastAsia" w:ascii="仿宋_GB2312" w:hAnsi="仿宋_GB2312" w:eastAsia="仿宋_GB2312" w:cs="仿宋_GB2312"/>
                <w:b/>
                <w:bCs/>
                <w:color w:val="000000"/>
                <w:kern w:val="0"/>
                <w:sz w:val="24"/>
                <w:szCs w:val="24"/>
                <w:lang w:val="zh-CN" w:bidi="ar"/>
              </w:rPr>
              <w:t>2</w:t>
            </w:r>
            <w:r>
              <w:rPr>
                <w:rFonts w:hint="eastAsia" w:ascii="仿宋_GB2312" w:hAnsi="仿宋_GB2312" w:eastAsia="仿宋_GB2312" w:cs="仿宋_GB2312"/>
                <w:b/>
                <w:bCs/>
                <w:color w:val="000000"/>
                <w:kern w:val="0"/>
                <w:sz w:val="24"/>
                <w:szCs w:val="24"/>
                <w:lang w:val="zh-CN" w:eastAsia="zh-CN" w:bidi="ar"/>
              </w:rPr>
              <w:t>.</w:t>
            </w:r>
            <w:r>
              <w:rPr>
                <w:rFonts w:hint="eastAsia" w:ascii="仿宋_GB2312" w:hAnsi="仿宋_GB2312" w:eastAsia="仿宋_GB2312" w:cs="仿宋_GB2312"/>
                <w:b/>
                <w:bCs/>
                <w:color w:val="000000"/>
                <w:kern w:val="0"/>
                <w:sz w:val="24"/>
                <w:szCs w:val="24"/>
                <w:lang w:val="zh-CN" w:bidi="ar"/>
              </w:rPr>
              <w:t>在此基础上，再根据各供应商的具体响应内容进一步评审：</w:t>
            </w:r>
          </w:p>
          <w:p>
            <w:pPr>
              <w:widowControl/>
              <w:spacing w:line="300" w:lineRule="atLeast"/>
              <w:jc w:val="left"/>
              <w:rPr>
                <w:rFonts w:hint="eastAsia" w:ascii="仿宋_GB2312" w:hAnsi="仿宋_GB2312" w:eastAsia="仿宋_GB2312" w:cs="仿宋_GB2312"/>
                <w:color w:val="000000"/>
                <w:kern w:val="0"/>
                <w:sz w:val="24"/>
                <w:szCs w:val="24"/>
                <w:lang w:val="zh-CN" w:bidi="ar"/>
              </w:rPr>
            </w:pP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val="zh-CN" w:eastAsia="zh-CN" w:bidi="ar"/>
              </w:rPr>
              <w:t>内容</w:t>
            </w:r>
            <w:r>
              <w:rPr>
                <w:rFonts w:hint="eastAsia" w:ascii="仿宋_GB2312" w:hAnsi="仿宋_GB2312" w:eastAsia="仿宋_GB2312" w:cs="仿宋_GB2312"/>
                <w:color w:val="000000"/>
                <w:kern w:val="0"/>
                <w:sz w:val="24"/>
                <w:szCs w:val="24"/>
                <w:lang w:val="zh-CN" w:bidi="ar"/>
              </w:rPr>
              <w:t>详实具体得</w:t>
            </w:r>
            <w:r>
              <w:rPr>
                <w:rFonts w:hint="eastAsia" w:ascii="仿宋_GB2312" w:hAnsi="仿宋_GB2312" w:eastAsia="仿宋_GB2312" w:cs="仿宋_GB2312"/>
                <w:color w:val="000000"/>
                <w:kern w:val="0"/>
                <w:sz w:val="24"/>
                <w:szCs w:val="24"/>
                <w:lang w:val="en-US" w:eastAsia="zh-CN" w:bidi="ar"/>
              </w:rPr>
              <w:t>4</w:t>
            </w:r>
            <w:r>
              <w:rPr>
                <w:rFonts w:hint="eastAsia" w:ascii="仿宋_GB2312" w:hAnsi="仿宋_GB2312" w:eastAsia="仿宋_GB2312" w:cs="仿宋_GB2312"/>
                <w:color w:val="000000"/>
                <w:kern w:val="0"/>
                <w:sz w:val="24"/>
                <w:szCs w:val="24"/>
                <w:lang w:val="zh-CN" w:bidi="ar"/>
              </w:rPr>
              <w:t xml:space="preserve">分； </w:t>
            </w:r>
          </w:p>
          <w:p>
            <w:pPr>
              <w:widowControl/>
              <w:spacing w:line="300" w:lineRule="atLeast"/>
              <w:jc w:val="left"/>
              <w:rPr>
                <w:rFonts w:hint="eastAsia" w:ascii="仿宋_GB2312" w:hAnsi="仿宋_GB2312" w:eastAsia="仿宋_GB2312" w:cs="仿宋_GB2312"/>
                <w:color w:val="000000"/>
                <w:kern w:val="0"/>
                <w:sz w:val="24"/>
                <w:szCs w:val="24"/>
                <w:lang w:val="zh-CN" w:bidi="ar"/>
              </w:rPr>
            </w:pP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val="zh-CN" w:bidi="ar"/>
              </w:rPr>
              <w:t>内容比较详实得</w:t>
            </w:r>
            <w:r>
              <w:rPr>
                <w:rFonts w:hint="eastAsia" w:ascii="仿宋_GB2312" w:hAnsi="仿宋_GB2312" w:eastAsia="仿宋_GB2312" w:cs="仿宋_GB2312"/>
                <w:color w:val="000000"/>
                <w:kern w:val="0"/>
                <w:sz w:val="24"/>
                <w:szCs w:val="24"/>
                <w:lang w:val="zh-CN" w:eastAsia="zh-CN" w:bidi="ar"/>
              </w:rPr>
              <w:t>2</w:t>
            </w:r>
            <w:r>
              <w:rPr>
                <w:rFonts w:hint="eastAsia" w:ascii="仿宋_GB2312" w:hAnsi="仿宋_GB2312" w:eastAsia="仿宋_GB2312" w:cs="仿宋_GB2312"/>
                <w:color w:val="000000"/>
                <w:kern w:val="0"/>
                <w:sz w:val="24"/>
                <w:szCs w:val="24"/>
                <w:lang w:val="zh-CN" w:bidi="ar"/>
              </w:rPr>
              <w:t>分；</w:t>
            </w:r>
          </w:p>
          <w:p>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val="zh-CN" w:bidi="ar"/>
              </w:rPr>
              <w:t>内容一般得</w:t>
            </w:r>
            <w:r>
              <w:rPr>
                <w:rFonts w:hint="eastAsia" w:ascii="仿宋_GB2312" w:hAnsi="仿宋_GB2312" w:eastAsia="仿宋_GB2312" w:cs="仿宋_GB2312"/>
                <w:color w:val="000000"/>
                <w:kern w:val="0"/>
                <w:sz w:val="24"/>
                <w:szCs w:val="24"/>
                <w:lang w:val="zh-CN" w:eastAsia="zh-CN" w:bidi="ar"/>
              </w:rPr>
              <w:t>1</w:t>
            </w:r>
            <w:r>
              <w:rPr>
                <w:rFonts w:hint="eastAsia" w:ascii="仿宋_GB2312" w:hAnsi="仿宋_GB2312" w:eastAsia="仿宋_GB2312" w:cs="仿宋_GB2312"/>
                <w:color w:val="000000"/>
                <w:kern w:val="0"/>
                <w:sz w:val="24"/>
                <w:szCs w:val="24"/>
                <w:lang w:val="zh-CN" w:bidi="ar"/>
              </w:rPr>
              <w:t>分。</w:t>
            </w:r>
          </w:p>
          <w:p>
            <w:pPr>
              <w:spacing w:line="300" w:lineRule="atLeast"/>
              <w:jc w:val="left"/>
              <w:rPr>
                <w:rFonts w:hint="eastAsia" w:ascii="仿宋_GB2312" w:hAnsi="仿宋_GB2312" w:eastAsia="仿宋_GB2312" w:cs="仿宋_GB2312"/>
                <w:b w:val="0"/>
                <w:bCs w:val="0"/>
                <w:color w:val="auto"/>
                <w:kern w:val="0"/>
                <w:sz w:val="24"/>
                <w:szCs w:val="24"/>
                <w:lang w:eastAsia="zh-CN" w:bidi="ar"/>
              </w:rPr>
            </w:pPr>
          </w:p>
        </w:tc>
        <w:tc>
          <w:tcPr>
            <w:tcW w:w="707" w:type="dxa"/>
            <w:vAlign w:val="top"/>
          </w:tcPr>
          <w:p>
            <w:pPr>
              <w:widowControl/>
              <w:spacing w:line="300" w:lineRule="atLeast"/>
              <w:jc w:val="left"/>
              <w:rPr>
                <w:rFonts w:hint="eastAsia" w:ascii="仿宋" w:hAnsi="仿宋" w:eastAsia="仿宋" w:cs="仿宋"/>
                <w:b w:val="0"/>
                <w:bCs w:val="0"/>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058" w:type="dxa"/>
            <w:gridSpan w:val="4"/>
            <w:vAlign w:val="center"/>
          </w:tcPr>
          <w:p>
            <w:pPr>
              <w:spacing w:line="300" w:lineRule="atLeas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val="en-US" w:eastAsia="zh-CN"/>
              </w:rPr>
              <w:t>综合实力</w:t>
            </w:r>
            <w:r>
              <w:rPr>
                <w:rFonts w:hint="eastAsia" w:ascii="仿宋_GB2312" w:hAnsi="仿宋_GB2312" w:eastAsia="仿宋_GB2312" w:cs="仿宋_GB2312"/>
                <w:b/>
                <w:bCs/>
                <w:color w:val="000000"/>
                <w:sz w:val="24"/>
                <w:szCs w:val="24"/>
              </w:rPr>
              <w:t>指标</w:t>
            </w:r>
          </w:p>
        </w:tc>
        <w:tc>
          <w:tcPr>
            <w:tcW w:w="4635" w:type="dxa"/>
            <w:vAlign w:val="center"/>
          </w:tcPr>
          <w:p>
            <w:pPr>
              <w:spacing w:line="300" w:lineRule="atLeast"/>
              <w:jc w:val="center"/>
              <w:rPr>
                <w:rFonts w:hint="default" w:ascii="仿宋_GB2312" w:hAnsi="仿宋_GB2312" w:eastAsia="仿宋_GB2312" w:cs="仿宋_GB2312"/>
                <w:b/>
                <w:bCs/>
                <w:color w:val="000000"/>
                <w:kern w:val="0"/>
                <w:sz w:val="24"/>
                <w:szCs w:val="24"/>
                <w:lang w:val="en-US"/>
              </w:rPr>
            </w:pPr>
            <w:r>
              <w:rPr>
                <w:rFonts w:hint="eastAsia" w:ascii="仿宋_GB2312" w:hAnsi="仿宋_GB2312" w:eastAsia="仿宋_GB2312" w:cs="仿宋_GB2312"/>
                <w:b/>
                <w:bCs/>
                <w:color w:val="000000"/>
                <w:sz w:val="24"/>
                <w:szCs w:val="24"/>
                <w:lang w:val="en-US" w:eastAsia="zh-CN"/>
              </w:rPr>
              <w:t>60</w:t>
            </w:r>
          </w:p>
        </w:tc>
        <w:tc>
          <w:tcPr>
            <w:tcW w:w="707" w:type="dxa"/>
            <w:vAlign w:val="top"/>
          </w:tcPr>
          <w:p>
            <w:pPr>
              <w:widowControl/>
              <w:spacing w:line="300" w:lineRule="atLeast"/>
              <w:jc w:val="left"/>
              <w:rPr>
                <w:rFonts w:hint="eastAsia" w:ascii="仿宋" w:hAnsi="仿宋" w:eastAsia="仿宋" w:cs="仿宋"/>
                <w:b/>
                <w:bCs/>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6" w:type="dxa"/>
            <w:vAlign w:val="center"/>
          </w:tcPr>
          <w:p>
            <w:pPr>
              <w:spacing w:line="300" w:lineRule="atLeast"/>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序号</w:t>
            </w:r>
          </w:p>
        </w:tc>
        <w:tc>
          <w:tcPr>
            <w:tcW w:w="1523" w:type="dxa"/>
            <w:vAlign w:val="center"/>
          </w:tcPr>
          <w:p>
            <w:pPr>
              <w:spacing w:line="300" w:lineRule="atLeast"/>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评分因素</w:t>
            </w:r>
          </w:p>
        </w:tc>
        <w:tc>
          <w:tcPr>
            <w:tcW w:w="676" w:type="dxa"/>
            <w:vAlign w:val="center"/>
          </w:tcPr>
          <w:p>
            <w:pPr>
              <w:spacing w:line="300" w:lineRule="atLeast"/>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权重</w:t>
            </w:r>
          </w:p>
        </w:tc>
        <w:tc>
          <w:tcPr>
            <w:tcW w:w="1143" w:type="dxa"/>
            <w:vAlign w:val="center"/>
          </w:tcPr>
          <w:p>
            <w:pPr>
              <w:spacing w:line="300" w:lineRule="atLeast"/>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评分</w:t>
            </w:r>
          </w:p>
          <w:p>
            <w:pPr>
              <w:spacing w:line="300" w:lineRule="atLeast"/>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方式</w:t>
            </w:r>
          </w:p>
        </w:tc>
        <w:tc>
          <w:tcPr>
            <w:tcW w:w="4635" w:type="dxa"/>
            <w:vAlign w:val="center"/>
          </w:tcPr>
          <w:p>
            <w:pPr>
              <w:spacing w:line="300" w:lineRule="atLeast"/>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lang w:val="en-US" w:eastAsia="zh-CN"/>
              </w:rPr>
              <w:t>评分准则</w:t>
            </w:r>
          </w:p>
        </w:tc>
        <w:tc>
          <w:tcPr>
            <w:tcW w:w="707" w:type="dxa"/>
            <w:vAlign w:val="center"/>
          </w:tcPr>
          <w:p>
            <w:pPr>
              <w:spacing w:line="300" w:lineRule="atLeast"/>
              <w:jc w:val="center"/>
              <w:rPr>
                <w:rFonts w:hint="eastAsia" w:ascii="仿宋" w:hAnsi="仿宋" w:eastAsia="仿宋" w:cs="仿宋"/>
                <w:b w:val="0"/>
                <w:bCs w:val="0"/>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6" w:hRule="atLeast"/>
          <w:jc w:val="center"/>
        </w:trPr>
        <w:tc>
          <w:tcPr>
            <w:tcW w:w="716" w:type="dxa"/>
            <w:vAlign w:val="center"/>
          </w:tcPr>
          <w:p>
            <w:pPr>
              <w:spacing w:line="300" w:lineRule="atLeast"/>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1</w:t>
            </w:r>
          </w:p>
        </w:tc>
        <w:tc>
          <w:tcPr>
            <w:tcW w:w="1523" w:type="dxa"/>
            <w:vAlign w:val="center"/>
          </w:tcPr>
          <w:p>
            <w:pPr>
              <w:spacing w:line="300" w:lineRule="atLeast"/>
              <w:jc w:val="center"/>
              <w:rPr>
                <w:rFonts w:hint="eastAsia" w:eastAsia="仿宋_GB2312"/>
                <w:lang w:eastAsia="zh-CN"/>
              </w:rPr>
            </w:pPr>
            <w:r>
              <w:rPr>
                <w:rFonts w:hint="eastAsia" w:ascii="仿宋_GB2312" w:hAnsi="仿宋_GB2312" w:eastAsia="仿宋_GB2312" w:cs="仿宋_GB2312"/>
                <w:color w:val="000000"/>
                <w:sz w:val="24"/>
                <w:szCs w:val="24"/>
              </w:rPr>
              <w:t>项目</w:t>
            </w:r>
            <w:r>
              <w:rPr>
                <w:rFonts w:hint="eastAsia" w:ascii="仿宋_GB2312" w:hAnsi="仿宋_GB2312" w:eastAsia="仿宋_GB2312" w:cs="仿宋_GB2312"/>
                <w:color w:val="000000"/>
                <w:sz w:val="24"/>
                <w:szCs w:val="24"/>
                <w:lang w:eastAsia="zh-CN"/>
              </w:rPr>
              <w:t>督导</w:t>
            </w:r>
          </w:p>
          <w:p>
            <w:pPr>
              <w:spacing w:line="300" w:lineRule="atLeast"/>
              <w:jc w:val="center"/>
              <w:rPr>
                <w:rFonts w:hint="eastAsia" w:ascii="仿宋_GB2312" w:hAnsi="仿宋_GB2312" w:eastAsia="仿宋_GB2312" w:cs="仿宋_GB2312"/>
                <w:b w:val="0"/>
                <w:bCs w:val="0"/>
                <w:color w:val="000000"/>
                <w:sz w:val="24"/>
                <w:szCs w:val="24"/>
                <w:lang w:val="en-US" w:eastAsia="zh-CN"/>
              </w:rPr>
            </w:pPr>
          </w:p>
        </w:tc>
        <w:tc>
          <w:tcPr>
            <w:tcW w:w="676" w:type="dxa"/>
            <w:vAlign w:val="center"/>
          </w:tcPr>
          <w:p>
            <w:pPr>
              <w:spacing w:line="300" w:lineRule="atLeast"/>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10</w:t>
            </w:r>
          </w:p>
        </w:tc>
        <w:tc>
          <w:tcPr>
            <w:tcW w:w="1143" w:type="dxa"/>
            <w:vAlign w:val="center"/>
          </w:tcPr>
          <w:p>
            <w:pPr>
              <w:spacing w:line="300" w:lineRule="atLeast"/>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采购小组打分</w:t>
            </w:r>
          </w:p>
        </w:tc>
        <w:tc>
          <w:tcPr>
            <w:tcW w:w="4635" w:type="dxa"/>
            <w:vAlign w:val="center"/>
          </w:tcPr>
          <w:p>
            <w:pPr>
              <w:widowControl/>
              <w:adjustRightInd w:val="0"/>
              <w:snapToGrid w:val="0"/>
              <w:spacing w:afterLines="0" w:line="300" w:lineRule="atLeast"/>
              <w:jc w:val="left"/>
              <w:rPr>
                <w:rFonts w:hint="eastAsia" w:ascii="仿宋_GB2312" w:hAnsi="仿宋_GB2312" w:eastAsia="仿宋_GB2312" w:cs="仿宋_GB2312"/>
                <w:b/>
                <w:bCs/>
                <w:kern w:val="0"/>
                <w:sz w:val="24"/>
                <w:szCs w:val="24"/>
                <w:lang w:val="zh-CN"/>
              </w:rPr>
            </w:pPr>
            <w:r>
              <w:rPr>
                <w:rFonts w:hint="eastAsia" w:ascii="仿宋_GB2312" w:hAnsi="仿宋_GB2312" w:eastAsia="仿宋_GB2312" w:cs="仿宋_GB2312"/>
                <w:b/>
                <w:bCs/>
                <w:kern w:val="0"/>
                <w:sz w:val="24"/>
                <w:szCs w:val="24"/>
                <w:lang w:val="zh-CN"/>
              </w:rPr>
              <w:t>1.评审标准：</w:t>
            </w:r>
          </w:p>
          <w:p>
            <w:pPr>
              <w:widowControl/>
              <w:adjustRightInd w:val="0"/>
              <w:snapToGrid w:val="0"/>
              <w:spacing w:afterLines="0" w:line="300" w:lineRule="atLeast"/>
              <w:jc w:val="left"/>
              <w:rPr>
                <w:rFonts w:hint="eastAsia" w:ascii="仿宋_GB2312" w:hAnsi="仿宋_GB2312" w:eastAsia="仿宋_GB2312" w:cs="仿宋_GB2312"/>
                <w:kern w:val="0"/>
                <w:sz w:val="24"/>
                <w:szCs w:val="24"/>
                <w:shd w:val="clear" w:color="auto" w:fill="auto"/>
                <w:lang w:val="zh-CN"/>
              </w:rPr>
            </w:pPr>
            <w:r>
              <w:rPr>
                <w:rFonts w:hint="eastAsia" w:ascii="仿宋_GB2312" w:hAnsi="仿宋_GB2312" w:eastAsia="仿宋_GB2312" w:cs="仿宋_GB2312"/>
                <w:kern w:val="0"/>
                <w:sz w:val="24"/>
                <w:szCs w:val="24"/>
                <w:shd w:val="clear" w:color="auto" w:fill="auto"/>
                <w:lang w:val="zh-CN"/>
              </w:rPr>
              <w:t>投标人须为项目配备项目督导1名。</w:t>
            </w:r>
          </w:p>
          <w:p>
            <w:pPr>
              <w:widowControl/>
              <w:adjustRightInd w:val="0"/>
              <w:snapToGrid w:val="0"/>
              <w:spacing w:afterLines="0" w:line="300" w:lineRule="atLeast"/>
              <w:jc w:val="left"/>
              <w:rPr>
                <w:rFonts w:hint="eastAsia" w:ascii="仿宋_GB2312" w:hAnsi="仿宋_GB2312" w:eastAsia="仿宋_GB2312" w:cs="仿宋_GB2312"/>
                <w:kern w:val="0"/>
                <w:sz w:val="24"/>
                <w:szCs w:val="24"/>
                <w:shd w:val="clear" w:color="auto" w:fill="auto"/>
                <w:lang w:val="zh-CN"/>
              </w:rPr>
            </w:pPr>
            <w:r>
              <w:rPr>
                <w:rFonts w:hint="eastAsia" w:ascii="仿宋_GB2312" w:hAnsi="仿宋_GB2312" w:eastAsia="仿宋_GB2312" w:cs="仿宋_GB2312"/>
                <w:kern w:val="0"/>
                <w:sz w:val="24"/>
                <w:szCs w:val="24"/>
                <w:shd w:val="clear" w:color="auto" w:fill="auto"/>
                <w:lang w:val="zh-CN"/>
              </w:rPr>
              <w:t>评分依据：</w:t>
            </w:r>
          </w:p>
          <w:p>
            <w:pPr>
              <w:widowControl/>
              <w:adjustRightInd w:val="0"/>
              <w:snapToGrid w:val="0"/>
              <w:spacing w:afterLines="0" w:line="300" w:lineRule="atLeast"/>
              <w:jc w:val="left"/>
              <w:rPr>
                <w:rFonts w:hint="eastAsia" w:ascii="仿宋_GB2312" w:hAnsi="仿宋_GB2312" w:eastAsia="仿宋_GB2312" w:cs="仿宋_GB2312"/>
                <w:kern w:val="0"/>
                <w:sz w:val="24"/>
                <w:szCs w:val="24"/>
                <w:shd w:val="clear" w:color="auto" w:fill="auto"/>
                <w:lang w:val="zh-CN"/>
              </w:rPr>
            </w:pPr>
            <w:r>
              <w:rPr>
                <w:rFonts w:hint="eastAsia" w:ascii="仿宋_GB2312" w:hAnsi="仿宋_GB2312" w:eastAsia="仿宋_GB2312" w:cs="仿宋_GB2312"/>
                <w:kern w:val="0"/>
                <w:sz w:val="24"/>
                <w:szCs w:val="24"/>
                <w:shd w:val="clear" w:color="auto" w:fill="auto"/>
                <w:lang w:val="en-US" w:eastAsia="zh-CN"/>
              </w:rPr>
              <w:t>(1)</w:t>
            </w:r>
            <w:r>
              <w:rPr>
                <w:rFonts w:hint="eastAsia" w:ascii="仿宋_GB2312" w:hAnsi="仿宋_GB2312" w:eastAsia="仿宋_GB2312" w:cs="仿宋_GB2312"/>
                <w:kern w:val="0"/>
                <w:sz w:val="24"/>
                <w:szCs w:val="24"/>
                <w:shd w:val="clear" w:color="auto" w:fill="auto"/>
                <w:lang w:val="zh-CN"/>
              </w:rPr>
              <w:t>具有中共党员身份的，得</w:t>
            </w:r>
            <w:r>
              <w:rPr>
                <w:rFonts w:hint="eastAsia" w:ascii="仿宋_GB2312" w:hAnsi="仿宋_GB2312" w:eastAsia="仿宋_GB2312" w:cs="仿宋_GB2312"/>
                <w:kern w:val="0"/>
                <w:sz w:val="24"/>
                <w:szCs w:val="24"/>
                <w:shd w:val="clear" w:color="auto" w:fill="auto"/>
                <w:lang w:val="en-US" w:eastAsia="zh-CN"/>
              </w:rPr>
              <w:t>1分</w:t>
            </w:r>
            <w:r>
              <w:rPr>
                <w:rFonts w:hint="eastAsia" w:ascii="仿宋_GB2312" w:hAnsi="仿宋_GB2312" w:eastAsia="仿宋_GB2312" w:cs="仿宋_GB2312"/>
                <w:kern w:val="0"/>
                <w:sz w:val="24"/>
                <w:szCs w:val="24"/>
                <w:shd w:val="clear" w:color="auto" w:fill="auto"/>
                <w:lang w:val="zh-CN"/>
              </w:rPr>
              <w:t>；</w:t>
            </w:r>
          </w:p>
          <w:p>
            <w:pPr>
              <w:widowControl/>
              <w:adjustRightInd w:val="0"/>
              <w:snapToGrid w:val="0"/>
              <w:spacing w:afterLines="0" w:line="300" w:lineRule="atLeast"/>
              <w:jc w:val="left"/>
              <w:rPr>
                <w:rFonts w:hint="eastAsia" w:ascii="仿宋_GB2312" w:hAnsi="仿宋_GB2312" w:eastAsia="仿宋_GB2312" w:cs="仿宋_GB2312"/>
                <w:kern w:val="0"/>
                <w:sz w:val="24"/>
                <w:szCs w:val="24"/>
                <w:shd w:val="clear" w:color="auto" w:fill="auto"/>
                <w:lang w:val="zh-CN"/>
              </w:rPr>
            </w:pPr>
            <w:r>
              <w:rPr>
                <w:rFonts w:hint="eastAsia" w:ascii="仿宋_GB2312" w:hAnsi="仿宋_GB2312" w:eastAsia="仿宋_GB2312" w:cs="仿宋_GB2312"/>
                <w:kern w:val="0"/>
                <w:sz w:val="24"/>
                <w:szCs w:val="24"/>
                <w:shd w:val="clear" w:color="auto" w:fill="auto"/>
                <w:lang w:val="en-US" w:eastAsia="zh-CN"/>
              </w:rPr>
              <w:t>(2)</w:t>
            </w:r>
            <w:r>
              <w:rPr>
                <w:rFonts w:hint="eastAsia" w:ascii="仿宋_GB2312" w:hAnsi="仿宋_GB2312" w:eastAsia="仿宋_GB2312" w:cs="仿宋_GB2312"/>
                <w:kern w:val="0"/>
                <w:sz w:val="24"/>
                <w:szCs w:val="24"/>
                <w:shd w:val="clear" w:color="auto" w:fill="auto"/>
                <w:lang w:val="zh-CN"/>
              </w:rPr>
              <w:t>具有社会工作相关专业</w:t>
            </w:r>
            <w:r>
              <w:rPr>
                <w:rFonts w:hint="eastAsia" w:ascii="仿宋_GB2312" w:hAnsi="仿宋_GB2312" w:eastAsia="仿宋_GB2312" w:cs="仿宋_GB2312"/>
                <w:kern w:val="0"/>
                <w:sz w:val="24"/>
                <w:szCs w:val="24"/>
                <w:shd w:val="clear" w:color="auto" w:fill="auto"/>
                <w:lang w:val="en-US" w:eastAsia="zh-CN"/>
              </w:rPr>
              <w:t>本科</w:t>
            </w:r>
            <w:r>
              <w:rPr>
                <w:rFonts w:hint="eastAsia" w:ascii="仿宋_GB2312" w:hAnsi="仿宋_GB2312" w:eastAsia="仿宋_GB2312" w:cs="仿宋_GB2312"/>
                <w:kern w:val="0"/>
                <w:sz w:val="24"/>
                <w:szCs w:val="24"/>
                <w:shd w:val="clear" w:color="auto" w:fill="auto"/>
                <w:lang w:val="zh-CN"/>
              </w:rPr>
              <w:t>或以上学历的，得</w:t>
            </w:r>
            <w:r>
              <w:rPr>
                <w:rFonts w:hint="eastAsia" w:ascii="仿宋_GB2312" w:hAnsi="仿宋_GB2312" w:eastAsia="仿宋_GB2312" w:cs="仿宋_GB2312"/>
                <w:kern w:val="0"/>
                <w:sz w:val="24"/>
                <w:szCs w:val="24"/>
                <w:shd w:val="clear" w:color="auto" w:fill="auto"/>
                <w:lang w:val="en-US" w:eastAsia="zh-CN"/>
              </w:rPr>
              <w:t>3分</w:t>
            </w:r>
            <w:r>
              <w:rPr>
                <w:rFonts w:hint="eastAsia" w:ascii="仿宋_GB2312" w:hAnsi="仿宋_GB2312" w:eastAsia="仿宋_GB2312" w:cs="仿宋_GB2312"/>
                <w:kern w:val="0"/>
                <w:sz w:val="24"/>
                <w:szCs w:val="24"/>
                <w:shd w:val="clear" w:color="auto" w:fill="auto"/>
                <w:lang w:val="zh-CN"/>
              </w:rPr>
              <w:t>；</w:t>
            </w:r>
          </w:p>
          <w:p>
            <w:pPr>
              <w:widowControl/>
              <w:adjustRightInd w:val="0"/>
              <w:snapToGrid w:val="0"/>
              <w:spacing w:afterLines="0" w:line="300" w:lineRule="atLeast"/>
              <w:jc w:val="left"/>
              <w:rPr>
                <w:rFonts w:hint="eastAsia" w:ascii="仿宋_GB2312" w:hAnsi="仿宋_GB2312" w:eastAsia="仿宋_GB2312" w:cs="仿宋_GB2312"/>
                <w:kern w:val="0"/>
                <w:sz w:val="24"/>
                <w:szCs w:val="24"/>
                <w:shd w:val="clear" w:color="auto" w:fill="auto"/>
                <w:lang w:val="zh-CN"/>
              </w:rPr>
            </w:pPr>
            <w:r>
              <w:rPr>
                <w:rFonts w:hint="eastAsia" w:ascii="仿宋_GB2312" w:hAnsi="仿宋_GB2312" w:eastAsia="仿宋_GB2312" w:cs="仿宋_GB2312"/>
                <w:kern w:val="0"/>
                <w:sz w:val="24"/>
                <w:szCs w:val="24"/>
                <w:shd w:val="clear" w:color="auto" w:fill="auto"/>
                <w:lang w:val="en-US" w:eastAsia="zh-CN"/>
              </w:rPr>
              <w:t>(3)</w:t>
            </w:r>
            <w:r>
              <w:rPr>
                <w:rFonts w:hint="eastAsia" w:ascii="仿宋_GB2312" w:hAnsi="仿宋_GB2312" w:eastAsia="仿宋_GB2312" w:cs="仿宋_GB2312"/>
                <w:kern w:val="0"/>
                <w:sz w:val="24"/>
                <w:szCs w:val="24"/>
                <w:shd w:val="clear" w:color="auto" w:fill="auto"/>
                <w:lang w:val="zh-CN"/>
              </w:rPr>
              <w:t>具有初级</w:t>
            </w:r>
            <w:r>
              <w:rPr>
                <w:rFonts w:hint="eastAsia" w:ascii="仿宋_GB2312" w:hAnsi="仿宋_GB2312" w:eastAsia="仿宋_GB2312" w:cs="仿宋_GB2312"/>
                <w:kern w:val="0"/>
                <w:sz w:val="24"/>
                <w:szCs w:val="24"/>
                <w:shd w:val="clear" w:color="auto" w:fill="auto"/>
                <w:lang w:val="en-US" w:eastAsia="zh-CN"/>
              </w:rPr>
              <w:t>或</w:t>
            </w:r>
            <w:r>
              <w:rPr>
                <w:rFonts w:hint="eastAsia" w:ascii="仿宋_GB2312" w:hAnsi="仿宋_GB2312" w:eastAsia="仿宋_GB2312" w:cs="仿宋_GB2312"/>
                <w:kern w:val="0"/>
                <w:sz w:val="24"/>
                <w:szCs w:val="24"/>
                <w:shd w:val="clear" w:color="auto" w:fill="auto"/>
                <w:lang w:val="zh-CN"/>
              </w:rPr>
              <w:t>以上社会工作行业督导资质证书的，得</w:t>
            </w:r>
            <w:r>
              <w:rPr>
                <w:rFonts w:hint="eastAsia" w:ascii="仿宋_GB2312" w:hAnsi="仿宋_GB2312" w:eastAsia="仿宋_GB2312" w:cs="仿宋_GB2312"/>
                <w:kern w:val="0"/>
                <w:sz w:val="24"/>
                <w:szCs w:val="24"/>
                <w:shd w:val="clear" w:color="auto" w:fill="auto"/>
                <w:lang w:val="en-US" w:eastAsia="zh-CN"/>
              </w:rPr>
              <w:t>2分</w:t>
            </w:r>
            <w:r>
              <w:rPr>
                <w:rFonts w:hint="eastAsia" w:ascii="仿宋_GB2312" w:hAnsi="仿宋_GB2312" w:eastAsia="仿宋_GB2312" w:cs="仿宋_GB2312"/>
                <w:kern w:val="0"/>
                <w:sz w:val="24"/>
                <w:szCs w:val="24"/>
                <w:shd w:val="clear" w:color="auto" w:fill="auto"/>
                <w:lang w:val="zh-CN"/>
              </w:rPr>
              <w:t>；</w:t>
            </w:r>
          </w:p>
          <w:p>
            <w:pPr>
              <w:widowControl/>
              <w:adjustRightInd w:val="0"/>
              <w:snapToGrid w:val="0"/>
              <w:spacing w:afterLines="0" w:line="300" w:lineRule="atLeast"/>
              <w:jc w:val="left"/>
              <w:rPr>
                <w:rFonts w:hint="eastAsia" w:ascii="仿宋_GB2312" w:hAnsi="仿宋_GB2312" w:eastAsia="仿宋_GB2312" w:cs="仿宋_GB2312"/>
                <w:spacing w:val="-20"/>
                <w:kern w:val="0"/>
                <w:sz w:val="24"/>
                <w:szCs w:val="24"/>
                <w:shd w:val="clear" w:color="auto" w:fill="auto"/>
                <w:lang w:val="zh-CN"/>
              </w:rPr>
            </w:pPr>
            <w:r>
              <w:rPr>
                <w:rFonts w:hint="eastAsia" w:ascii="仿宋_GB2312" w:hAnsi="仿宋_GB2312" w:eastAsia="仿宋_GB2312" w:cs="仿宋_GB2312"/>
                <w:spacing w:val="0"/>
                <w:kern w:val="0"/>
                <w:sz w:val="24"/>
                <w:szCs w:val="24"/>
                <w:shd w:val="clear" w:color="auto" w:fill="auto"/>
                <w:lang w:val="en-US" w:eastAsia="zh-CN"/>
              </w:rPr>
              <w:t>(4)</w:t>
            </w:r>
            <w:r>
              <w:rPr>
                <w:rFonts w:hint="eastAsia" w:ascii="仿宋_GB2312" w:hAnsi="仿宋_GB2312" w:eastAsia="仿宋_GB2312" w:cs="仿宋_GB2312"/>
                <w:spacing w:val="0"/>
                <w:kern w:val="0"/>
                <w:sz w:val="24"/>
                <w:szCs w:val="24"/>
                <w:shd w:val="clear" w:color="auto" w:fill="auto"/>
                <w:lang w:val="en-US"/>
              </w:rPr>
              <w:t>具</w:t>
            </w:r>
            <w:r>
              <w:rPr>
                <w:rFonts w:hint="eastAsia" w:ascii="仿宋_GB2312" w:hAnsi="仿宋_GB2312" w:eastAsia="仿宋_GB2312" w:cs="仿宋_GB2312"/>
                <w:spacing w:val="-20"/>
                <w:kern w:val="0"/>
                <w:sz w:val="24"/>
                <w:szCs w:val="24"/>
                <w:shd w:val="clear" w:color="auto" w:fill="auto"/>
                <w:lang w:val="zh-CN"/>
              </w:rPr>
              <w:t>有</w:t>
            </w:r>
            <w:r>
              <w:rPr>
                <w:rFonts w:hint="eastAsia" w:ascii="仿宋_GB2312" w:hAnsi="仿宋_GB2312" w:eastAsia="仿宋_GB2312" w:cs="仿宋_GB2312"/>
                <w:spacing w:val="-20"/>
                <w:kern w:val="0"/>
                <w:sz w:val="24"/>
                <w:szCs w:val="24"/>
                <w:shd w:val="clear" w:color="auto" w:fill="auto"/>
                <w:lang w:val="en-US" w:eastAsia="zh-CN"/>
              </w:rPr>
              <w:t>中级或以上社工资格证书的</w:t>
            </w:r>
            <w:r>
              <w:rPr>
                <w:rFonts w:hint="eastAsia" w:ascii="仿宋_GB2312" w:hAnsi="仿宋_GB2312" w:eastAsia="仿宋_GB2312" w:cs="仿宋_GB2312"/>
                <w:spacing w:val="-20"/>
                <w:kern w:val="0"/>
                <w:sz w:val="24"/>
                <w:szCs w:val="24"/>
                <w:shd w:val="clear" w:color="auto" w:fill="auto"/>
                <w:lang w:val="zh-CN"/>
              </w:rPr>
              <w:t>，得</w:t>
            </w:r>
            <w:r>
              <w:rPr>
                <w:rFonts w:hint="eastAsia" w:ascii="仿宋_GB2312" w:hAnsi="仿宋_GB2312" w:eastAsia="仿宋_GB2312" w:cs="仿宋_GB2312"/>
                <w:spacing w:val="-20"/>
                <w:kern w:val="0"/>
                <w:sz w:val="24"/>
                <w:szCs w:val="24"/>
                <w:shd w:val="clear" w:color="auto" w:fill="auto"/>
                <w:lang w:val="en-US" w:eastAsia="zh-CN"/>
              </w:rPr>
              <w:t>2分</w:t>
            </w:r>
            <w:r>
              <w:rPr>
                <w:rFonts w:hint="eastAsia" w:ascii="仿宋_GB2312" w:hAnsi="仿宋_GB2312" w:eastAsia="仿宋_GB2312" w:cs="仿宋_GB2312"/>
                <w:spacing w:val="-20"/>
                <w:kern w:val="0"/>
                <w:sz w:val="24"/>
                <w:szCs w:val="24"/>
                <w:shd w:val="clear" w:color="auto" w:fill="auto"/>
                <w:lang w:val="zh-CN"/>
              </w:rPr>
              <w:t>；</w:t>
            </w:r>
          </w:p>
          <w:p/>
          <w:p>
            <w:pPr>
              <w:widowControl/>
              <w:adjustRightInd w:val="0"/>
              <w:snapToGrid w:val="0"/>
              <w:spacing w:afterLines="0" w:line="300" w:lineRule="atLeast"/>
              <w:jc w:val="left"/>
              <w:rPr>
                <w:rFonts w:hint="eastAsia" w:ascii="仿宋_GB2312" w:hAnsi="仿宋_GB2312" w:eastAsia="仿宋_GB2312" w:cs="仿宋_GB2312"/>
                <w:spacing w:val="-20"/>
                <w:kern w:val="0"/>
                <w:sz w:val="24"/>
                <w:szCs w:val="24"/>
                <w:shd w:val="clear" w:color="auto" w:fill="auto"/>
                <w:lang w:val="en-US" w:eastAsia="zh-CN"/>
              </w:rPr>
            </w:pPr>
            <w:r>
              <w:rPr>
                <w:rFonts w:hint="eastAsia" w:ascii="仿宋_GB2312" w:hAnsi="仿宋_GB2312" w:eastAsia="仿宋_GB2312" w:cs="仿宋_GB2312"/>
                <w:spacing w:val="0"/>
                <w:kern w:val="0"/>
                <w:sz w:val="24"/>
                <w:szCs w:val="24"/>
                <w:shd w:val="clear" w:color="auto" w:fill="auto"/>
                <w:lang w:val="en-US" w:eastAsia="zh-CN"/>
              </w:rPr>
              <w:t>(5)</w:t>
            </w:r>
            <w:r>
              <w:rPr>
                <w:rFonts w:hint="eastAsia" w:ascii="仿宋_GB2312" w:hAnsi="仿宋_GB2312" w:eastAsia="仿宋_GB2312" w:cs="仿宋_GB2312"/>
                <w:spacing w:val="-20"/>
                <w:kern w:val="0"/>
                <w:sz w:val="24"/>
                <w:szCs w:val="24"/>
                <w:shd w:val="clear" w:color="auto" w:fill="auto"/>
                <w:lang w:val="en-US" w:eastAsia="zh-CN"/>
              </w:rPr>
              <w:t>具有人力资源管理师资格证书的，得2分；</w:t>
            </w:r>
          </w:p>
          <w:p/>
          <w:p>
            <w:pPr>
              <w:widowControl/>
              <w:adjustRightInd/>
              <w:snapToGrid/>
              <w:spacing w:afterLines="0" w:line="300" w:lineRule="atLeast"/>
              <w:ind w:firstLine="0" w:firstLineChars="0"/>
              <w:jc w:val="left"/>
              <w:rPr>
                <w:rFonts w:hint="eastAsia" w:ascii="仿宋_GB2312" w:hAnsi="仿宋_GB2312" w:eastAsia="仿宋_GB2312" w:cs="仿宋_GB2312"/>
                <w:kern w:val="0"/>
                <w:sz w:val="24"/>
                <w:szCs w:val="24"/>
                <w:shd w:val="clear" w:color="auto" w:fill="auto"/>
                <w:lang w:val="en-US"/>
              </w:rPr>
            </w:pPr>
            <w:r>
              <w:rPr>
                <w:rFonts w:hint="eastAsia" w:ascii="仿宋_GB2312" w:hAnsi="仿宋_GB2312" w:eastAsia="仿宋_GB2312" w:cs="仿宋_GB2312"/>
                <w:kern w:val="0"/>
                <w:sz w:val="24"/>
                <w:szCs w:val="24"/>
                <w:shd w:val="clear" w:color="auto" w:fill="auto"/>
                <w:lang w:val="en-US" w:eastAsia="zh-CN"/>
              </w:rPr>
              <w:t>(6)</w:t>
            </w:r>
            <w:r>
              <w:rPr>
                <w:rFonts w:hint="eastAsia" w:ascii="仿宋_GB2312" w:hAnsi="仿宋_GB2312" w:eastAsia="仿宋_GB2312" w:cs="仿宋_GB2312"/>
                <w:kern w:val="0"/>
                <w:sz w:val="24"/>
                <w:szCs w:val="24"/>
                <w:lang w:val="en-US" w:eastAsia="zh-CN"/>
              </w:rPr>
              <w:t>以上</w:t>
            </w:r>
            <w:r>
              <w:rPr>
                <w:rFonts w:hint="eastAsia" w:ascii="仿宋_GB2312" w:hAnsi="仿宋_GB2312" w:eastAsia="仿宋_GB2312" w:cs="仿宋_GB2312"/>
                <w:kern w:val="0"/>
                <w:sz w:val="24"/>
                <w:szCs w:val="24"/>
              </w:rPr>
              <w:t>累计最高分不超过</w:t>
            </w:r>
            <w:r>
              <w:rPr>
                <w:rFonts w:hint="eastAsia" w:ascii="仿宋_GB2312" w:hAnsi="仿宋_GB2312" w:eastAsia="仿宋_GB2312" w:cs="仿宋_GB2312"/>
                <w:kern w:val="0"/>
                <w:sz w:val="24"/>
                <w:szCs w:val="24"/>
                <w:lang w:val="en-US" w:eastAsia="zh-CN"/>
              </w:rPr>
              <w:t>10分。</w:t>
            </w:r>
          </w:p>
          <w:p>
            <w:pPr>
              <w:widowControl/>
              <w:adjustRightInd w:val="0"/>
              <w:snapToGrid w:val="0"/>
              <w:spacing w:afterLines="0" w:line="300" w:lineRule="atLeast"/>
              <w:jc w:val="left"/>
              <w:rPr>
                <w:rFonts w:hint="eastAsia" w:ascii="仿宋_GB2312" w:hAnsi="仿宋_GB2312" w:eastAsia="仿宋_GB2312" w:cs="仿宋_GB2312"/>
                <w:b/>
                <w:bCs/>
                <w:kern w:val="0"/>
                <w:sz w:val="24"/>
                <w:szCs w:val="24"/>
                <w:lang w:val="zh-CN"/>
              </w:rPr>
            </w:pPr>
            <w:r>
              <w:rPr>
                <w:rFonts w:hint="eastAsia" w:ascii="仿宋_GB2312" w:hAnsi="仿宋_GB2312" w:eastAsia="仿宋_GB2312" w:cs="仿宋_GB2312"/>
                <w:b/>
                <w:bCs/>
                <w:kern w:val="0"/>
                <w:sz w:val="24"/>
                <w:szCs w:val="24"/>
              </w:rPr>
              <w:t>2.</w:t>
            </w:r>
            <w:r>
              <w:rPr>
                <w:rFonts w:hint="eastAsia" w:ascii="仿宋_GB2312" w:hAnsi="仿宋_GB2312" w:eastAsia="仿宋_GB2312" w:cs="仿宋_GB2312"/>
                <w:b/>
                <w:bCs/>
                <w:kern w:val="0"/>
                <w:sz w:val="24"/>
                <w:szCs w:val="24"/>
                <w:lang w:val="zh-CN"/>
              </w:rPr>
              <w:t>证明文件：</w:t>
            </w:r>
          </w:p>
          <w:p>
            <w:pPr>
              <w:widowControl/>
              <w:adjustRightInd w:val="0"/>
              <w:snapToGrid w:val="0"/>
              <w:spacing w:afterLines="0" w:line="300" w:lineRule="atLeast"/>
              <w:jc w:val="left"/>
              <w:rPr>
                <w:rFonts w:hint="eastAsia" w:ascii="仿宋_GB2312" w:hAnsi="仿宋_GB2312" w:eastAsia="仿宋_GB2312" w:cs="仿宋_GB2312"/>
                <w:kern w:val="0"/>
                <w:sz w:val="24"/>
                <w:szCs w:val="24"/>
                <w:shd w:val="clear" w:color="auto" w:fill="auto"/>
                <w:lang w:val="zh-CN"/>
              </w:rPr>
            </w:pPr>
            <w:r>
              <w:rPr>
                <w:rFonts w:hint="eastAsia" w:ascii="仿宋_GB2312" w:hAnsi="仿宋_GB2312" w:eastAsia="仿宋_GB2312" w:cs="仿宋_GB2312"/>
                <w:kern w:val="0"/>
                <w:sz w:val="24"/>
                <w:szCs w:val="24"/>
                <w:shd w:val="clear" w:color="auto" w:fill="auto"/>
                <w:lang w:val="zh-CN"/>
              </w:rPr>
              <w:t>（1）要求提供近三个月（即202</w:t>
            </w:r>
            <w:r>
              <w:rPr>
                <w:rFonts w:hint="eastAsia" w:ascii="仿宋_GB2312" w:hAnsi="仿宋_GB2312" w:eastAsia="仿宋_GB2312" w:cs="仿宋_GB2312"/>
                <w:kern w:val="0"/>
                <w:sz w:val="24"/>
                <w:szCs w:val="24"/>
                <w:shd w:val="clear" w:color="auto" w:fill="auto"/>
                <w:lang w:val="en-US" w:eastAsia="zh-CN"/>
              </w:rPr>
              <w:t>3</w:t>
            </w:r>
            <w:r>
              <w:rPr>
                <w:rFonts w:hint="eastAsia" w:ascii="仿宋_GB2312" w:hAnsi="仿宋_GB2312" w:eastAsia="仿宋_GB2312" w:cs="仿宋_GB2312"/>
                <w:kern w:val="0"/>
                <w:sz w:val="24"/>
                <w:szCs w:val="24"/>
                <w:shd w:val="clear" w:color="auto" w:fill="auto"/>
                <w:lang w:val="zh-CN"/>
              </w:rPr>
              <w:t>年</w:t>
            </w:r>
            <w:r>
              <w:rPr>
                <w:rFonts w:hint="eastAsia" w:ascii="仿宋_GB2312" w:hAnsi="仿宋_GB2312" w:eastAsia="仿宋_GB2312" w:cs="仿宋_GB2312"/>
                <w:kern w:val="0"/>
                <w:sz w:val="24"/>
                <w:szCs w:val="24"/>
                <w:shd w:val="clear" w:color="auto" w:fill="auto"/>
                <w:lang w:val="en-US" w:eastAsia="zh-CN"/>
              </w:rPr>
              <w:t>2</w:t>
            </w:r>
            <w:r>
              <w:rPr>
                <w:rFonts w:hint="eastAsia" w:ascii="仿宋_GB2312" w:hAnsi="仿宋_GB2312" w:eastAsia="仿宋_GB2312" w:cs="仿宋_GB2312"/>
                <w:kern w:val="0"/>
                <w:sz w:val="24"/>
                <w:szCs w:val="24"/>
                <w:shd w:val="clear" w:color="auto" w:fill="auto"/>
                <w:lang w:val="zh-CN"/>
              </w:rPr>
              <w:t>月-202</w:t>
            </w:r>
            <w:r>
              <w:rPr>
                <w:rFonts w:hint="eastAsia" w:ascii="仿宋_GB2312" w:hAnsi="仿宋_GB2312" w:eastAsia="仿宋_GB2312" w:cs="仿宋_GB2312"/>
                <w:kern w:val="0"/>
                <w:sz w:val="24"/>
                <w:szCs w:val="24"/>
                <w:shd w:val="clear" w:color="auto" w:fill="auto"/>
                <w:lang w:val="en-US" w:eastAsia="zh-CN"/>
              </w:rPr>
              <w:t>3</w:t>
            </w:r>
            <w:r>
              <w:rPr>
                <w:rFonts w:hint="eastAsia" w:ascii="仿宋_GB2312" w:hAnsi="仿宋_GB2312" w:eastAsia="仿宋_GB2312" w:cs="仿宋_GB2312"/>
                <w:kern w:val="0"/>
                <w:sz w:val="24"/>
                <w:szCs w:val="24"/>
                <w:shd w:val="clear" w:color="auto" w:fill="auto"/>
                <w:lang w:val="zh-CN"/>
              </w:rPr>
              <w:t>年</w:t>
            </w:r>
            <w:r>
              <w:rPr>
                <w:rFonts w:hint="eastAsia" w:ascii="仿宋_GB2312" w:hAnsi="仿宋_GB2312" w:eastAsia="仿宋_GB2312" w:cs="仿宋_GB2312"/>
                <w:kern w:val="0"/>
                <w:sz w:val="24"/>
                <w:szCs w:val="24"/>
                <w:shd w:val="clear" w:color="auto" w:fill="auto"/>
                <w:lang w:val="en-US" w:eastAsia="zh-CN"/>
              </w:rPr>
              <w:t>4</w:t>
            </w:r>
            <w:r>
              <w:rPr>
                <w:rFonts w:hint="eastAsia" w:ascii="仿宋_GB2312" w:hAnsi="仿宋_GB2312" w:eastAsia="仿宋_GB2312" w:cs="仿宋_GB2312"/>
                <w:kern w:val="0"/>
                <w:sz w:val="24"/>
                <w:szCs w:val="24"/>
                <w:shd w:val="clear" w:color="auto" w:fill="auto"/>
                <w:lang w:val="zh-CN"/>
              </w:rPr>
              <w:t xml:space="preserve">月）在投标人公司缴纳的由社保部门出具的社保缴纳证明材料（如开标日上一个月的社保材料因社保部门原因暂时无法取得，则可以往前顺延一个月）； </w:t>
            </w:r>
          </w:p>
          <w:p>
            <w:pPr>
              <w:spacing w:line="300" w:lineRule="atLeast"/>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kern w:val="0"/>
                <w:sz w:val="24"/>
                <w:szCs w:val="24"/>
                <w:shd w:val="clear" w:color="auto" w:fill="auto"/>
                <w:lang w:val="zh-CN"/>
              </w:rPr>
              <w:t>（2）提供党员证明、毕业证或学位证证书、督导资质证书、社工资质证书、</w:t>
            </w:r>
            <w:r>
              <w:rPr>
                <w:rFonts w:hint="eastAsia" w:ascii="仿宋_GB2312" w:hAnsi="仿宋_GB2312" w:eastAsia="仿宋_GB2312" w:cs="仿宋_GB2312"/>
                <w:kern w:val="0"/>
                <w:sz w:val="24"/>
                <w:szCs w:val="24"/>
                <w:shd w:val="clear" w:color="auto" w:fill="auto"/>
                <w:lang w:val="en-US" w:eastAsia="zh-CN"/>
              </w:rPr>
              <w:t>人力资源管理师证书</w:t>
            </w:r>
            <w:r>
              <w:rPr>
                <w:rFonts w:hint="eastAsia" w:ascii="仿宋_GB2312" w:hAnsi="仿宋_GB2312" w:eastAsia="仿宋_GB2312" w:cs="仿宋_GB2312"/>
                <w:kern w:val="0"/>
                <w:sz w:val="24"/>
                <w:szCs w:val="24"/>
                <w:shd w:val="clear" w:color="auto" w:fill="auto"/>
                <w:lang w:val="zh-CN"/>
              </w:rPr>
              <w:t>扫描件或复印件加</w:t>
            </w:r>
            <w:bookmarkStart w:id="0" w:name="_GoBack"/>
            <w:bookmarkEnd w:id="0"/>
            <w:r>
              <w:rPr>
                <w:rFonts w:hint="eastAsia" w:ascii="仿宋_GB2312" w:hAnsi="仿宋_GB2312" w:eastAsia="仿宋_GB2312" w:cs="仿宋_GB2312"/>
                <w:kern w:val="0"/>
                <w:sz w:val="24"/>
                <w:szCs w:val="24"/>
                <w:shd w:val="clear" w:color="auto" w:fill="auto"/>
                <w:lang w:val="zh-CN"/>
              </w:rPr>
              <w:t>盖投标人公章作为评标依据，未提供不得分。</w:t>
            </w:r>
          </w:p>
        </w:tc>
        <w:tc>
          <w:tcPr>
            <w:tcW w:w="707" w:type="dxa"/>
            <w:vAlign w:val="center"/>
          </w:tcPr>
          <w:p>
            <w:pPr>
              <w:spacing w:line="300" w:lineRule="atLeast"/>
              <w:jc w:val="center"/>
              <w:rPr>
                <w:rFonts w:hint="eastAsia" w:ascii="仿宋" w:hAnsi="仿宋" w:eastAsia="仿宋" w:cs="仿宋"/>
                <w:b w:val="0"/>
                <w:bCs w:val="0"/>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16" w:type="dxa"/>
            <w:vAlign w:val="center"/>
          </w:tcPr>
          <w:p>
            <w:pPr>
              <w:spacing w:line="300" w:lineRule="atLeast"/>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w:t>
            </w:r>
          </w:p>
        </w:tc>
        <w:tc>
          <w:tcPr>
            <w:tcW w:w="1523" w:type="dxa"/>
            <w:vAlign w:val="center"/>
          </w:tcPr>
          <w:p>
            <w:pPr>
              <w:spacing w:line="300" w:lineRule="atLeast"/>
              <w:jc w:val="center"/>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kern w:val="0"/>
                <w:sz w:val="24"/>
                <w:szCs w:val="24"/>
              </w:rPr>
              <w:t>社会组织评估等级</w:t>
            </w:r>
          </w:p>
        </w:tc>
        <w:tc>
          <w:tcPr>
            <w:tcW w:w="676" w:type="dxa"/>
            <w:vAlign w:val="center"/>
          </w:tcPr>
          <w:p>
            <w:pPr>
              <w:autoSpaceDE w:val="0"/>
              <w:autoSpaceDN w:val="0"/>
              <w:adjustRightInd w:val="0"/>
              <w:spacing w:line="300" w:lineRule="atLeast"/>
              <w:jc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8</w:t>
            </w:r>
          </w:p>
        </w:tc>
        <w:tc>
          <w:tcPr>
            <w:tcW w:w="1143" w:type="dxa"/>
            <w:vAlign w:val="center"/>
          </w:tcPr>
          <w:p>
            <w:pPr>
              <w:spacing w:line="300" w:lineRule="atLeast"/>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采购小组打分</w:t>
            </w:r>
          </w:p>
        </w:tc>
        <w:tc>
          <w:tcPr>
            <w:tcW w:w="4635" w:type="dxa"/>
            <w:vAlign w:val="center"/>
          </w:tcPr>
          <w:p>
            <w:pPr>
              <w:widowControl/>
              <w:spacing w:line="300" w:lineRule="atLeast"/>
              <w:jc w:val="left"/>
              <w:rPr>
                <w:rFonts w:hint="eastAsia" w:ascii="仿宋_GB2312" w:hAnsi="仿宋_GB2312" w:eastAsia="仿宋_GB2312" w:cs="仿宋_GB2312"/>
                <w:b/>
                <w:bCs/>
                <w:kern w:val="0"/>
                <w:sz w:val="24"/>
                <w:szCs w:val="24"/>
                <w:lang w:val="zh-CN"/>
              </w:rPr>
            </w:pPr>
            <w:r>
              <w:rPr>
                <w:rFonts w:hint="eastAsia" w:ascii="仿宋_GB2312" w:hAnsi="仿宋_GB2312" w:eastAsia="仿宋_GB2312" w:cs="仿宋_GB2312"/>
                <w:b/>
                <w:bCs/>
                <w:kern w:val="0"/>
                <w:sz w:val="24"/>
                <w:szCs w:val="24"/>
                <w:lang w:val="zh-CN"/>
              </w:rPr>
              <w:t>1.评审标准：</w:t>
            </w:r>
          </w:p>
          <w:p>
            <w:pPr>
              <w:widowControl/>
              <w:spacing w:line="300" w:lineRule="atLeast"/>
              <w:jc w:val="left"/>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提供区级或以上的社会组织登记管理部门颁发的有效期内的社会组织评估等级证书：</w:t>
            </w:r>
          </w:p>
          <w:p>
            <w:pPr>
              <w:widowControl/>
              <w:spacing w:line="300" w:lineRule="atLeast"/>
              <w:jc w:val="left"/>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（1) 5A级或以上得</w:t>
            </w:r>
            <w:r>
              <w:rPr>
                <w:rFonts w:hint="eastAsia" w:ascii="仿宋_GB2312" w:hAnsi="仿宋_GB2312" w:eastAsia="仿宋_GB2312" w:cs="仿宋_GB2312"/>
                <w:kern w:val="0"/>
                <w:sz w:val="24"/>
                <w:szCs w:val="24"/>
                <w:lang w:val="en-US" w:eastAsia="zh-CN"/>
              </w:rPr>
              <w:t>8分</w:t>
            </w:r>
            <w:r>
              <w:rPr>
                <w:rFonts w:hint="eastAsia" w:ascii="仿宋_GB2312" w:hAnsi="仿宋_GB2312" w:eastAsia="仿宋_GB2312" w:cs="仿宋_GB2312"/>
                <w:kern w:val="0"/>
                <w:sz w:val="24"/>
                <w:szCs w:val="24"/>
                <w:lang w:val="zh-CN"/>
              </w:rPr>
              <w:t>；</w:t>
            </w:r>
          </w:p>
          <w:p>
            <w:pPr>
              <w:widowControl/>
              <w:spacing w:line="300" w:lineRule="atLeast"/>
              <w:jc w:val="left"/>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（2) 4A得</w:t>
            </w:r>
            <w:r>
              <w:rPr>
                <w:rFonts w:hint="eastAsia" w:ascii="仿宋_GB2312" w:hAnsi="仿宋_GB2312" w:eastAsia="仿宋_GB2312" w:cs="仿宋_GB2312"/>
                <w:kern w:val="0"/>
                <w:sz w:val="24"/>
                <w:szCs w:val="24"/>
                <w:lang w:val="en-US" w:eastAsia="zh-CN"/>
              </w:rPr>
              <w:t>6分</w:t>
            </w:r>
            <w:r>
              <w:rPr>
                <w:rFonts w:hint="eastAsia" w:ascii="仿宋_GB2312" w:hAnsi="仿宋_GB2312" w:eastAsia="仿宋_GB2312" w:cs="仿宋_GB2312"/>
                <w:kern w:val="0"/>
                <w:sz w:val="24"/>
                <w:szCs w:val="24"/>
                <w:lang w:val="zh-CN"/>
              </w:rPr>
              <w:t>；</w:t>
            </w:r>
          </w:p>
          <w:p>
            <w:pPr>
              <w:widowControl/>
              <w:spacing w:line="300" w:lineRule="atLeast"/>
              <w:jc w:val="left"/>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（3) 3A得</w:t>
            </w:r>
            <w:r>
              <w:rPr>
                <w:rFonts w:hint="eastAsia" w:ascii="仿宋_GB2312" w:hAnsi="仿宋_GB2312" w:eastAsia="仿宋_GB2312" w:cs="仿宋_GB2312"/>
                <w:kern w:val="0"/>
                <w:sz w:val="24"/>
                <w:szCs w:val="24"/>
                <w:lang w:val="en-US" w:eastAsia="zh-CN"/>
              </w:rPr>
              <w:t>4分</w:t>
            </w:r>
            <w:r>
              <w:rPr>
                <w:rFonts w:hint="eastAsia" w:ascii="仿宋_GB2312" w:hAnsi="仿宋_GB2312" w:eastAsia="仿宋_GB2312" w:cs="仿宋_GB2312"/>
                <w:kern w:val="0"/>
                <w:sz w:val="24"/>
                <w:szCs w:val="24"/>
                <w:lang w:val="zh-CN"/>
              </w:rPr>
              <w:t>；</w:t>
            </w:r>
          </w:p>
          <w:p>
            <w:pPr>
              <w:widowControl/>
              <w:spacing w:line="300" w:lineRule="atLeast"/>
              <w:jc w:val="left"/>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（4）</w:t>
            </w: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zh-CN"/>
              </w:rPr>
              <w:t>A以下、无等级或未提供得0分；</w:t>
            </w:r>
          </w:p>
          <w:p>
            <w:pPr>
              <w:widowControl/>
              <w:spacing w:line="300" w:lineRule="atLeast"/>
              <w:jc w:val="left"/>
              <w:rPr>
                <w:rFonts w:hint="eastAsia" w:ascii="仿宋_GB2312" w:hAnsi="仿宋_GB2312" w:eastAsia="仿宋_GB2312" w:cs="仿宋_GB2312"/>
                <w:b/>
                <w:bCs/>
                <w:kern w:val="0"/>
                <w:sz w:val="24"/>
                <w:szCs w:val="24"/>
                <w:lang w:val="zh-CN"/>
              </w:rPr>
            </w:pPr>
            <w:r>
              <w:rPr>
                <w:rFonts w:hint="eastAsia" w:ascii="仿宋_GB2312" w:hAnsi="仿宋_GB2312" w:eastAsia="仿宋_GB2312" w:cs="仿宋_GB2312"/>
                <w:b/>
                <w:bCs/>
                <w:kern w:val="0"/>
                <w:sz w:val="24"/>
                <w:szCs w:val="24"/>
              </w:rPr>
              <w:t>2.</w:t>
            </w:r>
            <w:r>
              <w:rPr>
                <w:rFonts w:hint="eastAsia" w:ascii="仿宋_GB2312" w:hAnsi="仿宋_GB2312" w:eastAsia="仿宋_GB2312" w:cs="仿宋_GB2312"/>
                <w:b/>
                <w:bCs/>
                <w:kern w:val="0"/>
                <w:sz w:val="24"/>
                <w:szCs w:val="24"/>
                <w:lang w:val="zh-CN"/>
              </w:rPr>
              <w:t>证明文件：</w:t>
            </w:r>
          </w:p>
          <w:p>
            <w:pPr>
              <w:pStyle w:val="2"/>
              <w:spacing w:line="300" w:lineRule="atLeast"/>
              <w:jc w:val="left"/>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kern w:val="0"/>
                <w:szCs w:val="24"/>
                <w:lang w:val="en-US"/>
              </w:rPr>
              <w:t>提供以上</w:t>
            </w:r>
            <w:r>
              <w:rPr>
                <w:rFonts w:hint="eastAsia" w:ascii="仿宋_GB2312" w:hAnsi="仿宋_GB2312" w:eastAsia="仿宋_GB2312" w:cs="仿宋_GB2312"/>
                <w:b w:val="0"/>
                <w:bCs w:val="0"/>
                <w:kern w:val="0"/>
                <w:szCs w:val="24"/>
                <w:lang w:val="zh-CN"/>
              </w:rPr>
              <w:t>有效期内的</w:t>
            </w:r>
            <w:r>
              <w:rPr>
                <w:rFonts w:hint="eastAsia" w:ascii="仿宋_GB2312" w:hAnsi="仿宋_GB2312" w:eastAsia="仿宋_GB2312" w:cs="仿宋_GB2312"/>
                <w:b w:val="0"/>
                <w:bCs w:val="0"/>
                <w:kern w:val="0"/>
                <w:szCs w:val="24"/>
                <w:lang w:val="en-US"/>
              </w:rPr>
              <w:t>资质证书扫描件。原件备查。</w:t>
            </w:r>
          </w:p>
        </w:tc>
        <w:tc>
          <w:tcPr>
            <w:tcW w:w="707" w:type="dxa"/>
            <w:vAlign w:val="center"/>
          </w:tcPr>
          <w:p>
            <w:pPr>
              <w:spacing w:line="300" w:lineRule="atLeast"/>
              <w:jc w:val="center"/>
              <w:rPr>
                <w:rFonts w:hint="eastAsia" w:ascii="仿宋" w:hAnsi="仿宋" w:eastAsia="仿宋" w:cs="仿宋"/>
                <w:b w:val="0"/>
                <w:bCs w:val="0"/>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16" w:type="dxa"/>
            <w:vAlign w:val="center"/>
          </w:tcPr>
          <w:p>
            <w:pPr>
              <w:spacing w:line="300" w:lineRule="atLeast"/>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3</w:t>
            </w:r>
          </w:p>
        </w:tc>
        <w:tc>
          <w:tcPr>
            <w:tcW w:w="1523" w:type="dxa"/>
            <w:vAlign w:val="center"/>
          </w:tcPr>
          <w:p>
            <w:pPr>
              <w:spacing w:line="300" w:lineRule="atLeast"/>
              <w:jc w:val="center"/>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sz w:val="24"/>
                <w:szCs w:val="24"/>
              </w:rPr>
              <w:t>投标人通过相关认证情况</w:t>
            </w:r>
          </w:p>
        </w:tc>
        <w:tc>
          <w:tcPr>
            <w:tcW w:w="676" w:type="dxa"/>
            <w:vAlign w:val="center"/>
          </w:tcPr>
          <w:p>
            <w:pPr>
              <w:autoSpaceDE w:val="0"/>
              <w:autoSpaceDN w:val="0"/>
              <w:adjustRightInd w:val="0"/>
              <w:spacing w:line="300" w:lineRule="atLeast"/>
              <w:jc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9</w:t>
            </w:r>
          </w:p>
        </w:tc>
        <w:tc>
          <w:tcPr>
            <w:tcW w:w="1143" w:type="dxa"/>
            <w:vAlign w:val="center"/>
          </w:tcPr>
          <w:p>
            <w:pPr>
              <w:spacing w:line="300" w:lineRule="atLeast"/>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采购小组打分</w:t>
            </w:r>
          </w:p>
        </w:tc>
        <w:tc>
          <w:tcPr>
            <w:tcW w:w="4635" w:type="dxa"/>
            <w:vAlign w:val="center"/>
          </w:tcPr>
          <w:p>
            <w:pPr>
              <w:widowControl/>
              <w:spacing w:line="300" w:lineRule="atLeast"/>
              <w:jc w:val="left"/>
              <w:rPr>
                <w:rFonts w:hint="eastAsia" w:ascii="仿宋_GB2312" w:hAnsi="仿宋_GB2312" w:eastAsia="仿宋_GB2312" w:cs="仿宋_GB2312"/>
                <w:b/>
                <w:bCs/>
                <w:kern w:val="0"/>
                <w:sz w:val="24"/>
                <w:szCs w:val="24"/>
                <w:lang w:val="sq-AL"/>
              </w:rPr>
            </w:pPr>
            <w:r>
              <w:rPr>
                <w:rFonts w:hint="eastAsia" w:ascii="仿宋_GB2312" w:hAnsi="仿宋_GB2312" w:eastAsia="仿宋_GB2312" w:cs="仿宋_GB2312"/>
                <w:b/>
                <w:bCs/>
                <w:kern w:val="0"/>
                <w:sz w:val="24"/>
                <w:szCs w:val="24"/>
              </w:rPr>
              <w:t>1.</w:t>
            </w:r>
            <w:r>
              <w:rPr>
                <w:rFonts w:hint="eastAsia" w:ascii="仿宋_GB2312" w:hAnsi="仿宋_GB2312" w:eastAsia="仿宋_GB2312" w:cs="仿宋_GB2312"/>
                <w:b/>
                <w:bCs/>
                <w:kern w:val="0"/>
                <w:sz w:val="24"/>
                <w:szCs w:val="24"/>
                <w:lang w:val="sq-AL"/>
              </w:rPr>
              <w:t>评审标准：</w:t>
            </w:r>
          </w:p>
          <w:p>
            <w:pPr>
              <w:widowControl/>
              <w:spacing w:after="0" w:line="300" w:lineRule="atLeast"/>
              <w:jc w:val="left"/>
              <w:rPr>
                <w:rFonts w:hint="eastAsia" w:ascii="仿宋_GB2312" w:hAnsi="仿宋_GB2312" w:eastAsia="仿宋_GB2312" w:cs="仿宋_GB2312"/>
                <w:kern w:val="0"/>
                <w:sz w:val="24"/>
                <w:szCs w:val="24"/>
                <w:highlight w:val="none"/>
                <w:lang w:val="zh-CN"/>
              </w:rPr>
            </w:pPr>
            <w:r>
              <w:rPr>
                <w:rFonts w:hint="eastAsia" w:ascii="仿宋_GB2312" w:hAnsi="仿宋_GB2312" w:eastAsia="仿宋_GB2312" w:cs="仿宋_GB2312"/>
                <w:kern w:val="0"/>
                <w:sz w:val="24"/>
                <w:szCs w:val="24"/>
                <w:lang w:val="zh-CN"/>
              </w:rPr>
              <w:t>投标人具有售后服务认证证书、诚信管理体系认证证书</w:t>
            </w:r>
            <w:r>
              <w:rPr>
                <w:rFonts w:hint="eastAsia" w:ascii="仿宋_GB2312" w:hAnsi="仿宋_GB2312" w:eastAsia="仿宋_GB2312" w:cs="仿宋_GB2312"/>
                <w:kern w:val="0"/>
                <w:sz w:val="24"/>
                <w:szCs w:val="24"/>
                <w:lang w:val="zh-CN" w:eastAsia="zh-CN"/>
              </w:rPr>
              <w:t>、信息安全管理体系认证证书</w:t>
            </w:r>
            <w:r>
              <w:rPr>
                <w:rFonts w:hint="eastAsia" w:ascii="仿宋_GB2312" w:hAnsi="仿宋_GB2312" w:eastAsia="仿宋_GB2312" w:cs="仿宋_GB2312"/>
                <w:kern w:val="0"/>
                <w:sz w:val="24"/>
                <w:szCs w:val="24"/>
                <w:lang w:val="zh-CN"/>
              </w:rPr>
              <w:t>在有效期内，</w:t>
            </w:r>
            <w:r>
              <w:rPr>
                <w:rFonts w:hint="eastAsia" w:ascii="仿宋_GB2312" w:hAnsi="仿宋_GB2312" w:eastAsia="仿宋_GB2312" w:cs="仿宋_GB2312"/>
                <w:kern w:val="0"/>
                <w:sz w:val="24"/>
                <w:szCs w:val="24"/>
                <w:highlight w:val="none"/>
                <w:lang w:val="zh-CN"/>
              </w:rPr>
              <w:t>每提供一项得</w:t>
            </w:r>
            <w:r>
              <w:rPr>
                <w:rFonts w:hint="eastAsia" w:ascii="仿宋_GB2312" w:hAnsi="仿宋_GB2312" w:eastAsia="仿宋_GB2312" w:cs="仿宋_GB2312"/>
                <w:kern w:val="0"/>
                <w:sz w:val="24"/>
                <w:szCs w:val="24"/>
                <w:highlight w:val="none"/>
                <w:lang w:val="en-US" w:eastAsia="zh-CN"/>
              </w:rPr>
              <w:t>3分</w:t>
            </w:r>
            <w:r>
              <w:rPr>
                <w:rFonts w:hint="eastAsia" w:ascii="仿宋_GB2312" w:hAnsi="仿宋_GB2312" w:eastAsia="仿宋_GB2312" w:cs="仿宋_GB2312"/>
                <w:kern w:val="0"/>
                <w:sz w:val="24"/>
                <w:szCs w:val="24"/>
                <w:highlight w:val="none"/>
                <w:lang w:val="zh-CN"/>
              </w:rPr>
              <w:t>，满分</w:t>
            </w:r>
            <w:r>
              <w:rPr>
                <w:rFonts w:hint="eastAsia" w:ascii="仿宋_GB2312" w:hAnsi="仿宋_GB2312" w:eastAsia="仿宋_GB2312" w:cs="仿宋_GB2312"/>
                <w:kern w:val="0"/>
                <w:sz w:val="24"/>
                <w:szCs w:val="24"/>
                <w:highlight w:val="none"/>
                <w:lang w:val="en-US" w:eastAsia="zh-CN"/>
              </w:rPr>
              <w:t>9分</w:t>
            </w:r>
            <w:r>
              <w:rPr>
                <w:rFonts w:hint="eastAsia" w:ascii="仿宋_GB2312" w:hAnsi="仿宋_GB2312" w:eastAsia="仿宋_GB2312" w:cs="仿宋_GB2312"/>
                <w:kern w:val="0"/>
                <w:sz w:val="24"/>
                <w:szCs w:val="24"/>
                <w:highlight w:val="none"/>
                <w:lang w:val="zh-CN"/>
              </w:rPr>
              <w:t>。</w:t>
            </w:r>
          </w:p>
          <w:p>
            <w:pPr>
              <w:widowControl/>
              <w:spacing w:line="300" w:lineRule="atLeast"/>
              <w:jc w:val="left"/>
              <w:rPr>
                <w:rFonts w:hint="eastAsia" w:ascii="仿宋_GB2312" w:hAnsi="仿宋_GB2312" w:eastAsia="仿宋_GB2312" w:cs="仿宋_GB2312"/>
                <w:b/>
                <w:bCs/>
                <w:kern w:val="0"/>
                <w:sz w:val="24"/>
                <w:szCs w:val="24"/>
                <w:lang w:val="sq-AL"/>
              </w:rPr>
            </w:pPr>
            <w:r>
              <w:rPr>
                <w:rFonts w:hint="eastAsia" w:ascii="仿宋_GB2312" w:hAnsi="仿宋_GB2312" w:eastAsia="仿宋_GB2312" w:cs="仿宋_GB2312"/>
                <w:b/>
                <w:bCs/>
                <w:kern w:val="0"/>
                <w:sz w:val="24"/>
                <w:szCs w:val="24"/>
                <w:lang w:val="sq-AL"/>
              </w:rPr>
              <w:t>2.证明文件：</w:t>
            </w:r>
          </w:p>
          <w:p>
            <w:pPr>
              <w:pStyle w:val="2"/>
              <w:spacing w:line="300" w:lineRule="atLeast"/>
              <w:jc w:val="left"/>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kern w:val="0"/>
                <w:szCs w:val="24"/>
              </w:rPr>
              <w:t>投标人须提供有效期内的证书复印件，加盖投标人公章。未按要求提供有效证明材料或提供不清晰导致</w:t>
            </w:r>
            <w:r>
              <w:rPr>
                <w:rFonts w:hint="eastAsia" w:ascii="仿宋_GB2312" w:hAnsi="仿宋_GB2312" w:eastAsia="仿宋_GB2312" w:cs="仿宋_GB2312"/>
                <w:b w:val="0"/>
                <w:bCs w:val="0"/>
                <w:kern w:val="0"/>
                <w:szCs w:val="24"/>
                <w:lang w:eastAsia="zh-CN"/>
              </w:rPr>
              <w:t>采购小组</w:t>
            </w:r>
            <w:r>
              <w:rPr>
                <w:rFonts w:hint="eastAsia" w:ascii="仿宋_GB2312" w:hAnsi="仿宋_GB2312" w:eastAsia="仿宋_GB2312" w:cs="仿宋_GB2312"/>
                <w:b w:val="0"/>
                <w:bCs w:val="0"/>
                <w:kern w:val="0"/>
                <w:szCs w:val="24"/>
              </w:rPr>
              <w:t>无法识别的不计得分。</w:t>
            </w:r>
          </w:p>
        </w:tc>
        <w:tc>
          <w:tcPr>
            <w:tcW w:w="707" w:type="dxa"/>
            <w:vAlign w:val="center"/>
          </w:tcPr>
          <w:p>
            <w:pPr>
              <w:spacing w:line="300" w:lineRule="atLeast"/>
              <w:jc w:val="center"/>
              <w:rPr>
                <w:rFonts w:hint="eastAsia" w:ascii="仿宋" w:hAnsi="仿宋" w:eastAsia="仿宋" w:cs="仿宋"/>
                <w:b w:val="0"/>
                <w:bCs w:val="0"/>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16" w:type="dxa"/>
            <w:vAlign w:val="center"/>
          </w:tcPr>
          <w:p>
            <w:pPr>
              <w:spacing w:line="300" w:lineRule="atLeast"/>
              <w:jc w:val="center"/>
              <w:rPr>
                <w:rFonts w:hint="eastAsia" w:ascii="仿宋_GB2312" w:hAnsi="仿宋_GB2312" w:eastAsia="仿宋_GB2312" w:cs="仿宋_GB2312"/>
                <w:b w:val="0"/>
                <w:bCs w:val="0"/>
                <w:color w:val="000000"/>
                <w:sz w:val="24"/>
                <w:szCs w:val="24"/>
                <w:highlight w:val="yellow"/>
                <w:lang w:val="en-US" w:eastAsia="zh-CN"/>
              </w:rPr>
            </w:pPr>
            <w:r>
              <w:rPr>
                <w:rFonts w:hint="eastAsia" w:ascii="仿宋_GB2312" w:hAnsi="仿宋_GB2312" w:eastAsia="仿宋_GB2312" w:cs="仿宋_GB2312"/>
                <w:b w:val="0"/>
                <w:bCs w:val="0"/>
                <w:color w:val="000000"/>
                <w:sz w:val="24"/>
                <w:szCs w:val="24"/>
                <w:highlight w:val="none"/>
                <w:lang w:val="en-US" w:eastAsia="zh-CN"/>
              </w:rPr>
              <w:t>4</w:t>
            </w:r>
          </w:p>
        </w:tc>
        <w:tc>
          <w:tcPr>
            <w:tcW w:w="1523" w:type="dxa"/>
            <w:vAlign w:val="center"/>
          </w:tcPr>
          <w:p>
            <w:pPr>
              <w:spacing w:line="300" w:lineRule="atLeast"/>
              <w:jc w:val="center"/>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sz w:val="24"/>
                <w:szCs w:val="24"/>
                <w:highlight w:val="none"/>
                <w:lang w:val="zh-CN"/>
              </w:rPr>
              <w:t>社会组织研究成果</w:t>
            </w:r>
          </w:p>
        </w:tc>
        <w:tc>
          <w:tcPr>
            <w:tcW w:w="676" w:type="dxa"/>
            <w:vAlign w:val="center"/>
          </w:tcPr>
          <w:p>
            <w:pPr>
              <w:autoSpaceDE w:val="0"/>
              <w:autoSpaceDN w:val="0"/>
              <w:adjustRightInd w:val="0"/>
              <w:spacing w:line="300" w:lineRule="atLeast"/>
              <w:jc w:val="center"/>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kern w:val="0"/>
                <w:sz w:val="24"/>
                <w:szCs w:val="24"/>
                <w:highlight w:val="none"/>
                <w:lang w:val="en-US" w:eastAsia="zh-CN" w:bidi="ar"/>
              </w:rPr>
              <w:t>8</w:t>
            </w:r>
          </w:p>
        </w:tc>
        <w:tc>
          <w:tcPr>
            <w:tcW w:w="1143" w:type="dxa"/>
            <w:vAlign w:val="center"/>
          </w:tcPr>
          <w:p>
            <w:pPr>
              <w:spacing w:line="300" w:lineRule="atLeast"/>
              <w:jc w:val="center"/>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sz w:val="24"/>
                <w:szCs w:val="24"/>
                <w:highlight w:val="none"/>
                <w:lang w:val="en-US" w:eastAsia="zh-CN"/>
              </w:rPr>
              <w:t>采购小组打分</w:t>
            </w:r>
          </w:p>
        </w:tc>
        <w:tc>
          <w:tcPr>
            <w:tcW w:w="4635" w:type="dxa"/>
            <w:vAlign w:val="center"/>
          </w:tcPr>
          <w:p>
            <w:pPr>
              <w:widowControl/>
              <w:adjustRightInd/>
              <w:snapToGrid/>
              <w:spacing w:after="0" w:afterLines="0" w:line="300" w:lineRule="atLeast"/>
              <w:jc w:val="left"/>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1.评审标准：</w:t>
            </w:r>
          </w:p>
          <w:p>
            <w:pPr>
              <w:widowControl/>
              <w:adjustRightInd/>
              <w:snapToGrid/>
              <w:spacing w:after="0" w:afterLines="0" w:line="300" w:lineRule="atLeast"/>
              <w:jc w:val="left"/>
              <w:rPr>
                <w:rFonts w:hint="eastAsia" w:ascii="仿宋_GB2312" w:hAnsi="仿宋_GB2312" w:eastAsia="仿宋_GB2312" w:cs="仿宋_GB2312"/>
                <w:b w:val="0"/>
                <w:bCs w:val="0"/>
                <w:kern w:val="0"/>
                <w:sz w:val="24"/>
                <w:szCs w:val="24"/>
                <w:highlight w:val="none"/>
                <w:lang w:eastAsia="zh-CN"/>
              </w:rPr>
            </w:pPr>
            <w:r>
              <w:rPr>
                <w:rFonts w:hint="eastAsia" w:ascii="仿宋_GB2312" w:hAnsi="仿宋_GB2312" w:eastAsia="仿宋_GB2312" w:cs="仿宋_GB2312"/>
                <w:b w:val="0"/>
                <w:bCs w:val="0"/>
                <w:kern w:val="0"/>
                <w:sz w:val="24"/>
                <w:szCs w:val="24"/>
                <w:highlight w:val="none"/>
                <w:lang w:eastAsia="zh-CN"/>
              </w:rPr>
              <w:t>2</w:t>
            </w:r>
            <w:r>
              <w:rPr>
                <w:rFonts w:hint="eastAsia" w:ascii="仿宋_GB2312" w:hAnsi="仿宋_GB2312" w:eastAsia="仿宋_GB2312" w:cs="仿宋_GB2312"/>
                <w:b w:val="0"/>
                <w:bCs w:val="0"/>
                <w:kern w:val="0"/>
                <w:sz w:val="24"/>
                <w:szCs w:val="24"/>
                <w:highlight w:val="none"/>
                <w:lang w:val="en-US" w:eastAsia="zh-CN"/>
              </w:rPr>
              <w:t>020</w:t>
            </w:r>
            <w:r>
              <w:rPr>
                <w:rFonts w:hint="eastAsia" w:ascii="仿宋_GB2312" w:hAnsi="仿宋_GB2312" w:eastAsia="仿宋_GB2312" w:cs="仿宋_GB2312"/>
                <w:b w:val="0"/>
                <w:bCs w:val="0"/>
                <w:kern w:val="0"/>
                <w:sz w:val="24"/>
                <w:szCs w:val="24"/>
                <w:highlight w:val="none"/>
              </w:rPr>
              <w:t>年1月1日至本项目投标截止时间，投标人或投标人所属员工个人</w:t>
            </w:r>
            <w:r>
              <w:rPr>
                <w:rFonts w:hint="eastAsia" w:ascii="仿宋_GB2312" w:hAnsi="仿宋_GB2312" w:eastAsia="仿宋_GB2312" w:cs="仿宋_GB2312"/>
                <w:b w:val="0"/>
                <w:bCs w:val="0"/>
                <w:kern w:val="0"/>
                <w:sz w:val="24"/>
                <w:szCs w:val="24"/>
                <w:highlight w:val="none"/>
                <w:lang w:eastAsia="zh-CN"/>
              </w:rPr>
              <w:t>，</w:t>
            </w:r>
            <w:r>
              <w:rPr>
                <w:rFonts w:hint="eastAsia" w:ascii="仿宋_GB2312" w:hAnsi="仿宋_GB2312" w:eastAsia="仿宋_GB2312" w:cs="仿宋_GB2312"/>
                <w:b w:val="0"/>
                <w:bCs w:val="0"/>
                <w:kern w:val="0"/>
                <w:sz w:val="24"/>
                <w:szCs w:val="24"/>
                <w:highlight w:val="none"/>
              </w:rPr>
              <w:t>在期刊上发表过残障领域社会工作服务相关文章</w:t>
            </w:r>
            <w:r>
              <w:rPr>
                <w:rFonts w:hint="eastAsia" w:ascii="仿宋_GB2312" w:hAnsi="仿宋_GB2312" w:eastAsia="仿宋_GB2312" w:cs="仿宋_GB2312"/>
                <w:b w:val="0"/>
                <w:bCs w:val="0"/>
                <w:kern w:val="0"/>
                <w:sz w:val="24"/>
                <w:szCs w:val="24"/>
                <w:highlight w:val="none"/>
                <w:lang w:eastAsia="zh-CN"/>
              </w:rPr>
              <w:t>：</w:t>
            </w:r>
          </w:p>
          <w:p>
            <w:pPr>
              <w:widowControl/>
              <w:adjustRightInd/>
              <w:snapToGrid/>
              <w:spacing w:after="0" w:afterLines="0" w:line="300" w:lineRule="atLeast"/>
              <w:jc w:val="left"/>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kern w:val="0"/>
                <w:sz w:val="24"/>
                <w:szCs w:val="24"/>
                <w:highlight w:val="none"/>
                <w:lang w:val="en-US" w:eastAsia="zh-CN"/>
              </w:rPr>
              <w:t>（1</w:t>
            </w:r>
            <w:r>
              <w:rPr>
                <w:rFonts w:hint="eastAsia" w:ascii="仿宋_GB2312" w:hAnsi="仿宋_GB2312" w:eastAsia="仿宋_GB2312" w:cs="仿宋_GB2312"/>
                <w:kern w:val="0"/>
                <w:sz w:val="24"/>
                <w:szCs w:val="24"/>
                <w:highlight w:val="none"/>
                <w:lang w:val="zh-CN"/>
              </w:rPr>
              <w:t xml:space="preserve">) </w:t>
            </w:r>
            <w:r>
              <w:rPr>
                <w:rFonts w:hint="eastAsia" w:ascii="仿宋_GB2312" w:hAnsi="仿宋_GB2312" w:eastAsia="仿宋_GB2312" w:cs="仿宋_GB2312"/>
                <w:b w:val="0"/>
                <w:bCs w:val="0"/>
                <w:kern w:val="0"/>
                <w:sz w:val="24"/>
                <w:szCs w:val="24"/>
                <w:highlight w:val="none"/>
                <w:lang w:val="en-US" w:eastAsia="zh-CN"/>
              </w:rPr>
              <w:t>国家级，每篇得2分</w:t>
            </w:r>
            <w:r>
              <w:rPr>
                <w:rFonts w:hint="eastAsia" w:ascii="仿宋_GB2312" w:hAnsi="仿宋_GB2312" w:eastAsia="仿宋_GB2312" w:cs="仿宋_GB2312"/>
                <w:b w:val="0"/>
                <w:bCs w:val="0"/>
                <w:kern w:val="0"/>
                <w:sz w:val="24"/>
                <w:szCs w:val="24"/>
                <w:highlight w:val="none"/>
                <w:lang w:eastAsia="zh-CN"/>
              </w:rPr>
              <w:t>；</w:t>
            </w:r>
          </w:p>
          <w:p>
            <w:pPr>
              <w:widowControl/>
              <w:adjustRightInd/>
              <w:snapToGrid/>
              <w:spacing w:after="0" w:afterLines="0" w:line="300" w:lineRule="atLeast"/>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w:t>
            </w:r>
            <w:r>
              <w:rPr>
                <w:rFonts w:hint="eastAsia" w:ascii="仿宋_GB2312" w:hAnsi="仿宋_GB2312" w:eastAsia="仿宋_GB2312" w:cs="仿宋_GB2312"/>
                <w:kern w:val="0"/>
                <w:sz w:val="24"/>
                <w:szCs w:val="24"/>
                <w:highlight w:val="none"/>
                <w:lang w:val="zh-CN"/>
              </w:rPr>
              <w:t xml:space="preserve">) </w:t>
            </w:r>
            <w:r>
              <w:rPr>
                <w:rFonts w:hint="eastAsia" w:ascii="仿宋_GB2312" w:hAnsi="仿宋_GB2312" w:eastAsia="仿宋_GB2312" w:cs="仿宋_GB2312"/>
                <w:kern w:val="0"/>
                <w:sz w:val="24"/>
                <w:szCs w:val="24"/>
                <w:highlight w:val="none"/>
                <w:lang w:val="en-US" w:eastAsia="zh-CN"/>
              </w:rPr>
              <w:t>省级，每篇得1分；</w:t>
            </w:r>
          </w:p>
          <w:p>
            <w:pPr>
              <w:widowControl/>
              <w:adjustRightInd/>
              <w:snapToGrid/>
              <w:spacing w:after="0" w:afterLines="0" w:line="300" w:lineRule="atLeast"/>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zh-CN"/>
              </w:rPr>
              <w:t xml:space="preserve">) </w:t>
            </w:r>
            <w:r>
              <w:rPr>
                <w:rFonts w:hint="eastAsia" w:ascii="仿宋_GB2312" w:hAnsi="仿宋_GB2312" w:eastAsia="仿宋_GB2312" w:cs="仿宋_GB2312"/>
                <w:kern w:val="0"/>
                <w:sz w:val="24"/>
                <w:szCs w:val="24"/>
                <w:highlight w:val="none"/>
                <w:lang w:val="en-US" w:eastAsia="zh-CN"/>
              </w:rPr>
              <w:t>市级，每篇得0.5分；</w:t>
            </w:r>
          </w:p>
          <w:p>
            <w:pPr>
              <w:widowControl/>
              <w:adjustRightInd/>
              <w:snapToGrid/>
              <w:spacing w:after="0" w:afterLines="0" w:line="300" w:lineRule="atLeast"/>
              <w:jc w:val="left"/>
              <w:rPr>
                <w:rFonts w:hint="eastAsia" w:ascii="仿宋_GB2312" w:hAnsi="仿宋_GB2312" w:eastAsia="仿宋_GB2312" w:cs="仿宋_GB2312"/>
                <w:kern w:val="0"/>
                <w:sz w:val="24"/>
                <w:szCs w:val="24"/>
                <w:highlight w:val="none"/>
                <w:lang w:val="en-US"/>
              </w:rPr>
            </w:pPr>
            <w:r>
              <w:rPr>
                <w:rFonts w:hint="eastAsia" w:ascii="仿宋_GB2312" w:hAnsi="仿宋_GB2312" w:eastAsia="仿宋_GB2312" w:cs="仿宋_GB2312"/>
                <w:kern w:val="0"/>
                <w:sz w:val="24"/>
                <w:szCs w:val="24"/>
                <w:highlight w:val="none"/>
                <w:lang w:val="en-US" w:eastAsia="zh-CN"/>
              </w:rPr>
              <w:t>（4</w:t>
            </w:r>
            <w:r>
              <w:rPr>
                <w:rFonts w:hint="eastAsia" w:ascii="仿宋_GB2312" w:hAnsi="仿宋_GB2312" w:eastAsia="仿宋_GB2312" w:cs="仿宋_GB2312"/>
                <w:kern w:val="0"/>
                <w:sz w:val="24"/>
                <w:szCs w:val="24"/>
                <w:highlight w:val="none"/>
                <w:lang w:val="zh-CN"/>
              </w:rPr>
              <w:t>)</w:t>
            </w:r>
            <w:r>
              <w:rPr>
                <w:rFonts w:hint="eastAsia" w:ascii="仿宋_GB2312" w:hAnsi="仿宋_GB2312" w:eastAsia="仿宋_GB2312" w:cs="仿宋_GB2312"/>
                <w:kern w:val="0"/>
                <w:sz w:val="24"/>
                <w:szCs w:val="24"/>
                <w:highlight w:val="none"/>
                <w:lang w:val="en-US" w:eastAsia="zh-CN"/>
              </w:rPr>
              <w:t xml:space="preserve"> 以上</w:t>
            </w:r>
            <w:r>
              <w:rPr>
                <w:rFonts w:hint="eastAsia" w:ascii="仿宋_GB2312" w:hAnsi="仿宋_GB2312" w:eastAsia="仿宋_GB2312" w:cs="仿宋_GB2312"/>
                <w:kern w:val="0"/>
                <w:sz w:val="24"/>
                <w:szCs w:val="24"/>
                <w:highlight w:val="none"/>
              </w:rPr>
              <w:t>累计最高分不超过</w:t>
            </w:r>
            <w:r>
              <w:rPr>
                <w:rFonts w:hint="eastAsia" w:ascii="仿宋_GB2312" w:hAnsi="仿宋_GB2312" w:eastAsia="仿宋_GB2312" w:cs="仿宋_GB2312"/>
                <w:kern w:val="0"/>
                <w:sz w:val="24"/>
                <w:szCs w:val="24"/>
                <w:highlight w:val="none"/>
                <w:lang w:val="en-US" w:eastAsia="zh-CN"/>
              </w:rPr>
              <w:t>8分。</w:t>
            </w:r>
          </w:p>
          <w:p>
            <w:pPr>
              <w:widowControl/>
              <w:adjustRightInd/>
              <w:snapToGrid/>
              <w:spacing w:after="0" w:afterLines="0" w:line="300" w:lineRule="atLeast"/>
              <w:jc w:val="left"/>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2.证明文件：</w:t>
            </w:r>
          </w:p>
          <w:p>
            <w:pPr>
              <w:spacing w:line="300" w:lineRule="atLeast"/>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kern w:val="0"/>
                <w:sz w:val="24"/>
                <w:szCs w:val="24"/>
                <w:highlight w:val="none"/>
              </w:rPr>
              <w:t>须提供相关证明材料</w:t>
            </w:r>
            <w:r>
              <w:rPr>
                <w:rFonts w:hint="eastAsia" w:ascii="仿宋_GB2312" w:hAnsi="仿宋_GB2312" w:eastAsia="仿宋_GB2312" w:cs="仿宋_GB2312"/>
                <w:b w:val="0"/>
                <w:bCs w:val="0"/>
                <w:kern w:val="0"/>
                <w:sz w:val="24"/>
                <w:szCs w:val="24"/>
                <w:highlight w:val="none"/>
                <w:lang w:eastAsia="zh-CN"/>
              </w:rPr>
              <w:t>（</w:t>
            </w:r>
            <w:r>
              <w:rPr>
                <w:rFonts w:hint="eastAsia" w:ascii="仿宋_GB2312" w:hAnsi="仿宋_GB2312" w:eastAsia="仿宋_GB2312" w:cs="仿宋_GB2312"/>
                <w:kern w:val="0"/>
                <w:sz w:val="24"/>
                <w:szCs w:val="24"/>
                <w:highlight w:val="none"/>
              </w:rPr>
              <w:t>须包括但不限于文章发表人、文章发表时间、文章发表内容、期刊封面、期刊号等内容）</w:t>
            </w:r>
            <w:r>
              <w:rPr>
                <w:rFonts w:hint="eastAsia" w:ascii="仿宋_GB2312" w:hAnsi="仿宋_GB2312" w:eastAsia="仿宋_GB2312" w:cs="仿宋_GB2312"/>
                <w:b w:val="0"/>
                <w:bCs w:val="0"/>
                <w:kern w:val="0"/>
                <w:sz w:val="24"/>
                <w:szCs w:val="24"/>
                <w:highlight w:val="none"/>
              </w:rPr>
              <w:t>扫描件或复印件加盖</w:t>
            </w:r>
            <w:r>
              <w:rPr>
                <w:rFonts w:hint="eastAsia" w:ascii="仿宋_GB2312" w:hAnsi="仿宋_GB2312" w:eastAsia="仿宋_GB2312" w:cs="仿宋_GB2312"/>
                <w:b w:val="0"/>
                <w:bCs w:val="0"/>
                <w:kern w:val="0"/>
                <w:sz w:val="24"/>
                <w:szCs w:val="24"/>
                <w:highlight w:val="none"/>
                <w:lang w:val="en-US" w:eastAsia="zh-CN"/>
              </w:rPr>
              <w:t>公章</w:t>
            </w:r>
            <w:r>
              <w:rPr>
                <w:rFonts w:hint="eastAsia" w:ascii="仿宋_GB2312" w:hAnsi="仿宋_GB2312" w:eastAsia="仿宋_GB2312" w:cs="仿宋_GB2312"/>
                <w:b w:val="0"/>
                <w:bCs w:val="0"/>
                <w:kern w:val="0"/>
                <w:sz w:val="24"/>
                <w:szCs w:val="24"/>
                <w:highlight w:val="none"/>
              </w:rPr>
              <w:t>，</w:t>
            </w:r>
            <w:r>
              <w:rPr>
                <w:rFonts w:hint="eastAsia" w:ascii="仿宋_GB2312" w:hAnsi="仿宋_GB2312" w:eastAsia="仿宋_GB2312" w:cs="仿宋_GB2312"/>
                <w:b w:val="0"/>
                <w:bCs w:val="0"/>
                <w:kern w:val="0"/>
                <w:sz w:val="24"/>
                <w:szCs w:val="24"/>
                <w:highlight w:val="none"/>
                <w:lang w:val="en-US" w:eastAsia="zh-CN"/>
              </w:rPr>
              <w:t>若为投标人所属员工个人</w:t>
            </w:r>
            <w:r>
              <w:rPr>
                <w:rFonts w:hint="eastAsia" w:ascii="仿宋_GB2312" w:hAnsi="仿宋_GB2312" w:eastAsia="仿宋_GB2312" w:cs="仿宋_GB2312"/>
                <w:b w:val="0"/>
                <w:bCs w:val="0"/>
                <w:kern w:val="0"/>
                <w:sz w:val="24"/>
                <w:szCs w:val="24"/>
                <w:highlight w:val="none"/>
              </w:rPr>
              <w:t>需同时提供该文章至少1名员工在文章发表当月在投标人单位缴纳的社保证明材料（网上打印加盖社保（或税务）部门公章）扫描件或复印件加盖投标人公章，原件备查。未按要求提供相关材料或提供的资料不清晰导致无法识别的不得分。</w:t>
            </w:r>
          </w:p>
        </w:tc>
        <w:tc>
          <w:tcPr>
            <w:tcW w:w="707" w:type="dxa"/>
            <w:vAlign w:val="center"/>
          </w:tcPr>
          <w:p>
            <w:pPr>
              <w:spacing w:line="300" w:lineRule="atLeast"/>
              <w:jc w:val="center"/>
              <w:rPr>
                <w:rFonts w:hint="eastAsia" w:ascii="仿宋" w:hAnsi="仿宋" w:eastAsia="仿宋" w:cs="仿宋"/>
                <w:b w:val="0"/>
                <w:bCs w:val="0"/>
                <w:color w:val="000000"/>
                <w:kern w:val="0"/>
                <w:sz w:val="24"/>
                <w:szCs w:val="24"/>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16" w:type="dxa"/>
            <w:vAlign w:val="center"/>
          </w:tcPr>
          <w:p>
            <w:pPr>
              <w:keepNext w:val="0"/>
              <w:keepLines w:val="0"/>
              <w:pageBreakBefore w:val="0"/>
              <w:widowControl/>
              <w:kinsoku/>
              <w:wordWrap/>
              <w:overflowPunct/>
              <w:topLinePunct w:val="0"/>
              <w:bidi w:val="0"/>
              <w:snapToGrid/>
              <w:spacing w:afterLines="0" w:line="300" w:lineRule="atLeast"/>
              <w:jc w:val="center"/>
              <w:textAlignment w:val="auto"/>
              <w:rPr>
                <w:rFonts w:hint="eastAsia" w:ascii="仿宋_GB2312" w:hAnsi="仿宋_GB2312" w:eastAsia="仿宋_GB2312" w:cs="仿宋_GB2312"/>
                <w:b w:val="0"/>
                <w:bCs w:val="0"/>
                <w:color w:val="000000"/>
                <w:kern w:val="0"/>
                <w:sz w:val="24"/>
                <w:szCs w:val="24"/>
                <w:highlight w:val="none"/>
                <w:lang w:val="zh-CN" w:eastAsia="zh-CN" w:bidi="ar"/>
              </w:rPr>
            </w:pPr>
            <w:r>
              <w:rPr>
                <w:rFonts w:hint="eastAsia" w:ascii="仿宋_GB2312" w:hAnsi="仿宋_GB2312" w:eastAsia="仿宋_GB2312" w:cs="仿宋_GB2312"/>
                <w:b w:val="0"/>
                <w:bCs w:val="0"/>
                <w:color w:val="000000"/>
                <w:kern w:val="0"/>
                <w:sz w:val="24"/>
                <w:szCs w:val="24"/>
                <w:highlight w:val="none"/>
                <w:lang w:val="zh-CN" w:eastAsia="zh-CN" w:bidi="ar"/>
              </w:rPr>
              <w:t>5</w:t>
            </w:r>
          </w:p>
        </w:tc>
        <w:tc>
          <w:tcPr>
            <w:tcW w:w="1523" w:type="dxa"/>
            <w:vAlign w:val="center"/>
          </w:tcPr>
          <w:p>
            <w:pPr>
              <w:widowControl/>
              <w:wordWrap/>
              <w:spacing w:line="300" w:lineRule="atLeast"/>
              <w:jc w:val="center"/>
              <w:rPr>
                <w:rFonts w:hint="eastAsia" w:ascii="仿宋_GB2312" w:hAnsi="仿宋_GB2312" w:eastAsia="仿宋_GB2312" w:cs="仿宋_GB2312"/>
                <w:b w:val="0"/>
                <w:bCs w:val="0"/>
                <w:color w:val="000000"/>
                <w:kern w:val="0"/>
                <w:sz w:val="24"/>
                <w:szCs w:val="24"/>
                <w:lang w:val="zh-CN" w:eastAsia="zh-CN" w:bidi="ar"/>
              </w:rPr>
            </w:pPr>
            <w:r>
              <w:rPr>
                <w:rFonts w:hint="eastAsia" w:ascii="仿宋_GB2312" w:hAnsi="仿宋_GB2312" w:eastAsia="仿宋_GB2312" w:cs="仿宋_GB2312"/>
                <w:color w:val="000000"/>
                <w:kern w:val="0"/>
                <w:sz w:val="24"/>
                <w:szCs w:val="24"/>
                <w:lang w:val="zh-CN" w:bidi="ar"/>
              </w:rPr>
              <w:t>同类项目业绩</w:t>
            </w:r>
          </w:p>
        </w:tc>
        <w:tc>
          <w:tcPr>
            <w:tcW w:w="676" w:type="dxa"/>
            <w:vAlign w:val="center"/>
          </w:tcPr>
          <w:p>
            <w:pPr>
              <w:widowControl/>
              <w:spacing w:line="300" w:lineRule="atLeast"/>
              <w:jc w:val="center"/>
              <w:rPr>
                <w:rFonts w:hint="eastAsia" w:ascii="仿宋_GB2312" w:hAnsi="仿宋_GB2312" w:eastAsia="仿宋_GB2312" w:cs="仿宋_GB2312"/>
                <w:b w:val="0"/>
                <w:bCs w:val="0"/>
                <w:color w:val="000000"/>
                <w:kern w:val="0"/>
                <w:sz w:val="24"/>
                <w:szCs w:val="24"/>
                <w:lang w:val="zh-CN" w:eastAsia="zh-CN" w:bidi="ar"/>
              </w:rPr>
            </w:pPr>
            <w:r>
              <w:rPr>
                <w:rFonts w:hint="eastAsia" w:ascii="仿宋_GB2312" w:hAnsi="仿宋_GB2312" w:eastAsia="仿宋_GB2312" w:cs="仿宋_GB2312"/>
                <w:b w:val="0"/>
                <w:bCs w:val="0"/>
                <w:color w:val="000000"/>
                <w:kern w:val="0"/>
                <w:sz w:val="24"/>
                <w:szCs w:val="24"/>
                <w:lang w:val="zh-CN" w:eastAsia="zh-CN" w:bidi="ar"/>
              </w:rPr>
              <w:t>10</w:t>
            </w:r>
          </w:p>
        </w:tc>
        <w:tc>
          <w:tcPr>
            <w:tcW w:w="1143" w:type="dxa"/>
            <w:vAlign w:val="center"/>
          </w:tcPr>
          <w:p>
            <w:pPr>
              <w:widowControl/>
              <w:spacing w:line="300" w:lineRule="atLeast"/>
              <w:jc w:val="center"/>
              <w:rPr>
                <w:rFonts w:hint="eastAsia" w:ascii="仿宋_GB2312" w:hAnsi="仿宋_GB2312" w:eastAsia="仿宋_GB2312" w:cs="仿宋_GB2312"/>
                <w:b w:val="0"/>
                <w:bCs w:val="0"/>
                <w:color w:val="000000"/>
                <w:kern w:val="0"/>
                <w:sz w:val="24"/>
                <w:szCs w:val="24"/>
                <w:lang w:val="zh-CN" w:eastAsia="zh-CN" w:bidi="ar"/>
              </w:rPr>
            </w:pPr>
            <w:r>
              <w:rPr>
                <w:rFonts w:hint="eastAsia" w:ascii="仿宋_GB2312" w:hAnsi="仿宋_GB2312" w:eastAsia="仿宋_GB2312" w:cs="仿宋_GB2312"/>
                <w:b w:val="0"/>
                <w:bCs w:val="0"/>
                <w:color w:val="000000"/>
                <w:kern w:val="0"/>
                <w:sz w:val="24"/>
                <w:szCs w:val="24"/>
                <w:lang w:val="zh-CN" w:eastAsia="zh-CN" w:bidi="ar"/>
              </w:rPr>
              <w:t>采购小组打分</w:t>
            </w:r>
          </w:p>
        </w:tc>
        <w:tc>
          <w:tcPr>
            <w:tcW w:w="4635" w:type="dxa"/>
            <w:vAlign w:val="center"/>
          </w:tcPr>
          <w:p>
            <w:pPr>
              <w:spacing w:line="300" w:lineRule="atLeast"/>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1.评审标准：</w:t>
            </w:r>
          </w:p>
          <w:p>
            <w:pPr>
              <w:spacing w:line="300" w:lineRule="atLeast"/>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rPr>
              <w:t>自20</w:t>
            </w:r>
            <w:r>
              <w:rPr>
                <w:rFonts w:hint="eastAsia" w:ascii="仿宋_GB2312" w:hAnsi="仿宋_GB2312" w:eastAsia="仿宋_GB2312" w:cs="仿宋_GB2312"/>
                <w:b w:val="0"/>
                <w:bCs w:val="0"/>
                <w:kern w:val="0"/>
                <w:sz w:val="24"/>
                <w:szCs w:val="24"/>
                <w:highlight w:val="none"/>
                <w:lang w:eastAsia="zh-CN"/>
              </w:rPr>
              <w:t>2</w:t>
            </w:r>
            <w:r>
              <w:rPr>
                <w:rFonts w:hint="eastAsia" w:ascii="仿宋_GB2312" w:hAnsi="仿宋_GB2312" w:eastAsia="仿宋_GB2312" w:cs="仿宋_GB2312"/>
                <w:b w:val="0"/>
                <w:bCs w:val="0"/>
                <w:kern w:val="0"/>
                <w:sz w:val="24"/>
                <w:szCs w:val="24"/>
                <w:highlight w:val="none"/>
                <w:lang w:val="en-US" w:eastAsia="zh-CN"/>
              </w:rPr>
              <w:t>0</w:t>
            </w:r>
            <w:r>
              <w:rPr>
                <w:rFonts w:hint="eastAsia" w:ascii="仿宋_GB2312" w:hAnsi="仿宋_GB2312" w:eastAsia="仿宋_GB2312" w:cs="仿宋_GB2312"/>
                <w:b w:val="0"/>
                <w:bCs w:val="0"/>
                <w:kern w:val="0"/>
                <w:sz w:val="24"/>
                <w:szCs w:val="24"/>
                <w:highlight w:val="none"/>
              </w:rPr>
              <w:t>年1月1日至投标截止日期（具体以签订合同日期为准），具有同类（残障）</w:t>
            </w:r>
            <w:r>
              <w:rPr>
                <w:rFonts w:hint="eastAsia" w:ascii="仿宋_GB2312" w:hAnsi="仿宋_GB2312" w:eastAsia="仿宋_GB2312" w:cs="仿宋_GB2312"/>
                <w:b w:val="0"/>
                <w:bCs w:val="0"/>
                <w:kern w:val="0"/>
                <w:sz w:val="24"/>
                <w:szCs w:val="24"/>
                <w:highlight w:val="none"/>
                <w:lang w:val="en-US" w:eastAsia="zh-CN"/>
              </w:rPr>
              <w:t>社工</w:t>
            </w:r>
            <w:r>
              <w:rPr>
                <w:rFonts w:hint="eastAsia" w:ascii="仿宋_GB2312" w:hAnsi="仿宋_GB2312" w:eastAsia="仿宋_GB2312" w:cs="仿宋_GB2312"/>
                <w:b w:val="0"/>
                <w:bCs w:val="0"/>
                <w:kern w:val="0"/>
                <w:sz w:val="24"/>
                <w:szCs w:val="24"/>
                <w:highlight w:val="none"/>
              </w:rPr>
              <w:t>项目服务经验的，每项得</w:t>
            </w:r>
            <w:r>
              <w:rPr>
                <w:rFonts w:hint="eastAsia" w:ascii="仿宋_GB2312" w:hAnsi="仿宋_GB2312" w:eastAsia="仿宋_GB2312" w:cs="仿宋_GB2312"/>
                <w:b w:val="0"/>
                <w:bCs w:val="0"/>
                <w:kern w:val="0"/>
                <w:sz w:val="24"/>
                <w:szCs w:val="24"/>
                <w:highlight w:val="none"/>
                <w:lang w:val="en-US" w:eastAsia="zh-CN"/>
              </w:rPr>
              <w:t>5分</w:t>
            </w:r>
            <w:r>
              <w:rPr>
                <w:rFonts w:hint="eastAsia" w:ascii="仿宋_GB2312" w:hAnsi="仿宋_GB2312" w:eastAsia="仿宋_GB2312" w:cs="仿宋_GB2312"/>
                <w:b w:val="0"/>
                <w:bCs w:val="0"/>
                <w:kern w:val="0"/>
                <w:sz w:val="24"/>
                <w:szCs w:val="24"/>
                <w:highlight w:val="none"/>
              </w:rPr>
              <w:t>，最高得</w:t>
            </w:r>
            <w:r>
              <w:rPr>
                <w:rFonts w:hint="eastAsia" w:ascii="仿宋_GB2312" w:hAnsi="仿宋_GB2312" w:eastAsia="仿宋_GB2312" w:cs="仿宋_GB2312"/>
                <w:b w:val="0"/>
                <w:bCs w:val="0"/>
                <w:kern w:val="0"/>
                <w:sz w:val="24"/>
                <w:szCs w:val="24"/>
                <w:highlight w:val="none"/>
                <w:lang w:val="en-US" w:eastAsia="zh-CN"/>
              </w:rPr>
              <w:t>10分</w:t>
            </w:r>
            <w:r>
              <w:rPr>
                <w:rFonts w:hint="eastAsia" w:ascii="仿宋_GB2312" w:hAnsi="仿宋_GB2312" w:eastAsia="仿宋_GB2312" w:cs="仿宋_GB2312"/>
                <w:b w:val="0"/>
                <w:bCs w:val="0"/>
                <w:kern w:val="0"/>
                <w:sz w:val="24"/>
                <w:szCs w:val="24"/>
                <w:highlight w:val="none"/>
              </w:rPr>
              <w:t>；无领域相关服务经验的不得分；</w:t>
            </w:r>
          </w:p>
          <w:p>
            <w:pPr>
              <w:spacing w:line="300" w:lineRule="atLeast"/>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rPr>
              <w:t>注：同一服务合同满足多项评分条件的不可重复计分，一年一签的长期服务续签合同只计算一个业绩。</w:t>
            </w:r>
          </w:p>
          <w:p>
            <w:pPr>
              <w:spacing w:line="300" w:lineRule="atLeast"/>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2.证明文件：</w:t>
            </w:r>
          </w:p>
          <w:p>
            <w:pPr>
              <w:spacing w:line="300" w:lineRule="atLeast"/>
              <w:rPr>
                <w:rFonts w:hint="eastAsia" w:ascii="仿宋" w:hAnsi="仿宋" w:eastAsia="仿宋" w:cs="仿宋"/>
                <w:lang w:val="en-US" w:eastAsia="zh-CN"/>
              </w:rPr>
            </w:pPr>
            <w:r>
              <w:rPr>
                <w:rFonts w:hint="eastAsia" w:ascii="仿宋_GB2312" w:hAnsi="仿宋_GB2312" w:eastAsia="仿宋_GB2312" w:cs="仿宋_GB2312"/>
                <w:b w:val="0"/>
                <w:bCs w:val="0"/>
                <w:kern w:val="0"/>
                <w:sz w:val="24"/>
                <w:szCs w:val="24"/>
                <w:highlight w:val="none"/>
                <w:lang w:val="zh-CN"/>
              </w:rPr>
              <w:t>要求提供合同关键页信息及中标通知书（需提供扫描件或复印件，原件备查）作为得分依据。投标人在提供证明资料时要特别注意，证明资料中必须要体现得分要点，以便采购小组判断得分情况。评分中出现无证明资料或采购小组无法凭所提供资料判断是否得分的情况，一律作不得分处理。</w:t>
            </w:r>
          </w:p>
        </w:tc>
        <w:tc>
          <w:tcPr>
            <w:tcW w:w="707" w:type="dxa"/>
            <w:vAlign w:val="center"/>
          </w:tcPr>
          <w:p>
            <w:pPr>
              <w:spacing w:line="300" w:lineRule="atLeast"/>
              <w:jc w:val="center"/>
              <w:rPr>
                <w:rFonts w:hint="eastAsia" w:ascii="仿宋" w:hAnsi="仿宋" w:eastAsia="仿宋" w:cs="仿宋"/>
                <w:b w:val="0"/>
                <w:bCs w:val="0"/>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16" w:type="dxa"/>
            <w:vAlign w:val="center"/>
          </w:tcPr>
          <w:p>
            <w:pPr>
              <w:keepNext w:val="0"/>
              <w:keepLines w:val="0"/>
              <w:pageBreakBefore w:val="0"/>
              <w:widowControl/>
              <w:kinsoku/>
              <w:overflowPunct/>
              <w:topLinePunct w:val="0"/>
              <w:bidi w:val="0"/>
              <w:spacing w:line="300" w:lineRule="atLeast"/>
              <w:ind w:left="0" w:leftChars="0" w:right="0" w:rightChars="0"/>
              <w:jc w:val="center"/>
              <w:textAlignment w:val="auto"/>
              <w:rPr>
                <w:rFonts w:hint="eastAsia" w:ascii="仿宋_GB2312" w:hAnsi="仿宋_GB2312" w:eastAsia="仿宋_GB2312" w:cs="仿宋_GB2312"/>
                <w:b w:val="0"/>
                <w:bCs w:val="0"/>
                <w:color w:val="000000"/>
                <w:kern w:val="0"/>
                <w:sz w:val="24"/>
                <w:szCs w:val="24"/>
                <w:highlight w:val="none"/>
                <w:lang w:val="zh-CN" w:eastAsia="zh-CN" w:bidi="ar"/>
              </w:rPr>
            </w:pPr>
            <w:r>
              <w:rPr>
                <w:rFonts w:hint="eastAsia" w:ascii="仿宋_GB2312" w:hAnsi="仿宋_GB2312" w:eastAsia="仿宋_GB2312" w:cs="仿宋_GB2312"/>
                <w:color w:val="000000"/>
                <w:kern w:val="0"/>
                <w:sz w:val="24"/>
                <w:szCs w:val="24"/>
                <w:highlight w:val="none"/>
                <w:lang w:val="zh-CN" w:eastAsia="zh-CN" w:bidi="ar"/>
              </w:rPr>
              <w:t>6</w:t>
            </w:r>
          </w:p>
        </w:tc>
        <w:tc>
          <w:tcPr>
            <w:tcW w:w="1523" w:type="dxa"/>
            <w:vAlign w:val="center"/>
          </w:tcPr>
          <w:p>
            <w:pPr>
              <w:widowControl/>
              <w:wordWrap/>
              <w:spacing w:line="300" w:lineRule="atLeast"/>
              <w:jc w:val="center"/>
              <w:rPr>
                <w:rFonts w:hint="eastAsia" w:ascii="仿宋_GB2312" w:hAnsi="仿宋_GB2312" w:eastAsia="仿宋_GB2312" w:cs="仿宋_GB2312"/>
                <w:b w:val="0"/>
                <w:bCs w:val="0"/>
                <w:color w:val="000000"/>
                <w:kern w:val="0"/>
                <w:sz w:val="24"/>
                <w:szCs w:val="24"/>
                <w:lang w:val="zh-CN" w:eastAsia="zh-CN" w:bidi="ar"/>
              </w:rPr>
            </w:pPr>
            <w:r>
              <w:rPr>
                <w:rFonts w:hint="eastAsia" w:ascii="仿宋_GB2312" w:hAnsi="仿宋_GB2312" w:eastAsia="仿宋_GB2312" w:cs="仿宋_GB2312"/>
                <w:color w:val="000000"/>
                <w:kern w:val="0"/>
                <w:sz w:val="24"/>
                <w:szCs w:val="24"/>
                <w:lang w:val="zh-CN" w:bidi="ar"/>
              </w:rPr>
              <w:t>履约评价</w:t>
            </w:r>
          </w:p>
        </w:tc>
        <w:tc>
          <w:tcPr>
            <w:tcW w:w="676" w:type="dxa"/>
            <w:vAlign w:val="center"/>
          </w:tcPr>
          <w:p>
            <w:pPr>
              <w:keepNext w:val="0"/>
              <w:keepLines w:val="0"/>
              <w:pageBreakBefore w:val="0"/>
              <w:widowControl/>
              <w:kinsoku/>
              <w:wordWrap/>
              <w:overflowPunct/>
              <w:topLinePunct w:val="0"/>
              <w:bidi w:val="0"/>
              <w:snapToGrid/>
              <w:spacing w:line="300" w:lineRule="atLeast"/>
              <w:ind w:left="0" w:leftChars="0" w:right="0" w:rightChars="0"/>
              <w:jc w:val="center"/>
              <w:textAlignment w:val="auto"/>
              <w:rPr>
                <w:rFonts w:hint="eastAsia" w:ascii="仿宋_GB2312" w:hAnsi="仿宋_GB2312" w:eastAsia="仿宋_GB2312" w:cs="仿宋_GB2312"/>
                <w:b w:val="0"/>
                <w:bCs w:val="0"/>
                <w:color w:val="000000"/>
                <w:kern w:val="0"/>
                <w:sz w:val="24"/>
                <w:szCs w:val="24"/>
                <w:lang w:val="zh-CN" w:eastAsia="zh-CN" w:bidi="ar"/>
              </w:rPr>
            </w:pPr>
            <w:r>
              <w:rPr>
                <w:rFonts w:hint="eastAsia" w:ascii="仿宋_GB2312" w:hAnsi="仿宋_GB2312" w:eastAsia="仿宋_GB2312" w:cs="仿宋_GB2312"/>
                <w:color w:val="000000"/>
                <w:kern w:val="0"/>
                <w:sz w:val="24"/>
                <w:szCs w:val="24"/>
                <w:highlight w:val="none"/>
                <w:lang w:val="zh-CN" w:eastAsia="zh-CN" w:bidi="ar"/>
              </w:rPr>
              <w:t>10</w:t>
            </w:r>
          </w:p>
        </w:tc>
        <w:tc>
          <w:tcPr>
            <w:tcW w:w="1143" w:type="dxa"/>
            <w:vAlign w:val="center"/>
          </w:tcPr>
          <w:p>
            <w:pPr>
              <w:keepNext w:val="0"/>
              <w:keepLines w:val="0"/>
              <w:pageBreakBefore w:val="0"/>
              <w:widowControl/>
              <w:kinsoku/>
              <w:overflowPunct/>
              <w:topLinePunct w:val="0"/>
              <w:bidi w:val="0"/>
              <w:spacing w:line="300" w:lineRule="atLeast"/>
              <w:ind w:left="0" w:leftChars="0" w:right="0" w:rightChars="0"/>
              <w:jc w:val="center"/>
              <w:textAlignment w:val="auto"/>
              <w:rPr>
                <w:rFonts w:hint="eastAsia" w:ascii="仿宋_GB2312" w:hAnsi="仿宋_GB2312" w:eastAsia="仿宋_GB2312" w:cs="仿宋_GB2312"/>
                <w:b w:val="0"/>
                <w:bCs w:val="0"/>
                <w:color w:val="000000"/>
                <w:kern w:val="0"/>
                <w:sz w:val="24"/>
                <w:szCs w:val="24"/>
                <w:lang w:val="zh-CN" w:eastAsia="zh-CN" w:bidi="ar"/>
              </w:rPr>
            </w:pPr>
            <w:r>
              <w:rPr>
                <w:rFonts w:hint="eastAsia" w:ascii="仿宋_GB2312" w:hAnsi="仿宋_GB2312" w:eastAsia="仿宋_GB2312" w:cs="仿宋_GB2312"/>
                <w:b w:val="0"/>
                <w:bCs w:val="0"/>
                <w:color w:val="000000"/>
                <w:kern w:val="0"/>
                <w:sz w:val="24"/>
                <w:szCs w:val="24"/>
                <w:lang w:val="zh-CN" w:eastAsia="zh-CN" w:bidi="ar"/>
              </w:rPr>
              <w:t>采购小组打分</w:t>
            </w:r>
          </w:p>
        </w:tc>
        <w:tc>
          <w:tcPr>
            <w:tcW w:w="4635" w:type="dxa"/>
            <w:vAlign w:val="center"/>
          </w:tcPr>
          <w:p>
            <w:pPr>
              <w:spacing w:line="300" w:lineRule="atLeast"/>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1.评审标准：</w:t>
            </w:r>
          </w:p>
          <w:p>
            <w:pPr>
              <w:spacing w:line="300" w:lineRule="atLeast"/>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rPr>
              <w:t>上述经评审有效的</w:t>
            </w:r>
            <w:r>
              <w:rPr>
                <w:rFonts w:hint="eastAsia" w:ascii="仿宋_GB2312" w:hAnsi="仿宋_GB2312" w:eastAsia="仿宋_GB2312" w:cs="仿宋_GB2312"/>
                <w:b w:val="0"/>
                <w:bCs w:val="0"/>
                <w:kern w:val="0"/>
                <w:sz w:val="24"/>
                <w:szCs w:val="24"/>
                <w:highlight w:val="none"/>
                <w:lang w:val="zh-CN"/>
              </w:rPr>
              <w:t>“同</w:t>
            </w:r>
            <w:r>
              <w:rPr>
                <w:rFonts w:hint="eastAsia" w:ascii="仿宋_GB2312" w:hAnsi="仿宋_GB2312" w:eastAsia="仿宋_GB2312" w:cs="仿宋_GB2312"/>
                <w:b w:val="0"/>
                <w:bCs w:val="0"/>
                <w:kern w:val="0"/>
                <w:sz w:val="24"/>
                <w:szCs w:val="24"/>
                <w:highlight w:val="none"/>
              </w:rPr>
              <w:t>类项目业绩”，提供</w:t>
            </w:r>
            <w:r>
              <w:rPr>
                <w:rFonts w:hint="eastAsia" w:ascii="仿宋_GB2312" w:hAnsi="仿宋_GB2312" w:eastAsia="仿宋_GB2312" w:cs="仿宋_GB2312"/>
                <w:b w:val="0"/>
                <w:bCs w:val="0"/>
                <w:kern w:val="0"/>
                <w:sz w:val="24"/>
                <w:szCs w:val="24"/>
                <w:highlight w:val="none"/>
                <w:lang w:eastAsia="zh-CN"/>
              </w:rPr>
              <w:t>采购</w:t>
            </w:r>
            <w:r>
              <w:rPr>
                <w:rFonts w:hint="eastAsia" w:ascii="仿宋_GB2312" w:hAnsi="仿宋_GB2312" w:eastAsia="仿宋_GB2312" w:cs="仿宋_GB2312"/>
                <w:b w:val="0"/>
                <w:bCs w:val="0"/>
                <w:kern w:val="0"/>
                <w:sz w:val="24"/>
                <w:szCs w:val="24"/>
                <w:highlight w:val="none"/>
                <w:lang w:val="en-US" w:eastAsia="zh-CN"/>
              </w:rPr>
              <w:t>单位</w:t>
            </w:r>
            <w:r>
              <w:rPr>
                <w:rFonts w:hint="eastAsia" w:ascii="仿宋_GB2312" w:hAnsi="仿宋_GB2312" w:eastAsia="仿宋_GB2312" w:cs="仿宋_GB2312"/>
                <w:b w:val="0"/>
                <w:bCs w:val="0"/>
                <w:kern w:val="0"/>
                <w:sz w:val="24"/>
                <w:szCs w:val="24"/>
                <w:highlight w:val="none"/>
              </w:rPr>
              <w:t>的履约评价，评价为优或满意的得</w:t>
            </w:r>
            <w:r>
              <w:rPr>
                <w:rFonts w:hint="eastAsia" w:ascii="仿宋_GB2312" w:hAnsi="仿宋_GB2312" w:eastAsia="仿宋_GB2312" w:cs="仿宋_GB2312"/>
                <w:b w:val="0"/>
                <w:bCs w:val="0"/>
                <w:kern w:val="0"/>
                <w:sz w:val="24"/>
                <w:szCs w:val="24"/>
                <w:highlight w:val="none"/>
                <w:lang w:val="en-US" w:eastAsia="zh-CN"/>
              </w:rPr>
              <w:t>5分</w:t>
            </w:r>
            <w:r>
              <w:rPr>
                <w:rFonts w:hint="eastAsia" w:ascii="仿宋_GB2312" w:hAnsi="仿宋_GB2312" w:eastAsia="仿宋_GB2312" w:cs="仿宋_GB2312"/>
                <w:b w:val="0"/>
                <w:bCs w:val="0"/>
                <w:kern w:val="0"/>
                <w:sz w:val="24"/>
                <w:szCs w:val="24"/>
                <w:highlight w:val="none"/>
              </w:rPr>
              <w:t>，最高得</w:t>
            </w:r>
            <w:r>
              <w:rPr>
                <w:rFonts w:hint="eastAsia" w:ascii="仿宋_GB2312" w:hAnsi="仿宋_GB2312" w:eastAsia="仿宋_GB2312" w:cs="仿宋_GB2312"/>
                <w:b w:val="0"/>
                <w:bCs w:val="0"/>
                <w:kern w:val="0"/>
                <w:sz w:val="24"/>
                <w:szCs w:val="24"/>
                <w:highlight w:val="none"/>
                <w:lang w:val="en-US" w:eastAsia="zh-CN"/>
              </w:rPr>
              <w:t>10分</w:t>
            </w:r>
            <w:r>
              <w:rPr>
                <w:rFonts w:hint="eastAsia" w:ascii="仿宋_GB2312" w:hAnsi="仿宋_GB2312" w:eastAsia="仿宋_GB2312" w:cs="仿宋_GB2312"/>
                <w:b w:val="0"/>
                <w:bCs w:val="0"/>
                <w:kern w:val="0"/>
                <w:sz w:val="24"/>
                <w:szCs w:val="24"/>
                <w:highlight w:val="none"/>
              </w:rPr>
              <w:t>。</w:t>
            </w:r>
          </w:p>
          <w:p>
            <w:pPr>
              <w:spacing w:line="300" w:lineRule="atLeast"/>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rPr>
              <w:t>注：同一个服务经验的履约评价按最高评价只计一次分。</w:t>
            </w:r>
          </w:p>
          <w:p>
            <w:pPr>
              <w:spacing w:line="300" w:lineRule="atLeast"/>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2.证明文件：</w:t>
            </w:r>
          </w:p>
          <w:p>
            <w:pPr>
              <w:spacing w:line="300" w:lineRule="atLeast"/>
              <w:rPr>
                <w:rFonts w:hint="eastAsia" w:ascii="仿宋_GB2312" w:hAnsi="仿宋_GB2312" w:eastAsia="仿宋_GB2312" w:cs="仿宋_GB2312"/>
                <w:b w:val="0"/>
                <w:bCs w:val="0"/>
                <w:kern w:val="0"/>
                <w:sz w:val="24"/>
                <w:szCs w:val="24"/>
                <w:highlight w:val="none"/>
                <w:lang w:val="zh-CN"/>
              </w:rPr>
            </w:pPr>
            <w:r>
              <w:rPr>
                <w:rFonts w:hint="eastAsia" w:ascii="仿宋_GB2312" w:hAnsi="仿宋_GB2312" w:eastAsia="仿宋_GB2312" w:cs="仿宋_GB2312"/>
                <w:b w:val="0"/>
                <w:bCs w:val="0"/>
                <w:kern w:val="0"/>
                <w:sz w:val="24"/>
                <w:szCs w:val="24"/>
                <w:highlight w:val="none"/>
                <w:lang w:val="zh-CN"/>
              </w:rPr>
              <w:t>提供加盖采购单位（或采购单位业务部门）公章总体履约评价为“优”或“满意”的履约评价证明文件扫描件或复印件，原件备查。</w:t>
            </w:r>
          </w:p>
          <w:p>
            <w:pPr>
              <w:spacing w:line="300" w:lineRule="atLeast"/>
              <w:rPr>
                <w:rFonts w:hint="eastAsia" w:ascii="仿宋_GB2312" w:hAnsi="仿宋_GB2312" w:eastAsia="仿宋_GB2312" w:cs="仿宋_GB2312"/>
                <w:b w:val="0"/>
                <w:bCs w:val="0"/>
                <w:kern w:val="0"/>
                <w:sz w:val="24"/>
                <w:szCs w:val="24"/>
                <w:highlight w:val="none"/>
                <w:lang w:val="en-US" w:eastAsia="zh-CN"/>
              </w:rPr>
            </w:pPr>
            <w:r>
              <w:rPr>
                <w:rFonts w:hint="eastAsia" w:ascii="仿宋_GB2312" w:hAnsi="仿宋_GB2312" w:eastAsia="仿宋_GB2312" w:cs="仿宋_GB2312"/>
                <w:b w:val="0"/>
                <w:bCs w:val="0"/>
                <w:kern w:val="0"/>
                <w:sz w:val="24"/>
                <w:szCs w:val="24"/>
                <w:highlight w:val="none"/>
                <w:lang w:val="zh-CN"/>
              </w:rPr>
              <w:t>注：如提交的证明材料其评价结果没有结论而仅是打分的（比如打100分、98分等的）不计分。</w:t>
            </w:r>
          </w:p>
        </w:tc>
        <w:tc>
          <w:tcPr>
            <w:tcW w:w="707" w:type="dxa"/>
            <w:vAlign w:val="center"/>
          </w:tcPr>
          <w:p>
            <w:pPr>
              <w:spacing w:line="300" w:lineRule="atLeast"/>
              <w:jc w:val="center"/>
              <w:rPr>
                <w:rFonts w:hint="eastAsia" w:ascii="仿宋" w:hAnsi="仿宋" w:eastAsia="仿宋" w:cs="仿宋"/>
                <w:b w:val="0"/>
                <w:bCs w:val="0"/>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16" w:type="dxa"/>
            <w:vAlign w:val="center"/>
          </w:tcPr>
          <w:p>
            <w:pPr>
              <w:keepNext w:val="0"/>
              <w:keepLines w:val="0"/>
              <w:pageBreakBefore w:val="0"/>
              <w:widowControl/>
              <w:kinsoku/>
              <w:overflowPunct/>
              <w:topLinePunct w:val="0"/>
              <w:bidi w:val="0"/>
              <w:spacing w:line="300" w:lineRule="atLeast"/>
              <w:ind w:left="0" w:leftChars="0" w:right="0" w:rightChars="0"/>
              <w:jc w:val="center"/>
              <w:textAlignment w:val="auto"/>
              <w:rPr>
                <w:rFonts w:hint="eastAsia" w:ascii="仿宋_GB2312" w:hAnsi="仿宋_GB2312" w:eastAsia="仿宋_GB2312" w:cs="仿宋_GB2312"/>
                <w:color w:val="000000"/>
                <w:kern w:val="0"/>
                <w:sz w:val="24"/>
                <w:szCs w:val="24"/>
                <w:highlight w:val="none"/>
                <w:lang w:val="zh-CN" w:eastAsia="zh-CN" w:bidi="ar"/>
              </w:rPr>
            </w:pPr>
            <w:r>
              <w:rPr>
                <w:rFonts w:hint="eastAsia" w:ascii="仿宋_GB2312" w:hAnsi="仿宋_GB2312" w:eastAsia="仿宋_GB2312" w:cs="仿宋_GB2312"/>
                <w:color w:val="000000"/>
                <w:kern w:val="0"/>
                <w:sz w:val="24"/>
                <w:szCs w:val="24"/>
                <w:highlight w:val="none"/>
                <w:lang w:val="zh-CN" w:eastAsia="zh-CN" w:bidi="ar"/>
              </w:rPr>
              <w:t>7</w:t>
            </w:r>
          </w:p>
        </w:tc>
        <w:tc>
          <w:tcPr>
            <w:tcW w:w="1523" w:type="dxa"/>
            <w:vAlign w:val="center"/>
          </w:tcPr>
          <w:p>
            <w:pPr>
              <w:widowControl/>
              <w:wordWrap/>
              <w:spacing w:line="300" w:lineRule="atLeast"/>
              <w:jc w:val="center"/>
              <w:rPr>
                <w:rFonts w:hint="eastAsia" w:ascii="仿宋_GB2312" w:hAnsi="仿宋_GB2312" w:eastAsia="仿宋_GB2312" w:cs="仿宋_GB2312"/>
                <w:color w:val="000000"/>
                <w:kern w:val="0"/>
                <w:sz w:val="24"/>
                <w:szCs w:val="24"/>
                <w:lang w:val="zh-CN" w:eastAsia="zh-CN" w:bidi="ar"/>
              </w:rPr>
            </w:pPr>
            <w:r>
              <w:rPr>
                <w:rFonts w:hint="eastAsia" w:ascii="仿宋_GB2312" w:hAnsi="仿宋_GB2312" w:eastAsia="仿宋_GB2312" w:cs="仿宋_GB2312"/>
                <w:color w:val="000000"/>
                <w:kern w:val="0"/>
                <w:sz w:val="24"/>
                <w:szCs w:val="24"/>
                <w:lang w:val="zh-CN" w:eastAsia="zh-CN" w:bidi="ar"/>
              </w:rPr>
              <w:t>投标人社会工作标准化建设</w:t>
            </w:r>
          </w:p>
        </w:tc>
        <w:tc>
          <w:tcPr>
            <w:tcW w:w="676" w:type="dxa"/>
            <w:vAlign w:val="center"/>
          </w:tcPr>
          <w:p>
            <w:pPr>
              <w:keepNext w:val="0"/>
              <w:keepLines w:val="0"/>
              <w:pageBreakBefore w:val="0"/>
              <w:widowControl/>
              <w:kinsoku/>
              <w:wordWrap/>
              <w:overflowPunct/>
              <w:topLinePunct w:val="0"/>
              <w:bidi w:val="0"/>
              <w:snapToGrid/>
              <w:spacing w:line="300" w:lineRule="atLeast"/>
              <w:ind w:left="0" w:leftChars="0" w:right="0" w:rightChars="0"/>
              <w:jc w:val="center"/>
              <w:textAlignment w:val="auto"/>
              <w:rPr>
                <w:rFonts w:hint="eastAsia" w:ascii="仿宋_GB2312" w:hAnsi="仿宋_GB2312" w:eastAsia="仿宋_GB2312" w:cs="仿宋_GB2312"/>
                <w:color w:val="000000"/>
                <w:kern w:val="0"/>
                <w:sz w:val="24"/>
                <w:szCs w:val="24"/>
                <w:highlight w:val="none"/>
                <w:lang w:val="zh-CN" w:eastAsia="zh-CN" w:bidi="ar"/>
              </w:rPr>
            </w:pPr>
            <w:r>
              <w:rPr>
                <w:rFonts w:hint="eastAsia" w:ascii="仿宋_GB2312" w:hAnsi="仿宋_GB2312" w:eastAsia="仿宋_GB2312" w:cs="仿宋_GB2312"/>
                <w:color w:val="000000"/>
                <w:kern w:val="0"/>
                <w:sz w:val="24"/>
                <w:szCs w:val="24"/>
                <w:highlight w:val="none"/>
                <w:lang w:val="zh-CN" w:eastAsia="zh-CN" w:bidi="ar"/>
              </w:rPr>
              <w:t>5</w:t>
            </w:r>
          </w:p>
        </w:tc>
        <w:tc>
          <w:tcPr>
            <w:tcW w:w="1143" w:type="dxa"/>
            <w:vAlign w:val="center"/>
          </w:tcPr>
          <w:p>
            <w:pPr>
              <w:keepNext w:val="0"/>
              <w:keepLines w:val="0"/>
              <w:pageBreakBefore w:val="0"/>
              <w:widowControl/>
              <w:kinsoku/>
              <w:overflowPunct/>
              <w:topLinePunct w:val="0"/>
              <w:bidi w:val="0"/>
              <w:spacing w:line="300" w:lineRule="atLeast"/>
              <w:ind w:left="0" w:leftChars="0" w:right="0" w:rightChars="0"/>
              <w:jc w:val="center"/>
              <w:textAlignment w:val="auto"/>
              <w:rPr>
                <w:rFonts w:hint="eastAsia" w:ascii="仿宋_GB2312" w:hAnsi="仿宋_GB2312" w:eastAsia="仿宋_GB2312" w:cs="仿宋_GB2312"/>
                <w:b w:val="0"/>
                <w:bCs w:val="0"/>
                <w:color w:val="000000"/>
                <w:kern w:val="0"/>
                <w:sz w:val="24"/>
                <w:szCs w:val="24"/>
                <w:lang w:val="zh-CN" w:eastAsia="zh-CN" w:bidi="ar"/>
              </w:rPr>
            </w:pPr>
            <w:r>
              <w:rPr>
                <w:rFonts w:hint="eastAsia" w:ascii="仿宋_GB2312" w:hAnsi="仿宋_GB2312" w:eastAsia="仿宋_GB2312" w:cs="仿宋_GB2312"/>
                <w:b w:val="0"/>
                <w:bCs w:val="0"/>
                <w:color w:val="000000"/>
                <w:kern w:val="0"/>
                <w:sz w:val="24"/>
                <w:szCs w:val="24"/>
                <w:lang w:val="zh-CN" w:eastAsia="zh-CN" w:bidi="ar"/>
              </w:rPr>
              <w:t>采购小组打分</w:t>
            </w:r>
          </w:p>
        </w:tc>
        <w:tc>
          <w:tcPr>
            <w:tcW w:w="4635" w:type="dxa"/>
            <w:vAlign w:val="center"/>
          </w:tcPr>
          <w:p>
            <w:pPr>
              <w:spacing w:line="300" w:lineRule="atLeast"/>
              <w:rPr>
                <w:rFonts w:hint="eastAsia" w:ascii="仿宋_GB2312" w:hAnsi="仿宋_GB2312" w:eastAsia="仿宋_GB2312" w:cs="仿宋_GB2312"/>
                <w:b/>
                <w:bCs/>
                <w:kern w:val="0"/>
                <w:sz w:val="24"/>
                <w:szCs w:val="24"/>
                <w:highlight w:val="none"/>
                <w:lang w:val="en-US" w:eastAsia="zh-CN"/>
              </w:rPr>
            </w:pPr>
            <w:r>
              <w:rPr>
                <w:rFonts w:hint="eastAsia" w:ascii="仿宋_GB2312" w:hAnsi="仿宋_GB2312" w:eastAsia="仿宋_GB2312" w:cs="仿宋_GB2312"/>
                <w:b/>
                <w:bCs/>
                <w:kern w:val="0"/>
                <w:sz w:val="24"/>
                <w:szCs w:val="24"/>
                <w:highlight w:val="none"/>
                <w:lang w:val="en-US" w:eastAsia="zh-CN"/>
              </w:rPr>
              <w:t>1.评分标准：</w:t>
            </w:r>
          </w:p>
          <w:p>
            <w:pPr>
              <w:spacing w:line="300" w:lineRule="atLeast"/>
              <w:rPr>
                <w:rFonts w:hint="default" w:ascii="仿宋_GB2312" w:hAnsi="仿宋_GB2312" w:eastAsia="仿宋_GB2312" w:cs="仿宋_GB2312"/>
                <w:b w:val="0"/>
                <w:bCs w:val="0"/>
                <w:kern w:val="0"/>
                <w:sz w:val="24"/>
                <w:szCs w:val="24"/>
                <w:highlight w:val="none"/>
                <w:lang w:val="en-US" w:eastAsia="zh-CN"/>
              </w:rPr>
            </w:pPr>
            <w:r>
              <w:rPr>
                <w:rFonts w:hint="default" w:ascii="仿宋_GB2312" w:hAnsi="仿宋_GB2312" w:eastAsia="仿宋_GB2312" w:cs="仿宋_GB2312"/>
                <w:b w:val="0"/>
                <w:bCs w:val="0"/>
                <w:kern w:val="0"/>
                <w:sz w:val="24"/>
                <w:szCs w:val="24"/>
                <w:highlight w:val="none"/>
                <w:lang w:val="en-US" w:eastAsia="zh-CN"/>
              </w:rPr>
              <w:t>投标人被政府部门认定为社会工作服务示范单位或标准化建设试点单位：</w:t>
            </w:r>
          </w:p>
          <w:p>
            <w:pPr>
              <w:spacing w:line="300" w:lineRule="atLeast"/>
              <w:rPr>
                <w:rFonts w:hint="default" w:ascii="仿宋_GB2312" w:hAnsi="仿宋_GB2312" w:eastAsia="仿宋_GB2312" w:cs="仿宋_GB2312"/>
                <w:b w:val="0"/>
                <w:bCs w:val="0"/>
                <w:kern w:val="0"/>
                <w:sz w:val="24"/>
                <w:szCs w:val="24"/>
                <w:highlight w:val="none"/>
                <w:lang w:val="en-US" w:eastAsia="zh-CN"/>
              </w:rPr>
            </w:pPr>
            <w:r>
              <w:rPr>
                <w:rFonts w:hint="eastAsia" w:ascii="仿宋_GB2312" w:hAnsi="仿宋_GB2312" w:eastAsia="仿宋_GB2312" w:cs="仿宋_GB2312"/>
                <w:b w:val="0"/>
                <w:bCs w:val="0"/>
                <w:kern w:val="0"/>
                <w:sz w:val="24"/>
                <w:szCs w:val="24"/>
                <w:highlight w:val="none"/>
                <w:lang w:val="en-US" w:eastAsia="zh-CN"/>
              </w:rPr>
              <w:t>（</w:t>
            </w:r>
            <w:r>
              <w:rPr>
                <w:rFonts w:hint="default" w:ascii="仿宋_GB2312" w:hAnsi="仿宋_GB2312" w:eastAsia="仿宋_GB2312" w:cs="仿宋_GB2312"/>
                <w:b w:val="0"/>
                <w:bCs w:val="0"/>
                <w:kern w:val="0"/>
                <w:sz w:val="24"/>
                <w:szCs w:val="24"/>
                <w:highlight w:val="none"/>
                <w:lang w:val="en-US" w:eastAsia="zh-CN"/>
              </w:rPr>
              <w:t>1）国家级得</w:t>
            </w:r>
            <w:r>
              <w:rPr>
                <w:rFonts w:hint="eastAsia" w:ascii="仿宋_GB2312" w:hAnsi="仿宋_GB2312" w:eastAsia="仿宋_GB2312" w:cs="仿宋_GB2312"/>
                <w:b w:val="0"/>
                <w:bCs w:val="0"/>
                <w:kern w:val="0"/>
                <w:sz w:val="24"/>
                <w:szCs w:val="24"/>
                <w:highlight w:val="none"/>
                <w:lang w:val="en-US" w:eastAsia="zh-CN"/>
              </w:rPr>
              <w:t>5分</w:t>
            </w:r>
            <w:r>
              <w:rPr>
                <w:rFonts w:hint="default" w:ascii="仿宋_GB2312" w:hAnsi="仿宋_GB2312" w:eastAsia="仿宋_GB2312" w:cs="仿宋_GB2312"/>
                <w:b w:val="0"/>
                <w:bCs w:val="0"/>
                <w:kern w:val="0"/>
                <w:sz w:val="24"/>
                <w:szCs w:val="24"/>
                <w:highlight w:val="none"/>
                <w:lang w:val="en-US" w:eastAsia="zh-CN"/>
              </w:rPr>
              <w:t>；</w:t>
            </w:r>
          </w:p>
          <w:p>
            <w:pPr>
              <w:spacing w:line="300" w:lineRule="atLeast"/>
              <w:rPr>
                <w:rFonts w:hint="default" w:ascii="仿宋_GB2312" w:hAnsi="仿宋_GB2312" w:eastAsia="仿宋_GB2312" w:cs="仿宋_GB2312"/>
                <w:b w:val="0"/>
                <w:bCs w:val="0"/>
                <w:kern w:val="0"/>
                <w:sz w:val="24"/>
                <w:szCs w:val="24"/>
                <w:highlight w:val="none"/>
                <w:lang w:val="en-US" w:eastAsia="zh-CN"/>
              </w:rPr>
            </w:pPr>
            <w:r>
              <w:rPr>
                <w:rFonts w:hint="eastAsia" w:ascii="仿宋_GB2312" w:hAnsi="仿宋_GB2312" w:eastAsia="仿宋_GB2312" w:cs="仿宋_GB2312"/>
                <w:b w:val="0"/>
                <w:bCs w:val="0"/>
                <w:kern w:val="0"/>
                <w:sz w:val="24"/>
                <w:szCs w:val="24"/>
                <w:highlight w:val="none"/>
                <w:lang w:val="en-US" w:eastAsia="zh-CN"/>
              </w:rPr>
              <w:t>（</w:t>
            </w:r>
            <w:r>
              <w:rPr>
                <w:rFonts w:hint="default" w:ascii="仿宋_GB2312" w:hAnsi="仿宋_GB2312" w:eastAsia="仿宋_GB2312" w:cs="仿宋_GB2312"/>
                <w:b w:val="0"/>
                <w:bCs w:val="0"/>
                <w:kern w:val="0"/>
                <w:sz w:val="24"/>
                <w:szCs w:val="24"/>
                <w:highlight w:val="none"/>
                <w:lang w:val="en-US" w:eastAsia="zh-CN"/>
              </w:rPr>
              <w:t>2）省级得</w:t>
            </w:r>
            <w:r>
              <w:rPr>
                <w:rFonts w:hint="eastAsia" w:ascii="仿宋_GB2312" w:hAnsi="仿宋_GB2312" w:eastAsia="仿宋_GB2312" w:cs="仿宋_GB2312"/>
                <w:b w:val="0"/>
                <w:bCs w:val="0"/>
                <w:kern w:val="0"/>
                <w:sz w:val="24"/>
                <w:szCs w:val="24"/>
                <w:highlight w:val="none"/>
                <w:lang w:val="en-US" w:eastAsia="zh-CN"/>
              </w:rPr>
              <w:t>3分</w:t>
            </w:r>
            <w:r>
              <w:rPr>
                <w:rFonts w:hint="default" w:ascii="仿宋_GB2312" w:hAnsi="仿宋_GB2312" w:eastAsia="仿宋_GB2312" w:cs="仿宋_GB2312"/>
                <w:b w:val="0"/>
                <w:bCs w:val="0"/>
                <w:kern w:val="0"/>
                <w:sz w:val="24"/>
                <w:szCs w:val="24"/>
                <w:highlight w:val="none"/>
                <w:lang w:val="en-US" w:eastAsia="zh-CN"/>
              </w:rPr>
              <w:t>；</w:t>
            </w:r>
          </w:p>
          <w:p>
            <w:pPr>
              <w:spacing w:line="300" w:lineRule="atLeast"/>
              <w:rPr>
                <w:rFonts w:hint="eastAsia" w:ascii="仿宋_GB2312" w:hAnsi="仿宋_GB2312" w:eastAsia="仿宋_GB2312" w:cs="仿宋_GB2312"/>
                <w:b w:val="0"/>
                <w:bCs w:val="0"/>
                <w:kern w:val="0"/>
                <w:sz w:val="24"/>
                <w:szCs w:val="24"/>
                <w:highlight w:val="none"/>
                <w:lang w:val="en-US" w:eastAsia="zh-CN"/>
              </w:rPr>
            </w:pPr>
            <w:r>
              <w:rPr>
                <w:rFonts w:hint="eastAsia" w:ascii="仿宋_GB2312" w:hAnsi="仿宋_GB2312" w:eastAsia="仿宋_GB2312" w:cs="仿宋_GB2312"/>
                <w:b w:val="0"/>
                <w:bCs w:val="0"/>
                <w:kern w:val="0"/>
                <w:sz w:val="24"/>
                <w:szCs w:val="24"/>
                <w:highlight w:val="none"/>
                <w:lang w:val="en-US" w:eastAsia="zh-CN"/>
              </w:rPr>
              <w:t>（</w:t>
            </w:r>
            <w:r>
              <w:rPr>
                <w:rFonts w:hint="default" w:ascii="仿宋_GB2312" w:hAnsi="仿宋_GB2312" w:eastAsia="仿宋_GB2312" w:cs="仿宋_GB2312"/>
                <w:b w:val="0"/>
                <w:bCs w:val="0"/>
                <w:kern w:val="0"/>
                <w:sz w:val="24"/>
                <w:szCs w:val="24"/>
                <w:highlight w:val="none"/>
                <w:lang w:val="en-US" w:eastAsia="zh-CN"/>
              </w:rPr>
              <w:t>3）市级得分</w:t>
            </w:r>
            <w:r>
              <w:rPr>
                <w:rFonts w:hint="eastAsia" w:ascii="仿宋_GB2312" w:hAnsi="仿宋_GB2312" w:eastAsia="仿宋_GB2312" w:cs="仿宋_GB2312"/>
                <w:b w:val="0"/>
                <w:bCs w:val="0"/>
                <w:kern w:val="0"/>
                <w:sz w:val="24"/>
                <w:szCs w:val="24"/>
                <w:highlight w:val="none"/>
                <w:lang w:val="en-US" w:eastAsia="zh-CN"/>
              </w:rPr>
              <w:t>1分。</w:t>
            </w:r>
          </w:p>
          <w:p>
            <w:pPr>
              <w:pStyle w:val="2"/>
              <w:rPr>
                <w:rFonts w:hint="default"/>
                <w:lang w:val="en-US" w:eastAsia="zh-CN"/>
              </w:rPr>
            </w:pPr>
            <w:r>
              <w:rPr>
                <w:rFonts w:hint="eastAsia" w:ascii="仿宋_GB2312" w:hAnsi="仿宋_GB2312" w:eastAsia="仿宋_GB2312" w:cs="仿宋_GB2312"/>
                <w:b w:val="0"/>
                <w:bCs w:val="0"/>
                <w:kern w:val="0"/>
                <w:sz w:val="24"/>
                <w:szCs w:val="24"/>
                <w:highlight w:val="none"/>
                <w:lang w:val="en-US" w:eastAsia="zh-CN"/>
              </w:rPr>
              <w:t>（4）以上累计不超过5分。</w:t>
            </w:r>
          </w:p>
          <w:p>
            <w:pPr>
              <w:spacing w:line="300" w:lineRule="atLeast"/>
              <w:rPr>
                <w:rFonts w:hint="eastAsia" w:ascii="仿宋_GB2312" w:hAnsi="仿宋_GB2312" w:eastAsia="仿宋_GB2312" w:cs="仿宋_GB2312"/>
                <w:b/>
                <w:bCs/>
                <w:kern w:val="0"/>
                <w:sz w:val="24"/>
                <w:szCs w:val="24"/>
                <w:highlight w:val="none"/>
                <w:lang w:val="en-US" w:eastAsia="zh-CN"/>
              </w:rPr>
            </w:pPr>
            <w:r>
              <w:rPr>
                <w:rFonts w:hint="eastAsia" w:ascii="仿宋_GB2312" w:hAnsi="仿宋_GB2312" w:eastAsia="仿宋_GB2312" w:cs="仿宋_GB2312"/>
                <w:b/>
                <w:bCs/>
                <w:kern w:val="0"/>
                <w:sz w:val="24"/>
                <w:szCs w:val="24"/>
                <w:highlight w:val="none"/>
                <w:lang w:val="en-US" w:eastAsia="zh-CN"/>
              </w:rPr>
              <w:t>2.证明文件：</w:t>
            </w:r>
          </w:p>
          <w:p>
            <w:pPr>
              <w:spacing w:line="300" w:lineRule="atLeast"/>
              <w:rPr>
                <w:rFonts w:hint="default" w:ascii="仿宋_GB2312" w:hAnsi="仿宋_GB2312" w:eastAsia="仿宋_GB2312" w:cs="仿宋_GB2312"/>
                <w:b w:val="0"/>
                <w:bCs w:val="0"/>
                <w:kern w:val="0"/>
                <w:sz w:val="24"/>
                <w:szCs w:val="24"/>
                <w:highlight w:val="none"/>
                <w:lang w:val="en-US" w:eastAsia="zh-CN"/>
              </w:rPr>
            </w:pPr>
            <w:r>
              <w:rPr>
                <w:rFonts w:hint="default" w:ascii="仿宋_GB2312" w:hAnsi="仿宋_GB2312" w:eastAsia="仿宋_GB2312" w:cs="仿宋_GB2312"/>
                <w:b w:val="0"/>
                <w:bCs w:val="0"/>
                <w:kern w:val="0"/>
                <w:sz w:val="24"/>
                <w:szCs w:val="24"/>
                <w:highlight w:val="none"/>
                <w:lang w:val="en-US" w:eastAsia="zh-CN"/>
              </w:rPr>
              <w:t>提供政府部门颁发的相关证明文件</w:t>
            </w:r>
          </w:p>
        </w:tc>
        <w:tc>
          <w:tcPr>
            <w:tcW w:w="707" w:type="dxa"/>
            <w:vAlign w:val="center"/>
          </w:tcPr>
          <w:p>
            <w:pPr>
              <w:spacing w:line="300" w:lineRule="atLeast"/>
              <w:jc w:val="center"/>
              <w:rPr>
                <w:rFonts w:hint="eastAsia" w:ascii="仿宋" w:hAnsi="仿宋" w:eastAsia="仿宋" w:cs="仿宋"/>
                <w:b w:val="0"/>
                <w:bCs w:val="0"/>
                <w:color w:val="000000"/>
                <w:kern w:val="0"/>
                <w:sz w:val="24"/>
                <w:szCs w:val="24"/>
                <w:lang w:eastAsia="zh-CN"/>
              </w:rPr>
            </w:pPr>
          </w:p>
        </w:tc>
      </w:tr>
    </w:tbl>
    <w:p>
      <w:pPr>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仿宋"/>
          <w:color w:val="000000"/>
          <w:sz w:val="32"/>
          <w:szCs w:val="32"/>
        </w:rPr>
      </w:pPr>
      <w:r>
        <w:rPr>
          <w:rFonts w:hint="eastAsia" w:ascii="黑体" w:hAnsi="黑体" w:eastAsia="黑体" w:cs="仿宋"/>
          <w:color w:val="000000"/>
          <w:sz w:val="32"/>
          <w:szCs w:val="32"/>
          <w:lang w:val="en-US" w:eastAsia="zh-CN"/>
        </w:rPr>
        <w:t>六</w:t>
      </w:r>
      <w:r>
        <w:rPr>
          <w:rFonts w:hint="eastAsia" w:ascii="黑体" w:hAnsi="黑体" w:eastAsia="黑体" w:cs="仿宋"/>
          <w:color w:val="000000"/>
          <w:sz w:val="32"/>
          <w:szCs w:val="32"/>
        </w:rPr>
        <w:t>、商务需求</w:t>
      </w:r>
    </w:p>
    <w:p>
      <w:pPr>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一</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项目预算</w:t>
      </w:r>
    </w:p>
    <w:p>
      <w:pPr>
        <w:pStyle w:val="7"/>
        <w:pageBreakBefore w:val="0"/>
        <w:kinsoku/>
        <w:overflowPunct/>
        <w:topLinePunct w:val="0"/>
        <w:autoSpaceDE/>
        <w:autoSpaceDN/>
        <w:bidi w:val="0"/>
        <w:spacing w:line="560" w:lineRule="exact"/>
        <w:ind w:left="0" w:leftChars="0" w:firstLine="640" w:firstLineChars="200"/>
        <w:textAlignment w:val="auto"/>
        <w:rPr>
          <w:rFonts w:hint="default" w:ascii="仿宋_GB2312" w:hAnsi="仿宋" w:eastAsia="仿宋_GB2312" w:cs="仿宋"/>
          <w:color w:val="000000"/>
          <w:kern w:val="2"/>
          <w:sz w:val="32"/>
          <w:szCs w:val="32"/>
          <w:lang w:val="en-US" w:eastAsia="zh-CN" w:bidi="ar-SA"/>
        </w:rPr>
      </w:pPr>
      <w:r>
        <w:rPr>
          <w:rFonts w:hint="default" w:ascii="仿宋_GB2312" w:hAnsi="仿宋" w:eastAsia="仿宋_GB2312" w:cs="仿宋"/>
          <w:color w:val="000000"/>
          <w:kern w:val="2"/>
          <w:sz w:val="32"/>
          <w:szCs w:val="32"/>
          <w:lang w:val="en-US" w:eastAsia="zh-CN" w:bidi="ar-SA"/>
        </w:rPr>
        <w:t>该项目预算</w:t>
      </w:r>
      <w:r>
        <w:rPr>
          <w:rFonts w:hint="eastAsia" w:ascii="仿宋_GB2312" w:hAnsi="仿宋" w:eastAsia="仿宋_GB2312" w:cs="仿宋"/>
          <w:color w:val="000000"/>
          <w:kern w:val="2"/>
          <w:sz w:val="32"/>
          <w:szCs w:val="32"/>
          <w:lang w:val="en-US" w:eastAsia="zh-CN" w:bidi="ar-SA"/>
        </w:rPr>
        <w:t>金额为</w:t>
      </w:r>
      <w:r>
        <w:rPr>
          <w:rFonts w:hint="eastAsia" w:ascii="仿宋_GB2312" w:hAnsi="仿宋" w:eastAsia="仿宋_GB2312" w:cs="仿宋"/>
          <w:color w:val="auto"/>
          <w:kern w:val="2"/>
          <w:sz w:val="32"/>
          <w:szCs w:val="32"/>
          <w:lang w:val="en-US" w:eastAsia="zh-CN" w:bidi="ar-SA"/>
        </w:rPr>
        <w:t>84.5（含）</w:t>
      </w:r>
      <w:r>
        <w:rPr>
          <w:rFonts w:hint="default" w:ascii="仿宋_GB2312" w:hAnsi="仿宋" w:eastAsia="仿宋_GB2312" w:cs="仿宋"/>
          <w:color w:val="auto"/>
          <w:kern w:val="2"/>
          <w:sz w:val="32"/>
          <w:szCs w:val="32"/>
          <w:lang w:val="en-US" w:eastAsia="zh-CN" w:bidi="ar-SA"/>
        </w:rPr>
        <w:t>万元</w:t>
      </w:r>
      <w:r>
        <w:rPr>
          <w:rFonts w:hint="eastAsia" w:ascii="仿宋_GB2312" w:hAnsi="仿宋" w:eastAsia="仿宋_GB2312" w:cs="仿宋"/>
          <w:color w:val="000000"/>
          <w:kern w:val="2"/>
          <w:sz w:val="32"/>
          <w:szCs w:val="32"/>
          <w:lang w:val="en-US" w:eastAsia="zh-CN" w:bidi="ar-SA"/>
        </w:rPr>
        <w:t>。</w:t>
      </w:r>
    </w:p>
    <w:p>
      <w:pPr>
        <w:pageBreakBefore w:val="0"/>
        <w:kinsoku/>
        <w:overflowPunct/>
        <w:topLinePunct w:val="0"/>
        <w:autoSpaceDE/>
        <w:autoSpaceDN/>
        <w:bidi w:val="0"/>
        <w:spacing w:line="560" w:lineRule="exact"/>
        <w:ind w:firstLine="640" w:firstLineChars="200"/>
        <w:textAlignment w:val="auto"/>
        <w:rPr>
          <w:rFonts w:hint="eastAsia"/>
          <w:color w:val="000000"/>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color w:val="000000"/>
          <w:sz w:val="32"/>
          <w:szCs w:val="32"/>
        </w:rPr>
        <w:t>）服务期</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 w:eastAsia="仿宋_GB2312" w:cs="仿宋"/>
          <w:color w:val="000000"/>
          <w:kern w:val="2"/>
          <w:sz w:val="32"/>
          <w:szCs w:val="32"/>
          <w:highlight w:val="none"/>
          <w:lang w:val="en-US" w:eastAsia="zh-CN" w:bidi="ar-SA"/>
        </w:rPr>
      </w:pPr>
      <w:r>
        <w:rPr>
          <w:rFonts w:hint="eastAsia" w:ascii="仿宋_GB2312" w:hAnsi="仿宋" w:eastAsia="仿宋_GB2312" w:cs="仿宋"/>
          <w:color w:val="000000"/>
          <w:kern w:val="2"/>
          <w:sz w:val="32"/>
          <w:szCs w:val="32"/>
          <w:highlight w:val="none"/>
          <w:lang w:val="en-US" w:eastAsia="zh-CN" w:bidi="ar-SA"/>
        </w:rPr>
        <w:t>服务周期一年，以合同约定的周期为准。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 w:eastAsia="仿宋_GB2312" w:cs="仿宋"/>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三</w:t>
      </w:r>
      <w:r>
        <w:rPr>
          <w:rFonts w:hint="eastAsia" w:ascii="楷体_GB2312" w:hAnsi="楷体_GB2312" w:eastAsia="楷体_GB2312" w:cs="楷体_GB2312"/>
          <w:color w:val="000000"/>
          <w:sz w:val="32"/>
          <w:szCs w:val="32"/>
        </w:rPr>
        <w:t>）服务地点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仿宋_GB2312" w:hAnsi="仿宋" w:eastAsia="仿宋_GB2312" w:cs="仿宋"/>
          <w:color w:val="000000"/>
          <w:kern w:val="2"/>
          <w:sz w:val="32"/>
          <w:szCs w:val="32"/>
          <w:lang w:val="en-US" w:eastAsia="zh-CN" w:bidi="ar-SA"/>
        </w:rPr>
      </w:pPr>
      <w:r>
        <w:rPr>
          <w:rFonts w:hint="default" w:ascii="仿宋_GB2312" w:hAnsi="仿宋" w:eastAsia="仿宋_GB2312" w:cs="仿宋"/>
          <w:color w:val="000000"/>
          <w:kern w:val="2"/>
          <w:sz w:val="32"/>
          <w:szCs w:val="32"/>
          <w:lang w:val="en-US" w:eastAsia="zh-CN" w:bidi="ar-SA"/>
        </w:rPr>
        <w:t>深圳市坪山区坪山街道</w:t>
      </w:r>
      <w:r>
        <w:rPr>
          <w:rFonts w:hint="eastAsia" w:ascii="仿宋_GB2312" w:hAnsi="仿宋" w:eastAsia="仿宋_GB2312" w:cs="仿宋"/>
          <w:color w:val="000000"/>
          <w:kern w:val="2"/>
          <w:sz w:val="32"/>
          <w:szCs w:val="32"/>
          <w:lang w:val="en-US" w:eastAsia="zh-CN" w:bidi="ar-SA"/>
        </w:rPr>
        <w:t>深汕路168-19号。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s="仿宋"/>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四</w:t>
      </w:r>
      <w:r>
        <w:rPr>
          <w:rFonts w:hint="eastAsia" w:ascii="楷体_GB2312" w:hAnsi="楷体_GB2312" w:eastAsia="楷体_GB2312" w:cs="楷体_GB2312"/>
          <w:color w:val="000000"/>
          <w:sz w:val="32"/>
          <w:szCs w:val="32"/>
        </w:rPr>
        <w:t>）报价要求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s="仿宋"/>
          <w:color w:val="000000"/>
          <w:sz w:val="32"/>
          <w:szCs w:val="32"/>
        </w:rPr>
      </w:pPr>
      <w:r>
        <w:rPr>
          <w:rFonts w:hint="eastAsia" w:ascii="仿宋_GB2312" w:hAnsi="仿宋" w:eastAsia="仿宋_GB2312" w:cs="仿宋"/>
          <w:color w:val="000000"/>
          <w:sz w:val="32"/>
          <w:szCs w:val="32"/>
        </w:rPr>
        <w:t>1.本项目服务费采用包干制，应</w:t>
      </w:r>
      <w:r>
        <w:rPr>
          <w:rFonts w:hint="eastAsia" w:ascii="仿宋_GB2312" w:hAnsi="仿宋" w:eastAsia="仿宋_GB2312" w:cs="仿宋"/>
          <w:color w:val="000000"/>
          <w:sz w:val="32"/>
          <w:szCs w:val="32"/>
          <w:lang w:val="en-US" w:eastAsia="zh-CN"/>
        </w:rPr>
        <w:t>包含人员劳务费、部分活动物资费、管理费、督导费、法定税费和企业的利润等一切费用。</w:t>
      </w:r>
      <w:r>
        <w:rPr>
          <w:rFonts w:hint="eastAsia" w:ascii="仿宋_GB2312" w:hAnsi="仿宋" w:eastAsia="仿宋_GB2312" w:cs="仿宋"/>
          <w:color w:val="000000"/>
          <w:sz w:val="32"/>
          <w:szCs w:val="32"/>
        </w:rPr>
        <w:t>由投标</w:t>
      </w:r>
      <w:r>
        <w:rPr>
          <w:rFonts w:hint="eastAsia" w:ascii="仿宋_GB2312" w:hAnsi="仿宋" w:eastAsia="仿宋_GB2312" w:cs="仿宋"/>
          <w:color w:val="000000"/>
          <w:sz w:val="32"/>
          <w:szCs w:val="32"/>
          <w:lang w:val="en-US" w:eastAsia="zh-CN"/>
        </w:rPr>
        <w:t>单位</w:t>
      </w:r>
      <w:r>
        <w:rPr>
          <w:rFonts w:hint="eastAsia" w:ascii="仿宋_GB2312" w:hAnsi="仿宋" w:eastAsia="仿宋_GB2312" w:cs="仿宋"/>
          <w:color w:val="000000"/>
          <w:sz w:val="32"/>
          <w:szCs w:val="32"/>
        </w:rPr>
        <w:t>根据采购文件所提供的资料自行测算投标报价；一经中标，报价总价作为中标</w:t>
      </w:r>
      <w:r>
        <w:rPr>
          <w:rFonts w:hint="eastAsia" w:ascii="仿宋_GB2312" w:hAnsi="仿宋" w:eastAsia="仿宋_GB2312" w:cs="仿宋"/>
          <w:color w:val="000000"/>
          <w:sz w:val="32"/>
          <w:szCs w:val="32"/>
          <w:lang w:val="en-US" w:eastAsia="zh-CN"/>
        </w:rPr>
        <w:t>单位</w:t>
      </w:r>
      <w:r>
        <w:rPr>
          <w:rFonts w:hint="eastAsia" w:ascii="仿宋_GB2312" w:hAnsi="仿宋" w:eastAsia="仿宋_GB2312" w:cs="仿宋"/>
          <w:color w:val="000000"/>
          <w:sz w:val="32"/>
          <w:szCs w:val="32"/>
        </w:rPr>
        <w:t>与采购</w:t>
      </w:r>
      <w:r>
        <w:rPr>
          <w:rFonts w:hint="eastAsia" w:ascii="仿宋_GB2312" w:hAnsi="仿宋" w:eastAsia="仿宋_GB2312" w:cs="仿宋"/>
          <w:color w:val="000000"/>
          <w:sz w:val="32"/>
          <w:szCs w:val="32"/>
          <w:lang w:val="en-US" w:eastAsia="zh-CN"/>
        </w:rPr>
        <w:t>单位</w:t>
      </w:r>
      <w:r>
        <w:rPr>
          <w:rFonts w:hint="eastAsia" w:ascii="仿宋_GB2312" w:hAnsi="仿宋" w:eastAsia="仿宋_GB2312" w:cs="仿宋"/>
          <w:color w:val="000000"/>
          <w:sz w:val="32"/>
          <w:szCs w:val="32"/>
        </w:rPr>
        <w:t>签定的合同金额，合同期限内不做调整。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s="仿宋"/>
          <w:color w:val="000000"/>
          <w:sz w:val="32"/>
          <w:szCs w:val="32"/>
        </w:rPr>
      </w:pPr>
      <w:r>
        <w:rPr>
          <w:rFonts w:hint="eastAsia" w:ascii="仿宋_GB2312" w:hAnsi="仿宋" w:eastAsia="仿宋_GB2312" w:cs="仿宋"/>
          <w:color w:val="000000"/>
          <w:sz w:val="32"/>
          <w:szCs w:val="32"/>
        </w:rPr>
        <w:t>2.投标</w:t>
      </w:r>
      <w:r>
        <w:rPr>
          <w:rFonts w:hint="eastAsia" w:ascii="仿宋_GB2312" w:hAnsi="仿宋" w:eastAsia="仿宋_GB2312" w:cs="仿宋"/>
          <w:color w:val="000000"/>
          <w:sz w:val="32"/>
          <w:szCs w:val="32"/>
          <w:lang w:val="en-US" w:eastAsia="zh-CN"/>
        </w:rPr>
        <w:t>单位</w:t>
      </w:r>
      <w:r>
        <w:rPr>
          <w:rFonts w:hint="eastAsia" w:ascii="仿宋_GB2312" w:hAnsi="仿宋" w:eastAsia="仿宋_GB2312" w:cs="仿宋"/>
          <w:color w:val="000000"/>
          <w:sz w:val="32"/>
          <w:szCs w:val="32"/>
        </w:rPr>
        <w:t>应当根据本企业的成本自行决定报价，但不得以低于其企业成本的报价投标。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s="仿宋"/>
          <w:color w:val="000000"/>
          <w:sz w:val="32"/>
          <w:szCs w:val="32"/>
        </w:rPr>
      </w:pPr>
      <w:r>
        <w:rPr>
          <w:rFonts w:hint="eastAsia" w:ascii="仿宋_GB2312" w:hAnsi="仿宋" w:eastAsia="仿宋_GB2312" w:cs="仿宋"/>
          <w:color w:val="000000"/>
          <w:sz w:val="32"/>
          <w:szCs w:val="32"/>
        </w:rPr>
        <w:t>3.投标</w:t>
      </w:r>
      <w:r>
        <w:rPr>
          <w:rFonts w:hint="eastAsia" w:ascii="仿宋_GB2312" w:hAnsi="仿宋" w:eastAsia="仿宋_GB2312" w:cs="仿宋"/>
          <w:color w:val="000000"/>
          <w:sz w:val="32"/>
          <w:szCs w:val="32"/>
          <w:lang w:val="en-US" w:eastAsia="zh-CN"/>
        </w:rPr>
        <w:t>单位</w:t>
      </w:r>
      <w:r>
        <w:rPr>
          <w:rFonts w:hint="eastAsia" w:ascii="仿宋_GB2312" w:hAnsi="仿宋" w:eastAsia="仿宋_GB2312" w:cs="仿宋"/>
          <w:color w:val="000000"/>
          <w:sz w:val="32"/>
          <w:szCs w:val="32"/>
        </w:rPr>
        <w:t>的报价不得超过项目预算金额。</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s="仿宋"/>
          <w:color w:val="000000"/>
          <w:sz w:val="32"/>
          <w:szCs w:val="32"/>
        </w:rPr>
      </w:pPr>
      <w:r>
        <w:rPr>
          <w:rFonts w:hint="eastAsia" w:ascii="仿宋_GB2312" w:hAnsi="仿宋" w:eastAsia="仿宋_GB2312" w:cs="仿宋"/>
          <w:color w:val="000000"/>
          <w:sz w:val="32"/>
          <w:szCs w:val="32"/>
        </w:rPr>
        <w:t>4.投标</w:t>
      </w:r>
      <w:r>
        <w:rPr>
          <w:rFonts w:hint="eastAsia" w:ascii="仿宋_GB2312" w:hAnsi="仿宋" w:eastAsia="仿宋_GB2312" w:cs="仿宋"/>
          <w:color w:val="000000"/>
          <w:sz w:val="32"/>
          <w:szCs w:val="32"/>
          <w:lang w:val="en-US" w:eastAsia="zh-CN"/>
        </w:rPr>
        <w:t>单位</w:t>
      </w:r>
      <w:r>
        <w:rPr>
          <w:rFonts w:hint="eastAsia" w:ascii="仿宋_GB2312" w:hAnsi="仿宋" w:eastAsia="仿宋_GB2312" w:cs="仿宋"/>
          <w:color w:val="000000"/>
          <w:sz w:val="32"/>
          <w:szCs w:val="32"/>
        </w:rPr>
        <w:t>的报价，应当是本项目采购范围和采购文件上所列的各项内容中所述的全部，不得以任何理由予以重复。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s="仿宋"/>
          <w:color w:val="000000"/>
          <w:sz w:val="32"/>
          <w:szCs w:val="32"/>
        </w:rPr>
      </w:pPr>
      <w:r>
        <w:rPr>
          <w:rFonts w:hint="eastAsia" w:ascii="仿宋_GB2312" w:hAnsi="仿宋" w:eastAsia="仿宋_GB2312" w:cs="仿宋"/>
          <w:color w:val="000000"/>
          <w:sz w:val="32"/>
          <w:szCs w:val="32"/>
        </w:rPr>
        <w:t>5.除非采购</w:t>
      </w:r>
      <w:r>
        <w:rPr>
          <w:rFonts w:hint="eastAsia" w:ascii="仿宋_GB2312" w:hAnsi="仿宋" w:eastAsia="仿宋_GB2312" w:cs="仿宋"/>
          <w:color w:val="000000"/>
          <w:sz w:val="32"/>
          <w:szCs w:val="32"/>
          <w:lang w:val="en-US" w:eastAsia="zh-CN"/>
        </w:rPr>
        <w:t>单位</w:t>
      </w:r>
      <w:r>
        <w:rPr>
          <w:rFonts w:hint="eastAsia" w:ascii="仿宋_GB2312" w:hAnsi="仿宋" w:eastAsia="仿宋_GB2312" w:cs="仿宋"/>
          <w:color w:val="000000"/>
          <w:sz w:val="32"/>
          <w:szCs w:val="32"/>
        </w:rPr>
        <w:t>通过修改采购文件予以更正，否则，投标</w:t>
      </w:r>
      <w:r>
        <w:rPr>
          <w:rFonts w:hint="eastAsia" w:ascii="仿宋_GB2312" w:hAnsi="仿宋" w:eastAsia="仿宋_GB2312" w:cs="仿宋"/>
          <w:color w:val="000000"/>
          <w:sz w:val="32"/>
          <w:szCs w:val="32"/>
          <w:lang w:val="en-US" w:eastAsia="zh-CN"/>
        </w:rPr>
        <w:t>单位</w:t>
      </w:r>
      <w:r>
        <w:rPr>
          <w:rFonts w:hint="eastAsia" w:ascii="仿宋_GB2312" w:hAnsi="仿宋" w:eastAsia="仿宋_GB2312" w:cs="仿宋"/>
          <w:color w:val="000000"/>
          <w:sz w:val="32"/>
          <w:szCs w:val="32"/>
        </w:rPr>
        <w:t>应毫无例外地按响应文件所列的清单中项目和数量填报综合单价和合价。投标</w:t>
      </w:r>
      <w:r>
        <w:rPr>
          <w:rFonts w:hint="eastAsia" w:ascii="仿宋_GB2312" w:hAnsi="仿宋" w:eastAsia="仿宋_GB2312" w:cs="仿宋"/>
          <w:color w:val="000000"/>
          <w:sz w:val="32"/>
          <w:szCs w:val="32"/>
          <w:lang w:val="en-US" w:eastAsia="zh-CN"/>
        </w:rPr>
        <w:t>单位</w:t>
      </w:r>
      <w:r>
        <w:rPr>
          <w:rFonts w:hint="eastAsia" w:ascii="仿宋_GB2312" w:hAnsi="仿宋" w:eastAsia="仿宋_GB2312" w:cs="仿宋"/>
          <w:color w:val="000000"/>
          <w:sz w:val="32"/>
          <w:szCs w:val="32"/>
        </w:rPr>
        <w:t>未填综合单价或合价的项目，在实施后，将不得以支付，并视作该项费用已包括在其它有价款的综合单价或合价内。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s="仿宋"/>
          <w:color w:val="000000"/>
          <w:sz w:val="32"/>
          <w:szCs w:val="32"/>
        </w:rPr>
      </w:pPr>
      <w:r>
        <w:rPr>
          <w:rFonts w:hint="eastAsia" w:ascii="仿宋_GB2312" w:hAnsi="仿宋" w:eastAsia="仿宋_GB2312" w:cs="仿宋"/>
          <w:color w:val="000000"/>
          <w:sz w:val="32"/>
          <w:szCs w:val="32"/>
          <w:lang w:val="en-US" w:eastAsia="zh-CN"/>
        </w:rPr>
        <w:t>6</w:t>
      </w:r>
      <w:r>
        <w:rPr>
          <w:rFonts w:hint="eastAsia" w:ascii="仿宋_GB2312" w:hAnsi="仿宋" w:eastAsia="仿宋_GB2312" w:cs="仿宋"/>
          <w:color w:val="000000"/>
          <w:sz w:val="32"/>
          <w:szCs w:val="32"/>
        </w:rPr>
        <w:t>.投标</w:t>
      </w:r>
      <w:r>
        <w:rPr>
          <w:rFonts w:hint="eastAsia" w:ascii="仿宋_GB2312" w:hAnsi="仿宋" w:eastAsia="仿宋_GB2312" w:cs="仿宋"/>
          <w:color w:val="000000"/>
          <w:sz w:val="32"/>
          <w:szCs w:val="32"/>
          <w:lang w:val="en-US" w:eastAsia="zh-CN"/>
        </w:rPr>
        <w:t>单位</w:t>
      </w:r>
      <w:r>
        <w:rPr>
          <w:rFonts w:hint="eastAsia" w:ascii="仿宋_GB2312" w:hAnsi="仿宋" w:eastAsia="仿宋_GB2312" w:cs="仿宋"/>
          <w:color w:val="000000"/>
          <w:sz w:val="32"/>
          <w:szCs w:val="32"/>
        </w:rPr>
        <w:t>不得期望通过索赔等方式获取补偿，否则，除可能遭到拒绝外，还可能将被作为不良行为记录在案，并可能影响其以后参加政府采购的项目投标。各投标</w:t>
      </w:r>
      <w:r>
        <w:rPr>
          <w:rFonts w:hint="eastAsia" w:ascii="仿宋_GB2312" w:hAnsi="仿宋" w:eastAsia="仿宋_GB2312" w:cs="仿宋"/>
          <w:color w:val="000000"/>
          <w:sz w:val="32"/>
          <w:szCs w:val="32"/>
          <w:lang w:val="en-US" w:eastAsia="zh-CN"/>
        </w:rPr>
        <w:t>单位</w:t>
      </w:r>
      <w:r>
        <w:rPr>
          <w:rFonts w:hint="eastAsia" w:ascii="仿宋_GB2312" w:hAnsi="仿宋" w:eastAsia="仿宋_GB2312" w:cs="仿宋"/>
          <w:color w:val="000000"/>
          <w:sz w:val="32"/>
          <w:szCs w:val="32"/>
        </w:rPr>
        <w:t>在报价时，应充分考虑报价的风险。</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 w:eastAsia="仿宋_GB2312" w:cs="仿宋"/>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五</w:t>
      </w:r>
      <w:r>
        <w:rPr>
          <w:rFonts w:hint="eastAsia" w:ascii="楷体_GB2312" w:hAnsi="楷体_GB2312" w:eastAsia="楷体_GB2312" w:cs="楷体_GB2312"/>
          <w:color w:val="000000"/>
          <w:sz w:val="32"/>
          <w:szCs w:val="32"/>
        </w:rPr>
        <w:t>）付款方式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合同签订时进行具体约定。</w:t>
      </w:r>
    </w:p>
    <w:p>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outlineLvl w:val="0"/>
        <w:rPr>
          <w:rFonts w:hint="eastAsia" w:ascii="黑体" w:hAnsi="黑体" w:eastAsia="黑体" w:cs="仿宋"/>
          <w:b w:val="0"/>
          <w:bCs w:val="0"/>
          <w:color w:val="000000"/>
          <w:sz w:val="32"/>
          <w:szCs w:val="32"/>
        </w:rPr>
      </w:pPr>
      <w:r>
        <w:rPr>
          <w:rFonts w:hint="eastAsia" w:ascii="黑体" w:hAnsi="黑体" w:eastAsia="黑体" w:cs="仿宋"/>
          <w:b w:val="0"/>
          <w:bCs w:val="0"/>
          <w:color w:val="000000"/>
          <w:sz w:val="32"/>
          <w:szCs w:val="32"/>
          <w:lang w:val="en-US" w:eastAsia="zh-CN"/>
        </w:rPr>
        <w:t>七、</w:t>
      </w:r>
      <w:r>
        <w:rPr>
          <w:rFonts w:hint="eastAsia" w:ascii="黑体" w:hAnsi="黑体" w:eastAsia="黑体" w:cs="仿宋"/>
          <w:b w:val="0"/>
          <w:bCs w:val="0"/>
          <w:color w:val="000000"/>
          <w:sz w:val="32"/>
          <w:szCs w:val="32"/>
        </w:rPr>
        <w:t>分项报价清单</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w:t>
      </w:r>
      <w:r>
        <w:rPr>
          <w:rFonts w:hint="eastAsia" w:ascii="仿宋_GB2312" w:hAnsi="仿宋_GB2312" w:eastAsia="仿宋_GB2312" w:cs="仿宋_GB2312"/>
          <w:color w:val="000000"/>
          <w:sz w:val="24"/>
          <w:szCs w:val="24"/>
          <w:lang w:val="en-US" w:eastAsia="zh-CN"/>
        </w:rPr>
        <w:t>单位</w:t>
      </w:r>
      <w:r>
        <w:rPr>
          <w:rFonts w:hint="eastAsia" w:ascii="仿宋_GB2312" w:hAnsi="仿宋_GB2312" w:eastAsia="仿宋_GB2312" w:cs="仿宋_GB2312"/>
          <w:color w:val="000000"/>
          <w:sz w:val="24"/>
          <w:szCs w:val="24"/>
        </w:rPr>
        <w:t>名称：</w:t>
      </w:r>
      <w:r>
        <w:rPr>
          <w:rFonts w:hint="eastAsia" w:ascii="仿宋_GB2312" w:hAnsi="仿宋_GB2312" w:eastAsia="仿宋_GB2312" w:cs="仿宋_GB2312"/>
          <w:color w:val="000000"/>
          <w:sz w:val="24"/>
          <w:szCs w:val="24"/>
          <w:u w:val="single"/>
        </w:rPr>
        <w:t xml:space="preserve">                   </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投标</w:t>
      </w:r>
      <w:r>
        <w:rPr>
          <w:rFonts w:hint="eastAsia" w:ascii="仿宋_GB2312" w:hAnsi="仿宋_GB2312" w:eastAsia="仿宋_GB2312" w:cs="仿宋_GB2312"/>
          <w:color w:val="000000"/>
          <w:sz w:val="24"/>
          <w:szCs w:val="24"/>
          <w:lang w:val="en-US" w:eastAsia="zh-CN"/>
        </w:rPr>
        <w:t>单位</w:t>
      </w:r>
      <w:r>
        <w:rPr>
          <w:rFonts w:hint="eastAsia" w:ascii="仿宋_GB2312" w:hAnsi="仿宋_GB2312" w:eastAsia="仿宋_GB2312" w:cs="仿宋_GB2312"/>
          <w:color w:val="000000"/>
          <w:sz w:val="24"/>
          <w:szCs w:val="24"/>
        </w:rPr>
        <w:t>代表姓名：</w:t>
      </w:r>
      <w:r>
        <w:rPr>
          <w:rFonts w:hint="eastAsia" w:ascii="仿宋_GB2312" w:hAnsi="仿宋_GB2312" w:eastAsia="仿宋_GB2312" w:cs="仿宋_GB2312"/>
          <w:color w:val="000000"/>
          <w:sz w:val="24"/>
          <w:szCs w:val="24"/>
          <w:u w:val="single"/>
        </w:rPr>
        <w:t xml:space="preserve">               </w:t>
      </w:r>
    </w:p>
    <w:tbl>
      <w:tblPr>
        <w:tblStyle w:val="5"/>
        <w:tblW w:w="9013" w:type="dxa"/>
        <w:tblInd w:w="-224" w:type="dxa"/>
        <w:tblLayout w:type="fixed"/>
        <w:tblCellMar>
          <w:top w:w="0" w:type="dxa"/>
          <w:left w:w="0" w:type="dxa"/>
          <w:bottom w:w="0" w:type="dxa"/>
          <w:right w:w="0" w:type="dxa"/>
        </w:tblCellMar>
      </w:tblPr>
      <w:tblGrid>
        <w:gridCol w:w="405"/>
        <w:gridCol w:w="1290"/>
        <w:gridCol w:w="1425"/>
        <w:gridCol w:w="4650"/>
        <w:gridCol w:w="1243"/>
      </w:tblGrid>
      <w:tr>
        <w:tblPrEx>
          <w:tblCellMar>
            <w:top w:w="0" w:type="dxa"/>
            <w:left w:w="0" w:type="dxa"/>
            <w:bottom w:w="0" w:type="dxa"/>
            <w:right w:w="0" w:type="dxa"/>
          </w:tblCellMar>
        </w:tblPrEx>
        <w:trPr>
          <w:trHeight w:val="1260" w:hRule="atLeast"/>
        </w:trPr>
        <w:tc>
          <w:tcPr>
            <w:tcW w:w="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序号</w:t>
            </w:r>
          </w:p>
        </w:tc>
        <w:tc>
          <w:tcPr>
            <w:tcW w:w="27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指  标</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项目技术要求</w:t>
            </w:r>
          </w:p>
        </w:tc>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协议水平</w:t>
            </w:r>
          </w:p>
        </w:tc>
      </w:tr>
      <w:tr>
        <w:tblPrEx>
          <w:tblCellMar>
            <w:top w:w="0" w:type="dxa"/>
            <w:left w:w="0" w:type="dxa"/>
            <w:bottom w:w="0" w:type="dxa"/>
            <w:right w:w="0" w:type="dxa"/>
          </w:tblCellMar>
        </w:tblPrEx>
        <w:trPr>
          <w:trHeight w:val="1355" w:hRule="atLeast"/>
        </w:trPr>
        <w:tc>
          <w:tcPr>
            <w:tcW w:w="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w:t>
            </w:r>
          </w:p>
        </w:tc>
        <w:tc>
          <w:tcPr>
            <w:tcW w:w="129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服务管理</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指标</w:t>
            </w:r>
          </w:p>
        </w:tc>
        <w:tc>
          <w:tcPr>
            <w:tcW w:w="1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落实职康中心相关服务管理制度</w:t>
            </w:r>
          </w:p>
        </w:tc>
        <w:tc>
          <w:tcPr>
            <w:tcW w:w="46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包括安全管理制度、财务管理、档案管理、消防消毒制度、应急预案等。</w:t>
            </w:r>
          </w:p>
        </w:tc>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2"/>
                <w:sz w:val="24"/>
                <w:szCs w:val="24"/>
                <w:u w:val="none"/>
                <w:lang w:val="en-US" w:eastAsia="zh-CN" w:bidi="ar"/>
              </w:rPr>
              <w:t>1</w:t>
            </w:r>
            <w:r>
              <w:rPr>
                <w:rFonts w:hint="eastAsia" w:ascii="仿宋_GB2312" w:hAnsi="仿宋_GB2312" w:eastAsia="仿宋_GB2312" w:cs="仿宋_GB2312"/>
                <w:lang w:val="en-US" w:eastAsia="zh-CN" w:bidi="ar"/>
              </w:rPr>
              <w:t>套</w:t>
            </w:r>
          </w:p>
        </w:tc>
      </w:tr>
      <w:tr>
        <w:tblPrEx>
          <w:tblCellMar>
            <w:top w:w="0" w:type="dxa"/>
            <w:left w:w="0" w:type="dxa"/>
            <w:bottom w:w="0" w:type="dxa"/>
            <w:right w:w="0" w:type="dxa"/>
          </w:tblCellMar>
        </w:tblPrEx>
        <w:trPr>
          <w:trHeight w:val="554" w:hRule="atLeast"/>
        </w:trPr>
        <w:tc>
          <w:tcPr>
            <w:tcW w:w="4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w:t>
            </w:r>
          </w:p>
        </w:tc>
        <w:tc>
          <w:tcPr>
            <w:tcW w:w="12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专业服务化项目指标</w:t>
            </w: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建档</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val="en-US" w:bidi="ar"/>
              </w:rPr>
            </w:pPr>
            <w:r>
              <w:rPr>
                <w:rFonts w:hint="eastAsia" w:ascii="仿宋_GB2312" w:hAnsi="仿宋_GB2312" w:eastAsia="仿宋_GB2312" w:cs="仿宋_GB2312"/>
                <w:i w:val="0"/>
                <w:color w:val="000000"/>
                <w:kern w:val="2"/>
                <w:sz w:val="24"/>
                <w:szCs w:val="24"/>
                <w:u w:val="none"/>
                <w:lang w:val="en-US" w:eastAsia="zh-CN" w:bidi="ar"/>
              </w:rPr>
              <w:t>为残疾人建立服务档案，并及时更新。</w:t>
            </w:r>
          </w:p>
        </w:tc>
        <w:tc>
          <w:tcPr>
            <w:tcW w:w="124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80人</w:t>
            </w:r>
          </w:p>
        </w:tc>
      </w:tr>
      <w:tr>
        <w:tblPrEx>
          <w:tblCellMar>
            <w:top w:w="0" w:type="dxa"/>
            <w:left w:w="0" w:type="dxa"/>
            <w:bottom w:w="0" w:type="dxa"/>
            <w:right w:w="0" w:type="dxa"/>
          </w:tblCellMar>
        </w:tblPrEx>
        <w:trPr>
          <w:trHeight w:val="625" w:hRule="atLeast"/>
        </w:trPr>
        <w:tc>
          <w:tcPr>
            <w:tcW w:w="4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3</w:t>
            </w:r>
          </w:p>
        </w:tc>
        <w:tc>
          <w:tcPr>
            <w:tcW w:w="12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探访</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为残疾人和残疾人家属提供上门、电话等服务，了解残疾人及家属近况。</w:t>
            </w:r>
          </w:p>
        </w:tc>
        <w:tc>
          <w:tcPr>
            <w:tcW w:w="124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100人次</w:t>
            </w:r>
          </w:p>
        </w:tc>
      </w:tr>
      <w:tr>
        <w:tblPrEx>
          <w:tblCellMar>
            <w:top w:w="0" w:type="dxa"/>
            <w:left w:w="0" w:type="dxa"/>
            <w:bottom w:w="0" w:type="dxa"/>
            <w:right w:w="0" w:type="dxa"/>
          </w:tblCellMar>
        </w:tblPrEx>
        <w:trPr>
          <w:trHeight w:val="985" w:hRule="atLeast"/>
        </w:trPr>
        <w:tc>
          <w:tcPr>
            <w:tcW w:w="40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12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咨询、访谈</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提供相关惠残政策、心理状态、生活状态为主题的咨询、访谈服务。</w:t>
            </w:r>
          </w:p>
        </w:tc>
        <w:tc>
          <w:tcPr>
            <w:tcW w:w="1243"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150人次</w:t>
            </w:r>
          </w:p>
        </w:tc>
      </w:tr>
      <w:tr>
        <w:tblPrEx>
          <w:tblCellMar>
            <w:top w:w="0" w:type="dxa"/>
            <w:left w:w="0" w:type="dxa"/>
            <w:bottom w:w="0" w:type="dxa"/>
            <w:right w:w="0" w:type="dxa"/>
          </w:tblCellMar>
        </w:tblPrEx>
        <w:trPr>
          <w:trHeight w:val="2010" w:hRule="atLeast"/>
        </w:trPr>
        <w:tc>
          <w:tcPr>
            <w:tcW w:w="4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5</w:t>
            </w:r>
          </w:p>
        </w:tc>
        <w:tc>
          <w:tcPr>
            <w:tcW w:w="12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辅导个案</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以个别化的方式为有需要的个人或家庭提供服务，包括情绪疏导、成长辅导、政策咨询、资源链接、能力提升、技能训练等内容，跟进不少于4次，每次不少于40分钟。</w:t>
            </w:r>
          </w:p>
        </w:tc>
        <w:tc>
          <w:tcPr>
            <w:tcW w:w="12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10个</w:t>
            </w:r>
          </w:p>
        </w:tc>
      </w:tr>
      <w:tr>
        <w:tblPrEx>
          <w:tblCellMar>
            <w:top w:w="0" w:type="dxa"/>
            <w:left w:w="0" w:type="dxa"/>
            <w:bottom w:w="0" w:type="dxa"/>
            <w:right w:w="0" w:type="dxa"/>
          </w:tblCellMar>
        </w:tblPrEx>
        <w:trPr>
          <w:trHeight w:val="1445" w:hRule="atLeast"/>
        </w:trPr>
        <w:tc>
          <w:tcPr>
            <w:tcW w:w="4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6</w:t>
            </w:r>
          </w:p>
        </w:tc>
        <w:tc>
          <w:tcPr>
            <w:tcW w:w="12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小组工作</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根据残疾人发展程度、特点、需求及残疾人家属的有关需要，开展有针对性的小组工作，每个小组不小少于5节，每次不少于40分钟。</w:t>
            </w:r>
          </w:p>
        </w:tc>
        <w:tc>
          <w:tcPr>
            <w:tcW w:w="12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 xml:space="preserve">   2个</w:t>
            </w:r>
          </w:p>
        </w:tc>
      </w:tr>
      <w:tr>
        <w:tblPrEx>
          <w:tblCellMar>
            <w:top w:w="0" w:type="dxa"/>
            <w:left w:w="0" w:type="dxa"/>
            <w:bottom w:w="0" w:type="dxa"/>
            <w:right w:w="0" w:type="dxa"/>
          </w:tblCellMar>
        </w:tblPrEx>
        <w:trPr>
          <w:trHeight w:val="980" w:hRule="atLeast"/>
        </w:trPr>
        <w:tc>
          <w:tcPr>
            <w:tcW w:w="405"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7</w:t>
            </w:r>
          </w:p>
        </w:tc>
        <w:tc>
          <w:tcPr>
            <w:tcW w:w="12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中小型活动</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包括但不限于心理减压、常识教育、节日康娱等主题，每场参加人数在10至30人之间。</w:t>
            </w:r>
          </w:p>
        </w:tc>
        <w:tc>
          <w:tcPr>
            <w:tcW w:w="1243"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10场</w:t>
            </w:r>
          </w:p>
        </w:tc>
      </w:tr>
      <w:tr>
        <w:tblPrEx>
          <w:tblCellMar>
            <w:top w:w="0" w:type="dxa"/>
            <w:left w:w="0" w:type="dxa"/>
            <w:bottom w:w="0" w:type="dxa"/>
            <w:right w:w="0" w:type="dxa"/>
          </w:tblCellMar>
        </w:tblPrEx>
        <w:trPr>
          <w:trHeight w:val="420" w:hRule="atLeast"/>
        </w:trPr>
        <w:tc>
          <w:tcPr>
            <w:tcW w:w="4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8</w:t>
            </w:r>
          </w:p>
        </w:tc>
        <w:tc>
          <w:tcPr>
            <w:tcW w:w="12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大型活动</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不少于100人次。</w:t>
            </w:r>
          </w:p>
        </w:tc>
        <w:tc>
          <w:tcPr>
            <w:tcW w:w="124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1场</w:t>
            </w:r>
          </w:p>
        </w:tc>
      </w:tr>
      <w:tr>
        <w:tblPrEx>
          <w:tblCellMar>
            <w:top w:w="0" w:type="dxa"/>
            <w:left w:w="0" w:type="dxa"/>
            <w:bottom w:w="0" w:type="dxa"/>
            <w:right w:w="0" w:type="dxa"/>
          </w:tblCellMar>
        </w:tblPrEx>
        <w:trPr>
          <w:trHeight w:val="1340" w:hRule="atLeast"/>
        </w:trPr>
        <w:tc>
          <w:tcPr>
            <w:tcW w:w="4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9</w:t>
            </w:r>
          </w:p>
        </w:tc>
        <w:tc>
          <w:tcPr>
            <w:tcW w:w="12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技能提升</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活动</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围绕生活、体育、舞蹈、手工艺品等各项技能，结合社工专业理念，开展技能提升活动，每场参加人数在8至20人之间。</w:t>
            </w:r>
          </w:p>
        </w:tc>
        <w:tc>
          <w:tcPr>
            <w:tcW w:w="124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40场</w:t>
            </w:r>
          </w:p>
        </w:tc>
      </w:tr>
      <w:tr>
        <w:tblPrEx>
          <w:tblCellMar>
            <w:top w:w="0" w:type="dxa"/>
            <w:left w:w="0" w:type="dxa"/>
            <w:bottom w:w="0" w:type="dxa"/>
            <w:right w:w="0" w:type="dxa"/>
          </w:tblCellMar>
        </w:tblPrEx>
        <w:trPr>
          <w:trHeight w:val="910" w:hRule="atLeast"/>
        </w:trPr>
        <w:tc>
          <w:tcPr>
            <w:tcW w:w="4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outlineLvl w:val="9"/>
              <w:rPr>
                <w:rFonts w:hint="eastAsia" w:ascii="仿宋_GB2312" w:hAnsi="仿宋_GB2312" w:eastAsia="仿宋_GB2312" w:cs="仿宋_GB2312"/>
                <w:b/>
                <w:i w:val="0"/>
                <w:color w:val="000000"/>
                <w:sz w:val="24"/>
                <w:szCs w:val="24"/>
                <w:u w:val="none"/>
                <w:lang w:val="en-US" w:eastAsia="zh-CN"/>
              </w:rPr>
            </w:pPr>
            <w:r>
              <w:rPr>
                <w:rFonts w:hint="eastAsia" w:ascii="仿宋_GB2312" w:hAnsi="仿宋_GB2312" w:eastAsia="仿宋_GB2312" w:cs="仿宋_GB2312"/>
                <w:b/>
                <w:i w:val="0"/>
                <w:color w:val="000000"/>
                <w:sz w:val="24"/>
                <w:szCs w:val="24"/>
                <w:u w:val="none"/>
                <w:lang w:val="en-US" w:eastAsia="zh-CN"/>
              </w:rPr>
              <w:t>10</w:t>
            </w:r>
          </w:p>
        </w:tc>
        <w:tc>
          <w:tcPr>
            <w:tcW w:w="12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社群运营</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做好各类服务群管理，包括请休假、线上分享互动等。</w:t>
            </w:r>
          </w:p>
        </w:tc>
        <w:tc>
          <w:tcPr>
            <w:tcW w:w="124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1年</w:t>
            </w:r>
          </w:p>
        </w:tc>
      </w:tr>
      <w:tr>
        <w:tblPrEx>
          <w:tblCellMar>
            <w:top w:w="0" w:type="dxa"/>
            <w:left w:w="0" w:type="dxa"/>
            <w:bottom w:w="0" w:type="dxa"/>
            <w:right w:w="0" w:type="dxa"/>
          </w:tblCellMar>
        </w:tblPrEx>
        <w:trPr>
          <w:trHeight w:val="1980" w:hRule="atLeast"/>
        </w:trPr>
        <w:tc>
          <w:tcPr>
            <w:tcW w:w="40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lang w:val="en-US"/>
              </w:rPr>
            </w:pPr>
            <w:r>
              <w:rPr>
                <w:rFonts w:hint="eastAsia" w:ascii="仿宋_GB2312" w:hAnsi="仿宋_GB2312" w:eastAsia="仿宋_GB2312" w:cs="仿宋_GB2312"/>
                <w:b/>
                <w:i w:val="0"/>
                <w:color w:val="000000"/>
                <w:kern w:val="0"/>
                <w:sz w:val="24"/>
                <w:szCs w:val="24"/>
                <w:u w:val="none"/>
                <w:lang w:val="en-US" w:eastAsia="zh-CN" w:bidi="ar"/>
              </w:rPr>
              <w:t>11</w:t>
            </w:r>
          </w:p>
        </w:tc>
        <w:tc>
          <w:tcPr>
            <w:tcW w:w="12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完成市、区级残联各类活动及培训相关工作。</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①协助活动前期报名宣传；</w:t>
            </w:r>
            <w:r>
              <w:rPr>
                <w:rFonts w:hint="eastAsia" w:ascii="仿宋_GB2312" w:hAnsi="仿宋_GB2312" w:eastAsia="仿宋_GB2312" w:cs="仿宋_GB2312"/>
                <w:i w:val="0"/>
                <w:color w:val="000000"/>
                <w:kern w:val="2"/>
                <w:sz w:val="24"/>
                <w:szCs w:val="24"/>
                <w:u w:val="none"/>
                <w:lang w:val="en-US" w:eastAsia="zh-CN" w:bidi="ar"/>
              </w:rPr>
              <w:br w:type="textWrapping"/>
            </w:r>
            <w:r>
              <w:rPr>
                <w:rFonts w:hint="eastAsia" w:ascii="仿宋_GB2312" w:hAnsi="仿宋_GB2312" w:eastAsia="仿宋_GB2312" w:cs="仿宋_GB2312"/>
                <w:i w:val="0"/>
                <w:color w:val="000000"/>
                <w:kern w:val="2"/>
                <w:sz w:val="24"/>
                <w:szCs w:val="24"/>
                <w:u w:val="none"/>
                <w:lang w:val="en-US" w:eastAsia="zh-CN" w:bidi="ar"/>
              </w:rPr>
              <w:t>②帮助残疾人报名；</w:t>
            </w:r>
            <w:r>
              <w:rPr>
                <w:rFonts w:hint="eastAsia" w:ascii="仿宋_GB2312" w:hAnsi="仿宋_GB2312" w:eastAsia="仿宋_GB2312" w:cs="仿宋_GB2312"/>
                <w:i w:val="0"/>
                <w:color w:val="000000"/>
                <w:kern w:val="2"/>
                <w:sz w:val="24"/>
                <w:szCs w:val="24"/>
                <w:u w:val="none"/>
                <w:lang w:val="en-US" w:eastAsia="zh-CN" w:bidi="ar"/>
              </w:rPr>
              <w:br w:type="textWrapping"/>
            </w:r>
            <w:r>
              <w:rPr>
                <w:rFonts w:hint="eastAsia" w:ascii="仿宋_GB2312" w:hAnsi="仿宋_GB2312" w:eastAsia="仿宋_GB2312" w:cs="仿宋_GB2312"/>
                <w:i w:val="0"/>
                <w:color w:val="000000"/>
                <w:kern w:val="2"/>
                <w:sz w:val="24"/>
                <w:szCs w:val="24"/>
                <w:u w:val="none"/>
                <w:lang w:val="en-US" w:eastAsia="zh-CN" w:bidi="ar"/>
              </w:rPr>
              <w:t>③帮助残疾人参与竞赛类活动的相关训练；</w:t>
            </w:r>
            <w:r>
              <w:rPr>
                <w:rFonts w:hint="eastAsia" w:ascii="仿宋_GB2312" w:hAnsi="仿宋_GB2312" w:eastAsia="仿宋_GB2312" w:cs="仿宋_GB2312"/>
                <w:i w:val="0"/>
                <w:color w:val="000000"/>
                <w:kern w:val="2"/>
                <w:sz w:val="24"/>
                <w:szCs w:val="24"/>
                <w:u w:val="none"/>
                <w:lang w:val="en-US" w:eastAsia="zh-CN" w:bidi="ar"/>
              </w:rPr>
              <w:br w:type="textWrapping"/>
            </w:r>
            <w:r>
              <w:rPr>
                <w:rFonts w:hint="eastAsia" w:ascii="仿宋_GB2312" w:hAnsi="仿宋_GB2312" w:eastAsia="仿宋_GB2312" w:cs="仿宋_GB2312"/>
                <w:i w:val="0"/>
                <w:color w:val="000000"/>
                <w:kern w:val="2"/>
                <w:sz w:val="24"/>
                <w:szCs w:val="24"/>
                <w:u w:val="none"/>
                <w:lang w:val="en-US" w:eastAsia="zh-CN" w:bidi="ar"/>
              </w:rPr>
              <w:t>④协助组织残疾人参加活动。</w:t>
            </w:r>
          </w:p>
        </w:tc>
        <w:tc>
          <w:tcPr>
            <w:tcW w:w="124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sz w:val="24"/>
                <w:szCs w:val="24"/>
                <w:u w:val="none"/>
                <w:lang w:val="en-US" w:eastAsia="zh-CN" w:bidi="ar"/>
              </w:rPr>
              <w:t>100%</w:t>
            </w:r>
          </w:p>
        </w:tc>
      </w:tr>
      <w:tr>
        <w:tblPrEx>
          <w:tblCellMar>
            <w:top w:w="0" w:type="dxa"/>
            <w:left w:w="0" w:type="dxa"/>
            <w:bottom w:w="0" w:type="dxa"/>
            <w:right w:w="0" w:type="dxa"/>
          </w:tblCellMar>
        </w:tblPrEx>
        <w:trPr>
          <w:trHeight w:val="1760" w:hRule="atLeast"/>
        </w:trPr>
        <w:tc>
          <w:tcPr>
            <w:tcW w:w="4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12</w:t>
            </w:r>
          </w:p>
        </w:tc>
        <w:tc>
          <w:tcPr>
            <w:tcW w:w="12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bidi="ar"/>
              </w:rPr>
              <w:t>残联业务</w:t>
            </w:r>
          </w:p>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bidi="ar"/>
              </w:rPr>
              <w:t>工作</w:t>
            </w: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联合社区残协开展相关服务</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政策业务宣传、服务对象特殊问题探讨等。</w:t>
            </w:r>
          </w:p>
        </w:tc>
        <w:tc>
          <w:tcPr>
            <w:tcW w:w="1243"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bidi="ar"/>
              </w:rPr>
              <w:t>100%</w:t>
            </w:r>
          </w:p>
        </w:tc>
      </w:tr>
      <w:tr>
        <w:tblPrEx>
          <w:tblCellMar>
            <w:top w:w="0" w:type="dxa"/>
            <w:left w:w="0" w:type="dxa"/>
            <w:bottom w:w="0" w:type="dxa"/>
            <w:right w:w="0" w:type="dxa"/>
          </w:tblCellMar>
        </w:tblPrEx>
        <w:trPr>
          <w:trHeight w:val="1385" w:hRule="atLeast"/>
        </w:trPr>
        <w:tc>
          <w:tcPr>
            <w:tcW w:w="4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13</w:t>
            </w:r>
          </w:p>
        </w:tc>
        <w:tc>
          <w:tcPr>
            <w:tcW w:w="12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协助街道惠残政策业务开展</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①协助汇总、复核各项惠残业务有关资料；</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color w:val="000000"/>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②跟进惠残业务有关平台的工作。</w:t>
            </w:r>
          </w:p>
        </w:tc>
        <w:tc>
          <w:tcPr>
            <w:tcW w:w="1243"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bidi="ar"/>
              </w:rPr>
              <w:t>100%</w:t>
            </w:r>
          </w:p>
        </w:tc>
      </w:tr>
      <w:tr>
        <w:tblPrEx>
          <w:tblCellMar>
            <w:top w:w="0" w:type="dxa"/>
            <w:left w:w="0" w:type="dxa"/>
            <w:bottom w:w="0" w:type="dxa"/>
            <w:right w:w="0" w:type="dxa"/>
          </w:tblCellMar>
        </w:tblPrEx>
        <w:trPr>
          <w:trHeight w:val="1460" w:hRule="atLeast"/>
        </w:trPr>
        <w:tc>
          <w:tcPr>
            <w:tcW w:w="405"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lang w:val="en-US"/>
              </w:rPr>
            </w:pPr>
            <w:r>
              <w:rPr>
                <w:rFonts w:hint="eastAsia" w:ascii="仿宋_GB2312" w:hAnsi="仿宋_GB2312" w:eastAsia="仿宋_GB2312" w:cs="仿宋_GB2312"/>
                <w:b/>
                <w:i w:val="0"/>
                <w:color w:val="000000"/>
                <w:kern w:val="0"/>
                <w:sz w:val="24"/>
                <w:szCs w:val="24"/>
                <w:u w:val="none"/>
                <w:lang w:val="en-US" w:eastAsia="zh-CN" w:bidi="ar"/>
              </w:rPr>
              <w:t>14</w:t>
            </w:r>
          </w:p>
        </w:tc>
        <w:tc>
          <w:tcPr>
            <w:tcW w:w="12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完成直属部门安排的</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其他工作</w:t>
            </w:r>
          </w:p>
        </w:tc>
        <w:tc>
          <w:tcPr>
            <w:tcW w:w="4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协助开展有关低保、优抚、残障、老年人等困弱群体和文化服务等日常工作。</w:t>
            </w:r>
          </w:p>
        </w:tc>
        <w:tc>
          <w:tcPr>
            <w:tcW w:w="124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sz w:val="24"/>
                <w:szCs w:val="24"/>
                <w:u w:val="none"/>
                <w:lang w:val="en-US" w:eastAsia="zh-CN" w:bidi="ar"/>
              </w:rPr>
              <w:t>100%</w:t>
            </w:r>
          </w:p>
        </w:tc>
      </w:tr>
      <w:tr>
        <w:tblPrEx>
          <w:tblCellMar>
            <w:top w:w="0" w:type="dxa"/>
            <w:left w:w="0" w:type="dxa"/>
            <w:bottom w:w="0" w:type="dxa"/>
            <w:right w:w="0" w:type="dxa"/>
          </w:tblCellMar>
        </w:tblPrEx>
        <w:trPr>
          <w:trHeight w:val="1610" w:hRule="atLeast"/>
        </w:trPr>
        <w:tc>
          <w:tcPr>
            <w:tcW w:w="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15</w:t>
            </w:r>
          </w:p>
        </w:tc>
        <w:tc>
          <w:tcPr>
            <w:tcW w:w="1290"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服务成效</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产出</w:t>
            </w:r>
          </w:p>
        </w:tc>
        <w:tc>
          <w:tcPr>
            <w:tcW w:w="142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服务需求</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调研报告</w:t>
            </w:r>
          </w:p>
        </w:tc>
        <w:tc>
          <w:tcPr>
            <w:tcW w:w="465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围绕残疾人设计需求调研问卷，通过线上线下的方式发放并回收问卷。对服务对象的需求进行汇总、分析，形成科学、完整的调研报告，指导服务计划的制定。</w:t>
            </w:r>
          </w:p>
        </w:tc>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1份</w:t>
            </w:r>
          </w:p>
        </w:tc>
      </w:tr>
      <w:tr>
        <w:tblPrEx>
          <w:tblCellMar>
            <w:top w:w="0" w:type="dxa"/>
            <w:left w:w="0" w:type="dxa"/>
            <w:bottom w:w="0" w:type="dxa"/>
            <w:right w:w="0" w:type="dxa"/>
          </w:tblCellMar>
        </w:tblPrEx>
        <w:trPr>
          <w:trHeight w:val="1021" w:hRule="atLeast"/>
        </w:trPr>
        <w:tc>
          <w:tcPr>
            <w:tcW w:w="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16</w:t>
            </w:r>
          </w:p>
        </w:tc>
        <w:tc>
          <w:tcPr>
            <w:tcW w:w="12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终期总结</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报告</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项目服务运营情况形成年度总结报告。</w:t>
            </w:r>
          </w:p>
        </w:tc>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1份</w:t>
            </w:r>
          </w:p>
        </w:tc>
      </w:tr>
      <w:tr>
        <w:tblPrEx>
          <w:tblCellMar>
            <w:top w:w="0" w:type="dxa"/>
            <w:left w:w="0" w:type="dxa"/>
            <w:bottom w:w="0" w:type="dxa"/>
            <w:right w:w="0" w:type="dxa"/>
          </w:tblCellMar>
        </w:tblPrEx>
        <w:trPr>
          <w:trHeight w:val="821" w:hRule="atLeast"/>
        </w:trPr>
        <w:tc>
          <w:tcPr>
            <w:tcW w:w="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17</w:t>
            </w:r>
          </w:p>
        </w:tc>
        <w:tc>
          <w:tcPr>
            <w:tcW w:w="12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残疾人</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志愿者服务</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组织残疾人开展各类志愿服务。</w:t>
            </w:r>
          </w:p>
        </w:tc>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150小时</w:t>
            </w:r>
          </w:p>
        </w:tc>
      </w:tr>
      <w:tr>
        <w:tblPrEx>
          <w:tblCellMar>
            <w:top w:w="0" w:type="dxa"/>
            <w:left w:w="0" w:type="dxa"/>
            <w:bottom w:w="0" w:type="dxa"/>
            <w:right w:w="0" w:type="dxa"/>
          </w:tblCellMar>
        </w:tblPrEx>
        <w:trPr>
          <w:trHeight w:val="1004" w:hRule="atLeast"/>
        </w:trPr>
        <w:tc>
          <w:tcPr>
            <w:tcW w:w="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lang w:val="en-US"/>
              </w:rPr>
            </w:pPr>
            <w:r>
              <w:rPr>
                <w:rFonts w:hint="eastAsia" w:ascii="仿宋_GB2312" w:hAnsi="仿宋_GB2312" w:eastAsia="仿宋_GB2312" w:cs="仿宋_GB2312"/>
                <w:b/>
                <w:i w:val="0"/>
                <w:color w:val="000000"/>
                <w:kern w:val="0"/>
                <w:sz w:val="24"/>
                <w:szCs w:val="24"/>
                <w:u w:val="none"/>
                <w:lang w:val="en-US" w:eastAsia="zh-CN" w:bidi="ar"/>
              </w:rPr>
              <w:t>18</w:t>
            </w:r>
          </w:p>
        </w:tc>
        <w:tc>
          <w:tcPr>
            <w:tcW w:w="12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残疾人各类</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作品</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通过专业服务化指标完成，帮助残疾人完成舞蹈节目、手工艺品等作品。</w:t>
            </w:r>
          </w:p>
        </w:tc>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3样</w:t>
            </w:r>
          </w:p>
        </w:tc>
      </w:tr>
      <w:tr>
        <w:tblPrEx>
          <w:tblCellMar>
            <w:top w:w="0" w:type="dxa"/>
            <w:left w:w="0" w:type="dxa"/>
            <w:bottom w:w="0" w:type="dxa"/>
            <w:right w:w="0" w:type="dxa"/>
          </w:tblCellMar>
        </w:tblPrEx>
        <w:trPr>
          <w:trHeight w:val="955" w:hRule="atLeast"/>
        </w:trPr>
        <w:tc>
          <w:tcPr>
            <w:tcW w:w="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lang w:val="en-US"/>
              </w:rPr>
            </w:pPr>
            <w:r>
              <w:rPr>
                <w:rFonts w:hint="eastAsia" w:ascii="仿宋_GB2312" w:hAnsi="仿宋_GB2312" w:eastAsia="仿宋_GB2312" w:cs="仿宋_GB2312"/>
                <w:b/>
                <w:i w:val="0"/>
                <w:color w:val="000000"/>
                <w:kern w:val="0"/>
                <w:sz w:val="24"/>
                <w:szCs w:val="24"/>
                <w:u w:val="none"/>
                <w:lang w:val="en-US" w:eastAsia="zh-CN" w:bidi="ar"/>
              </w:rPr>
              <w:t>19</w:t>
            </w:r>
          </w:p>
        </w:tc>
        <w:tc>
          <w:tcPr>
            <w:tcW w:w="1290"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服务宣传</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指标</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i w:val="0"/>
                <w:color w:val="000000"/>
                <w:kern w:val="2"/>
                <w:sz w:val="24"/>
                <w:szCs w:val="24"/>
                <w:u w:val="none"/>
                <w:lang w:val="en-US" w:eastAsia="zh-CN" w:bidi="ar"/>
              </w:rPr>
              <w:t>服务宣传</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报道</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通过媒体宣传报道。</w:t>
            </w:r>
          </w:p>
        </w:tc>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15次</w:t>
            </w:r>
          </w:p>
        </w:tc>
      </w:tr>
      <w:tr>
        <w:tblPrEx>
          <w:tblCellMar>
            <w:top w:w="0" w:type="dxa"/>
            <w:left w:w="0" w:type="dxa"/>
            <w:bottom w:w="0" w:type="dxa"/>
            <w:right w:w="0" w:type="dxa"/>
          </w:tblCellMar>
        </w:tblPrEx>
        <w:trPr>
          <w:trHeight w:val="1179" w:hRule="atLeast"/>
        </w:trPr>
        <w:tc>
          <w:tcPr>
            <w:tcW w:w="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b/>
                <w:i w:val="0"/>
                <w:color w:val="000000"/>
                <w:sz w:val="24"/>
                <w:szCs w:val="24"/>
                <w:u w:val="none"/>
                <w:lang w:val="en-US"/>
              </w:rPr>
            </w:pPr>
            <w:r>
              <w:rPr>
                <w:rFonts w:hint="eastAsia" w:ascii="仿宋_GB2312" w:hAnsi="仿宋_GB2312" w:eastAsia="仿宋_GB2312" w:cs="仿宋_GB2312"/>
                <w:b/>
                <w:i w:val="0"/>
                <w:color w:val="000000"/>
                <w:kern w:val="0"/>
                <w:sz w:val="24"/>
                <w:szCs w:val="24"/>
                <w:u w:val="none"/>
                <w:lang w:val="en-US" w:eastAsia="zh-CN" w:bidi="ar"/>
              </w:rPr>
              <w:t>20</w:t>
            </w:r>
          </w:p>
        </w:tc>
        <w:tc>
          <w:tcPr>
            <w:tcW w:w="12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资源方链接</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通过微信、电话、面谈、宣传等方式和资源方进行沟通。</w:t>
            </w:r>
          </w:p>
        </w:tc>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2"/>
                <w:sz w:val="24"/>
                <w:szCs w:val="24"/>
                <w:u w:val="none"/>
                <w:lang w:val="en-US" w:eastAsia="zh-CN" w:bidi="ar"/>
              </w:rPr>
              <w:t>20次</w:t>
            </w:r>
          </w:p>
        </w:tc>
      </w:tr>
      <w:tr>
        <w:tblPrEx>
          <w:tblCellMar>
            <w:top w:w="0" w:type="dxa"/>
            <w:left w:w="0" w:type="dxa"/>
            <w:bottom w:w="0" w:type="dxa"/>
            <w:right w:w="0" w:type="dxa"/>
          </w:tblCellMar>
        </w:tblPrEx>
        <w:trPr>
          <w:trHeight w:val="1179" w:hRule="atLeast"/>
        </w:trPr>
        <w:tc>
          <w:tcPr>
            <w:tcW w:w="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default"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21</w:t>
            </w:r>
          </w:p>
        </w:tc>
        <w:tc>
          <w:tcPr>
            <w:tcW w:w="8608" w:type="dxa"/>
            <w:gridSpan w:val="4"/>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outlineLvl w:val="9"/>
              <w:rPr>
                <w:rFonts w:hint="eastAsia"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color w:val="000000"/>
                <w:sz w:val="24"/>
                <w:szCs w:val="24"/>
                <w:lang w:bidi="ar"/>
              </w:rPr>
              <w:t>备注：以上服务，需配备5名全职工作人员，全部需要持有助理社会工作师及以上资格证书。根据项目运营及服务成本测算，包含人员劳务费、部分活动物资费、管理费、督导费、法定税费和企业的利润等一切费用。</w:t>
            </w:r>
          </w:p>
        </w:tc>
      </w:tr>
      <w:tr>
        <w:tblPrEx>
          <w:tblCellMar>
            <w:top w:w="0" w:type="dxa"/>
            <w:left w:w="0" w:type="dxa"/>
            <w:bottom w:w="0" w:type="dxa"/>
            <w:right w:w="0" w:type="dxa"/>
          </w:tblCellMar>
        </w:tblPrEx>
        <w:trPr>
          <w:trHeight w:val="1179" w:hRule="atLeast"/>
        </w:trPr>
        <w:tc>
          <w:tcPr>
            <w:tcW w:w="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default"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22</w:t>
            </w:r>
          </w:p>
        </w:tc>
        <w:tc>
          <w:tcPr>
            <w:tcW w:w="8608" w:type="dxa"/>
            <w:gridSpan w:val="4"/>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outlineLvl w:val="9"/>
              <w:rPr>
                <w:rFonts w:hint="default" w:ascii="仿宋_GB2312" w:hAnsi="仿宋_GB2312" w:eastAsia="仿宋_GB2312" w:cs="仿宋_GB2312"/>
                <w:i w:val="0"/>
                <w:color w:val="000000"/>
                <w:kern w:val="2"/>
                <w:sz w:val="24"/>
                <w:szCs w:val="24"/>
                <w:u w:val="none"/>
                <w:lang w:val="en-US" w:eastAsia="zh-CN" w:bidi="ar"/>
              </w:rPr>
            </w:pPr>
            <w:r>
              <w:rPr>
                <w:rFonts w:hint="eastAsia" w:ascii="仿宋_GB2312" w:hAnsi="仿宋_GB2312" w:eastAsia="仿宋_GB2312" w:cs="仿宋_GB2312"/>
                <w:b/>
                <w:bCs/>
                <w:i w:val="0"/>
                <w:color w:val="000000"/>
                <w:kern w:val="2"/>
                <w:sz w:val="24"/>
                <w:szCs w:val="24"/>
                <w:u w:val="none"/>
                <w:lang w:val="en-US" w:eastAsia="zh-CN" w:bidi="ar"/>
              </w:rPr>
              <w:t>项目报价    元</w:t>
            </w:r>
          </w:p>
        </w:tc>
      </w:tr>
    </w:tbl>
    <w:p>
      <w:pPr>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w:t>
      </w:r>
    </w:p>
    <w:p>
      <w:pPr>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所有价格应按“</w:t>
      </w:r>
      <w:r>
        <w:rPr>
          <w:rFonts w:hint="eastAsia" w:ascii="仿宋_GB2312" w:hAnsi="仿宋_GB2312" w:eastAsia="仿宋_GB2312" w:cs="仿宋_GB2312"/>
          <w:color w:val="000000"/>
          <w:sz w:val="24"/>
          <w:szCs w:val="24"/>
          <w:lang w:val="en-US" w:eastAsia="zh-CN"/>
        </w:rPr>
        <w:t>采购需求</w:t>
      </w:r>
      <w:r>
        <w:rPr>
          <w:rFonts w:hint="eastAsia" w:ascii="仿宋_GB2312" w:hAnsi="仿宋_GB2312" w:eastAsia="仿宋_GB2312" w:cs="仿宋_GB2312"/>
          <w:color w:val="000000"/>
          <w:sz w:val="24"/>
          <w:szCs w:val="24"/>
        </w:rPr>
        <w:t>”中规定的货币单位填写；</w:t>
      </w:r>
    </w:p>
    <w:p>
      <w:pPr>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按每天每次的服务金额填报各项目单价；</w:t>
      </w:r>
    </w:p>
    <w:p>
      <w:pPr>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3</w:t>
      </w:r>
      <w:r>
        <w:rPr>
          <w:rFonts w:hint="eastAsia" w:ascii="仿宋_GB2312" w:hAnsi="仿宋_GB2312" w:eastAsia="仿宋_GB2312" w:cs="仿宋_GB2312"/>
          <w:bCs/>
          <w:color w:val="000000"/>
          <w:sz w:val="24"/>
          <w:szCs w:val="24"/>
          <w:lang w:val="en-US" w:eastAsia="zh-CN"/>
        </w:rPr>
        <w:t>.</w:t>
      </w:r>
      <w:r>
        <w:rPr>
          <w:rFonts w:hint="eastAsia" w:ascii="仿宋_GB2312" w:hAnsi="仿宋_GB2312" w:eastAsia="仿宋_GB2312" w:cs="仿宋_GB2312"/>
          <w:bCs/>
          <w:color w:val="000000"/>
          <w:sz w:val="24"/>
          <w:szCs w:val="24"/>
        </w:rPr>
        <w:t>投标人如果需要对报价或其它内容加以说明，可在备注栏填写</w:t>
      </w:r>
      <w:r>
        <w:rPr>
          <w:rFonts w:hint="eastAsia" w:ascii="仿宋_GB2312" w:hAnsi="仿宋_GB2312" w:eastAsia="仿宋_GB2312" w:cs="仿宋_GB2312"/>
          <w:bCs/>
          <w:color w:val="000000"/>
          <w:sz w:val="24"/>
          <w:szCs w:val="24"/>
          <w:lang w:eastAsia="zh-CN"/>
        </w:rPr>
        <w:t>。</w:t>
      </w:r>
    </w:p>
    <w:p>
      <w:pPr>
        <w:ind w:firstLine="640" w:firstLineChars="200"/>
        <w:outlineLvl w:val="0"/>
        <w:rPr>
          <w:rFonts w:hint="eastAsia" w:ascii="黑体" w:hAnsi="黑体" w:eastAsia="黑体" w:cs="仿宋"/>
          <w:b w:val="0"/>
          <w:bCs w:val="0"/>
          <w:color w:val="000000"/>
          <w:sz w:val="32"/>
          <w:szCs w:val="32"/>
        </w:rPr>
      </w:pPr>
      <w:r>
        <w:rPr>
          <w:rFonts w:hint="eastAsia" w:ascii="黑体" w:hAnsi="黑体" w:eastAsia="黑体" w:cs="仿宋"/>
          <w:b w:val="0"/>
          <w:bCs w:val="0"/>
          <w:color w:val="000000"/>
          <w:sz w:val="32"/>
          <w:szCs w:val="32"/>
          <w:lang w:val="en-US" w:eastAsia="zh-CN"/>
        </w:rPr>
        <w:t>八、</w:t>
      </w:r>
      <w:r>
        <w:rPr>
          <w:rFonts w:hint="eastAsia" w:ascii="黑体" w:hAnsi="黑体" w:eastAsia="黑体" w:cs="仿宋"/>
          <w:b w:val="0"/>
          <w:bCs w:val="0"/>
          <w:color w:val="000000"/>
          <w:sz w:val="32"/>
          <w:szCs w:val="32"/>
        </w:rPr>
        <w:t>供应商情况介绍</w:t>
      </w:r>
    </w:p>
    <w:p>
      <w:pPr>
        <w:pStyle w:val="2"/>
        <w:rPr>
          <w:rFonts w:hint="eastAsia"/>
        </w:rPr>
      </w:pPr>
    </w:p>
    <w:tbl>
      <w:tblPr>
        <w:tblStyle w:val="5"/>
        <w:tblW w:w="943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333"/>
        <w:gridCol w:w="4514"/>
        <w:gridCol w:w="170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79"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2333" w:type="dxa"/>
            <w:vAlign w:val="top"/>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项目</w:t>
            </w:r>
          </w:p>
        </w:tc>
        <w:tc>
          <w:tcPr>
            <w:tcW w:w="4514"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内容及说明</w:t>
            </w:r>
          </w:p>
        </w:tc>
        <w:tc>
          <w:tcPr>
            <w:tcW w:w="1706"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79"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一</w:t>
            </w:r>
          </w:p>
        </w:tc>
        <w:tc>
          <w:tcPr>
            <w:tcW w:w="6847" w:type="dxa"/>
            <w:gridSpan w:val="2"/>
            <w:vAlign w:val="top"/>
          </w:tcPr>
          <w:p>
            <w:pPr>
              <w:pageBreakBefore w:val="0"/>
              <w:kinsoku/>
              <w:overflowPunct/>
              <w:topLinePunct w:val="0"/>
              <w:autoSpaceDE/>
              <w:autoSpaceDN/>
              <w:bidi w:val="0"/>
              <w:spacing w:line="520" w:lineRule="exact"/>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营业执照</w:t>
            </w:r>
          </w:p>
        </w:tc>
        <w:tc>
          <w:tcPr>
            <w:tcW w:w="1706"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79"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333"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成立日期及注册号</w:t>
            </w:r>
          </w:p>
        </w:tc>
        <w:tc>
          <w:tcPr>
            <w:tcW w:w="4514" w:type="dxa"/>
            <w:vAlign w:val="center"/>
          </w:tcPr>
          <w:p>
            <w:pPr>
              <w:pageBreakBefore w:val="0"/>
              <w:kinsoku/>
              <w:overflowPunct/>
              <w:topLinePunct w:val="0"/>
              <w:autoSpaceDE/>
              <w:autoSpaceDN/>
              <w:bidi w:val="0"/>
              <w:spacing w:line="520" w:lineRule="exact"/>
              <w:textAlignment w:val="auto"/>
              <w:rPr>
                <w:rFonts w:hint="eastAsia" w:ascii="仿宋_GB2312" w:hAnsi="仿宋_GB2312" w:eastAsia="仿宋_GB2312" w:cs="仿宋_GB2312"/>
                <w:color w:val="000000"/>
                <w:sz w:val="24"/>
              </w:rPr>
            </w:pPr>
          </w:p>
        </w:tc>
        <w:tc>
          <w:tcPr>
            <w:tcW w:w="1706"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79"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2333"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注册资本（万元）</w:t>
            </w:r>
          </w:p>
        </w:tc>
        <w:tc>
          <w:tcPr>
            <w:tcW w:w="4514" w:type="dxa"/>
            <w:vAlign w:val="center"/>
          </w:tcPr>
          <w:p>
            <w:pPr>
              <w:pageBreakBefore w:val="0"/>
              <w:kinsoku/>
              <w:overflowPunct/>
              <w:topLinePunct w:val="0"/>
              <w:autoSpaceDE/>
              <w:autoSpaceDN/>
              <w:bidi w:val="0"/>
              <w:spacing w:line="520" w:lineRule="exact"/>
              <w:textAlignment w:val="auto"/>
              <w:rPr>
                <w:rFonts w:hint="eastAsia" w:ascii="仿宋_GB2312" w:hAnsi="仿宋_GB2312" w:eastAsia="仿宋_GB2312" w:cs="仿宋_GB2312"/>
                <w:color w:val="000000"/>
                <w:sz w:val="24"/>
              </w:rPr>
            </w:pPr>
          </w:p>
        </w:tc>
        <w:tc>
          <w:tcPr>
            <w:tcW w:w="1706"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79"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2333"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注册地址</w:t>
            </w:r>
          </w:p>
        </w:tc>
        <w:tc>
          <w:tcPr>
            <w:tcW w:w="4514" w:type="dxa"/>
            <w:vAlign w:val="center"/>
          </w:tcPr>
          <w:p>
            <w:pPr>
              <w:pageBreakBefore w:val="0"/>
              <w:kinsoku/>
              <w:overflowPunct/>
              <w:topLinePunct w:val="0"/>
              <w:autoSpaceDE/>
              <w:autoSpaceDN/>
              <w:bidi w:val="0"/>
              <w:spacing w:line="520" w:lineRule="exact"/>
              <w:textAlignment w:val="auto"/>
              <w:rPr>
                <w:rFonts w:hint="eastAsia" w:ascii="仿宋_GB2312" w:hAnsi="仿宋_GB2312" w:eastAsia="仿宋_GB2312" w:cs="仿宋_GB2312"/>
                <w:color w:val="000000"/>
                <w:sz w:val="24"/>
              </w:rPr>
            </w:pPr>
          </w:p>
        </w:tc>
        <w:tc>
          <w:tcPr>
            <w:tcW w:w="1706"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79"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2333"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有效期</w:t>
            </w:r>
          </w:p>
        </w:tc>
        <w:tc>
          <w:tcPr>
            <w:tcW w:w="4514" w:type="dxa"/>
            <w:vAlign w:val="center"/>
          </w:tcPr>
          <w:p>
            <w:pPr>
              <w:pageBreakBefore w:val="0"/>
              <w:kinsoku/>
              <w:overflowPunct/>
              <w:topLinePunct w:val="0"/>
              <w:autoSpaceDE/>
              <w:autoSpaceDN/>
              <w:bidi w:val="0"/>
              <w:spacing w:line="520" w:lineRule="exact"/>
              <w:textAlignment w:val="auto"/>
              <w:rPr>
                <w:rFonts w:hint="eastAsia" w:ascii="仿宋_GB2312" w:hAnsi="仿宋_GB2312" w:eastAsia="仿宋_GB2312" w:cs="仿宋_GB2312"/>
                <w:color w:val="000000"/>
                <w:sz w:val="24"/>
              </w:rPr>
            </w:pPr>
          </w:p>
        </w:tc>
        <w:tc>
          <w:tcPr>
            <w:tcW w:w="1706"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79"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二</w:t>
            </w:r>
          </w:p>
        </w:tc>
        <w:tc>
          <w:tcPr>
            <w:tcW w:w="6847" w:type="dxa"/>
            <w:gridSpan w:val="2"/>
            <w:vAlign w:val="center"/>
          </w:tcPr>
          <w:p>
            <w:pPr>
              <w:pageBreakBefore w:val="0"/>
              <w:kinsoku/>
              <w:overflowPunct/>
              <w:topLinePunct w:val="0"/>
              <w:autoSpaceDE/>
              <w:autoSpaceDN/>
              <w:bidi w:val="0"/>
              <w:spacing w:line="520" w:lineRule="exact"/>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税务登记证</w:t>
            </w:r>
          </w:p>
        </w:tc>
        <w:tc>
          <w:tcPr>
            <w:tcW w:w="1706"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79"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333"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税务登记证编号</w:t>
            </w:r>
          </w:p>
        </w:tc>
        <w:tc>
          <w:tcPr>
            <w:tcW w:w="4514" w:type="dxa"/>
            <w:vAlign w:val="center"/>
          </w:tcPr>
          <w:p>
            <w:pPr>
              <w:pageBreakBefore w:val="0"/>
              <w:kinsoku/>
              <w:overflowPunct/>
              <w:topLinePunct w:val="0"/>
              <w:autoSpaceDE/>
              <w:autoSpaceDN/>
              <w:bidi w:val="0"/>
              <w:spacing w:line="520" w:lineRule="exact"/>
              <w:textAlignment w:val="auto"/>
              <w:rPr>
                <w:rFonts w:hint="eastAsia" w:ascii="仿宋_GB2312" w:hAnsi="仿宋_GB2312" w:eastAsia="仿宋_GB2312" w:cs="仿宋_GB2312"/>
                <w:color w:val="000000"/>
                <w:sz w:val="24"/>
              </w:rPr>
            </w:pPr>
          </w:p>
        </w:tc>
        <w:tc>
          <w:tcPr>
            <w:tcW w:w="1706"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79"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w:t>
            </w:r>
          </w:p>
        </w:tc>
        <w:tc>
          <w:tcPr>
            <w:tcW w:w="6847" w:type="dxa"/>
            <w:gridSpan w:val="2"/>
            <w:vAlign w:val="center"/>
          </w:tcPr>
          <w:p>
            <w:pPr>
              <w:pageBreakBefore w:val="0"/>
              <w:kinsoku/>
              <w:overflowPunct/>
              <w:topLinePunct w:val="0"/>
              <w:autoSpaceDE/>
              <w:autoSpaceDN/>
              <w:bidi w:val="0"/>
              <w:spacing w:line="520" w:lineRule="exact"/>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资格（质）证书（</w:t>
            </w:r>
            <w:r>
              <w:rPr>
                <w:rFonts w:hint="eastAsia" w:ascii="仿宋_GB2312" w:hAnsi="仿宋_GB2312" w:eastAsia="仿宋_GB2312" w:cs="仿宋_GB2312"/>
                <w:color w:val="000000"/>
                <w:sz w:val="24"/>
              </w:rPr>
              <w:t>若有其他资质证书，可按表格格式扩展</w:t>
            </w:r>
            <w:r>
              <w:rPr>
                <w:rFonts w:hint="eastAsia" w:ascii="仿宋_GB2312" w:hAnsi="仿宋_GB2312" w:eastAsia="仿宋_GB2312" w:cs="仿宋_GB2312"/>
                <w:b/>
                <w:color w:val="000000"/>
                <w:sz w:val="24"/>
              </w:rPr>
              <w:t>）</w:t>
            </w:r>
          </w:p>
        </w:tc>
        <w:tc>
          <w:tcPr>
            <w:tcW w:w="1706"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79"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333"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证书名称</w:t>
            </w:r>
          </w:p>
        </w:tc>
        <w:tc>
          <w:tcPr>
            <w:tcW w:w="4514"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p>
        </w:tc>
        <w:tc>
          <w:tcPr>
            <w:tcW w:w="1706"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79"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2333"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发证机关</w:t>
            </w:r>
          </w:p>
        </w:tc>
        <w:tc>
          <w:tcPr>
            <w:tcW w:w="4514"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p>
        </w:tc>
        <w:tc>
          <w:tcPr>
            <w:tcW w:w="1706"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79"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2333"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等级</w:t>
            </w:r>
          </w:p>
        </w:tc>
        <w:tc>
          <w:tcPr>
            <w:tcW w:w="4514"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p>
        </w:tc>
        <w:tc>
          <w:tcPr>
            <w:tcW w:w="1706"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79"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2333"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发证日期及编号</w:t>
            </w:r>
          </w:p>
        </w:tc>
        <w:tc>
          <w:tcPr>
            <w:tcW w:w="4514"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p>
        </w:tc>
        <w:tc>
          <w:tcPr>
            <w:tcW w:w="1706"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879"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2333"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有效期</w:t>
            </w:r>
          </w:p>
        </w:tc>
        <w:tc>
          <w:tcPr>
            <w:tcW w:w="4514"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p>
        </w:tc>
        <w:tc>
          <w:tcPr>
            <w:tcW w:w="1706"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79"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四</w:t>
            </w:r>
          </w:p>
        </w:tc>
        <w:tc>
          <w:tcPr>
            <w:tcW w:w="6847" w:type="dxa"/>
            <w:gridSpan w:val="2"/>
            <w:vAlign w:val="center"/>
          </w:tcPr>
          <w:p>
            <w:pPr>
              <w:pageBreakBefore w:val="0"/>
              <w:kinsoku/>
              <w:overflowPunct/>
              <w:topLinePunct w:val="0"/>
              <w:autoSpaceDE/>
              <w:autoSpaceDN/>
              <w:bidi w:val="0"/>
              <w:spacing w:line="520" w:lineRule="exact"/>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其他</w:t>
            </w:r>
            <w:r>
              <w:rPr>
                <w:rFonts w:hint="eastAsia" w:ascii="仿宋_GB2312" w:hAnsi="仿宋_GB2312" w:eastAsia="仿宋_GB2312" w:cs="仿宋_GB2312"/>
                <w:color w:val="000000"/>
                <w:sz w:val="24"/>
              </w:rPr>
              <w:t>（投标人认为需补充的其他说明）</w:t>
            </w:r>
          </w:p>
        </w:tc>
        <w:tc>
          <w:tcPr>
            <w:tcW w:w="1706"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79"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333"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p>
        </w:tc>
        <w:tc>
          <w:tcPr>
            <w:tcW w:w="4514"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p>
        </w:tc>
        <w:tc>
          <w:tcPr>
            <w:tcW w:w="1706" w:type="dxa"/>
            <w:vAlign w:val="center"/>
          </w:tcPr>
          <w:p>
            <w:pPr>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color w:val="000000"/>
                <w:sz w:val="24"/>
              </w:rPr>
            </w:pPr>
          </w:p>
        </w:tc>
      </w:tr>
    </w:tbl>
    <w:p>
      <w:pPr>
        <w:pageBreakBefore w:val="0"/>
        <w:kinsoku/>
        <w:overflowPunct/>
        <w:topLinePunct w:val="0"/>
        <w:autoSpaceDE/>
        <w:autoSpaceDN/>
        <w:bidi w:val="0"/>
        <w:spacing w:line="520" w:lineRule="exact"/>
        <w:ind w:firstLine="480" w:firstLineChars="200"/>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注：1</w:t>
      </w:r>
      <w:r>
        <w:rPr>
          <w:rFonts w:hint="eastAsia" w:ascii="仿宋_GB2312" w:hAnsi="仿宋_GB2312" w:eastAsia="仿宋_GB2312" w:cs="仿宋_GB2312"/>
          <w:bCs/>
          <w:color w:val="000000"/>
          <w:sz w:val="24"/>
          <w:lang w:val="en-US" w:eastAsia="zh-CN"/>
        </w:rPr>
        <w:t>.</w:t>
      </w:r>
      <w:r>
        <w:rPr>
          <w:rFonts w:hint="eastAsia" w:ascii="仿宋_GB2312" w:hAnsi="仿宋_GB2312" w:eastAsia="仿宋_GB2312" w:cs="仿宋_GB2312"/>
          <w:bCs/>
          <w:color w:val="000000"/>
          <w:sz w:val="24"/>
        </w:rPr>
        <w:t>在按要求填写好此表格后，各投标人可以用其它的方式，就公司整体情况作出详细的介绍。</w:t>
      </w:r>
    </w:p>
    <w:p>
      <w:pPr>
        <w:pStyle w:val="7"/>
        <w:pageBreakBefore w:val="0"/>
        <w:kinsoku/>
        <w:overflowPunct/>
        <w:topLinePunct w:val="0"/>
        <w:autoSpaceDE/>
        <w:bidi w:val="0"/>
        <w:spacing w:line="520" w:lineRule="exact"/>
        <w:rPr>
          <w:rFonts w:hint="eastAsia"/>
          <w:color w:val="000000"/>
        </w:rPr>
      </w:pPr>
    </w:p>
    <w:p/>
    <w:sectPr>
      <w:footerReference r:id="rId3" w:type="default"/>
      <w:pgSz w:w="11906" w:h="16838"/>
      <w:pgMar w:top="2126" w:right="1587" w:bottom="1440"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7A"/>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0WrDzrEBAABRAwAADgAAAAAAAAABACAAAAA0AQAAZHJzL2Uyb0RvYy54&#10;bWxQSwUGAAAAAAYABgBZAQAAVwUAAAAA&#10;">
              <v:fill on="f" focussize="0,0"/>
              <v:stroke on="f"/>
              <v:imagedata o:title=""/>
              <o:lock v:ext="edit" aspectratio="f"/>
              <v:textbox inset="0mm,0mm,0mm,0mm" style="mso-fit-shape-to-text:t;">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FF9E4B"/>
    <w:rsid w:val="66FE3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Times New Roman" w:hAnsi="Times New Roman" w:eastAsia="宋体" w:cs="Times New Roman"/>
      <w:b/>
      <w:bCs/>
      <w:sz w:val="24"/>
    </w:rPr>
  </w:style>
  <w:style w:type="paragraph" w:styleId="3">
    <w:name w:val="caption"/>
    <w:basedOn w:val="1"/>
    <w:next w:val="1"/>
    <w:qFormat/>
    <w:uiPriority w:val="0"/>
    <w:pPr>
      <w:spacing w:before="152" w:beforeLines="0" w:after="160" w:afterLines="0"/>
    </w:pPr>
    <w:rPr>
      <w:rFonts w:ascii="Arial" w:hAnsi="Arial" w:eastAsia="黑体" w:cs="Times New Roman"/>
      <w:sz w:val="20"/>
      <w:szCs w:val="20"/>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7">
    <w:name w:val="列出段落2"/>
    <w:basedOn w:val="1"/>
    <w:next w:val="8"/>
    <w:qFormat/>
    <w:uiPriority w:val="0"/>
    <w:pPr>
      <w:ind w:firstLine="420" w:firstLineChars="200"/>
    </w:pPr>
    <w:rPr>
      <w:rFonts w:ascii="Calibri" w:hAnsi="Calibri" w:eastAsia="宋体" w:cs="Times New Roman"/>
      <w:kern w:val="0"/>
      <w:sz w:val="20"/>
      <w:szCs w:val="20"/>
    </w:rPr>
  </w:style>
  <w:style w:type="paragraph" w:customStyle="1" w:styleId="8">
    <w:name w:val="xl591"/>
    <w:basedOn w:val="1"/>
    <w:next w:val="3"/>
    <w:qFormat/>
    <w:uiPriority w:val="0"/>
    <w:pPr>
      <w:widowControl/>
      <w:spacing w:before="100" w:beforeAutospacing="1" w:after="100" w:afterAutospacing="1"/>
      <w:jc w:val="left"/>
    </w:pPr>
    <w:rPr>
      <w:rFonts w:ascii="宋体" w:hAnsi="宋体" w:eastAsia="宋体" w:cs="宋体"/>
      <w:kern w:val="0"/>
      <w:sz w:val="24"/>
    </w:rPr>
  </w:style>
  <w:style w:type="character" w:customStyle="1" w:styleId="9">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wl</cp:lastModifiedBy>
  <dcterms:modified xsi:type="dcterms:W3CDTF">2023-06-08T10:01:11Z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