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坪山区</w:t>
      </w:r>
      <w:r>
        <w:rPr>
          <w:rFonts w:hint="eastAsia" w:ascii="方正小标宋简体" w:hAnsi="方正小标宋简体" w:eastAsia="方正小标宋简体" w:cs="方正小标宋简体"/>
          <w:b w:val="0"/>
          <w:bCs w:val="0"/>
          <w:sz w:val="44"/>
          <w:szCs w:val="44"/>
        </w:rPr>
        <w:t>碧岭街道汤坑社区土地整备利益统筹项目前期咨询</w:t>
      </w:r>
      <w:r>
        <w:rPr>
          <w:rFonts w:hint="eastAsia" w:ascii="方正小标宋简体" w:hAnsi="方正小标宋简体" w:eastAsia="方正小标宋简体" w:cs="方正小标宋简体"/>
          <w:b w:val="0"/>
          <w:bCs w:val="0"/>
          <w:sz w:val="44"/>
          <w:szCs w:val="44"/>
          <w:lang w:eastAsia="zh-CN"/>
        </w:rPr>
        <w:t>服务</w:t>
      </w:r>
      <w:r>
        <w:rPr>
          <w:rFonts w:hint="eastAsia" w:ascii="方正小标宋简体" w:hAnsi="方正小标宋简体" w:eastAsia="方正小标宋简体" w:cs="方正小标宋简体"/>
          <w:b w:val="0"/>
          <w:bCs w:val="0"/>
          <w:sz w:val="44"/>
          <w:szCs w:val="44"/>
        </w:rPr>
        <w:t>采购需求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一、采购项目概况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b/>
          <w:bCs/>
          <w:sz w:val="32"/>
          <w:szCs w:val="32"/>
        </w:rPr>
        <w:t>（一）项目简介：</w:t>
      </w:r>
      <w:r>
        <w:rPr>
          <w:rFonts w:hint="eastAsia" w:ascii="CESI仿宋-GB2312" w:hAnsi="CESI仿宋-GB2312" w:eastAsia="CESI仿宋-GB2312" w:cs="CESI仿宋-GB2312"/>
          <w:sz w:val="32"/>
          <w:szCs w:val="32"/>
        </w:rPr>
        <w:t>2022年5月</w:t>
      </w:r>
      <w:r>
        <w:rPr>
          <w:rFonts w:ascii="CESI仿宋-GB2312" w:hAnsi="CESI仿宋-GB2312" w:eastAsia="CESI仿宋-GB2312" w:cs="CESI仿宋-GB2312"/>
          <w:sz w:val="32"/>
          <w:szCs w:val="32"/>
        </w:rPr>
        <w:t>，坪山区印发</w:t>
      </w:r>
      <w:r>
        <w:rPr>
          <w:rFonts w:hint="eastAsia" w:ascii="CESI仿宋-GB2312" w:hAnsi="CESI仿宋-GB2312" w:eastAsia="CESI仿宋-GB2312" w:cs="CESI仿宋-GB2312"/>
          <w:sz w:val="32"/>
          <w:szCs w:val="32"/>
        </w:rPr>
        <w:t>《关于加强城市规划建设管理和历史文化保护传承高质量推动城市建设的实施意见》（深</w:t>
      </w:r>
      <w:r>
        <w:rPr>
          <w:rFonts w:ascii="CESI仿宋-GB2312" w:hAnsi="CESI仿宋-GB2312" w:eastAsia="CESI仿宋-GB2312" w:cs="CESI仿宋-GB2312"/>
          <w:sz w:val="32"/>
          <w:szCs w:val="32"/>
        </w:rPr>
        <w:t>坪府</w:t>
      </w:r>
      <w:r>
        <w:rPr>
          <w:rFonts w:hint="eastAsia" w:ascii="CESI仿宋-GB2312" w:hAnsi="CESI仿宋-GB2312" w:eastAsia="CESI仿宋-GB2312" w:cs="CESI仿宋-GB2312"/>
          <w:sz w:val="32"/>
          <w:szCs w:val="32"/>
        </w:rPr>
        <w:t>[</w:t>
      </w:r>
      <w:r>
        <w:rPr>
          <w:rFonts w:ascii="CESI仿宋-GB2312" w:hAnsi="CESI仿宋-GB2312" w:eastAsia="CESI仿宋-GB2312" w:cs="CESI仿宋-GB2312"/>
          <w:sz w:val="32"/>
          <w:szCs w:val="32"/>
        </w:rPr>
        <w:t>2022</w:t>
      </w:r>
      <w:r>
        <w:rPr>
          <w:rFonts w:hint="eastAsia" w:ascii="CESI仿宋-GB2312" w:hAnsi="CESI仿宋-GB2312" w:eastAsia="CESI仿宋-GB2312" w:cs="CESI仿宋-GB2312"/>
          <w:sz w:val="32"/>
          <w:szCs w:val="32"/>
        </w:rPr>
        <w:t>]</w:t>
      </w:r>
      <w:r>
        <w:rPr>
          <w:rFonts w:ascii="CESI仿宋-GB2312" w:hAnsi="CESI仿宋-GB2312" w:eastAsia="CESI仿宋-GB2312" w:cs="CESI仿宋-GB2312"/>
          <w:sz w:val="32"/>
          <w:szCs w:val="32"/>
        </w:rPr>
        <w:t>9</w:t>
      </w:r>
      <w:r>
        <w:rPr>
          <w:rFonts w:hint="eastAsia" w:ascii="CESI仿宋-GB2312" w:hAnsi="CESI仿宋-GB2312" w:eastAsia="CESI仿宋-GB2312" w:cs="CESI仿宋-GB2312"/>
          <w:sz w:val="32"/>
          <w:szCs w:val="32"/>
        </w:rPr>
        <w:t>号），</w:t>
      </w:r>
      <w:r>
        <w:rPr>
          <w:rFonts w:ascii="CESI仿宋-GB2312" w:hAnsi="CESI仿宋-GB2312" w:eastAsia="CESI仿宋-GB2312" w:cs="CESI仿宋-GB2312"/>
          <w:sz w:val="32"/>
          <w:szCs w:val="32"/>
        </w:rPr>
        <w:t>通过城市更新、</w:t>
      </w:r>
      <w:r>
        <w:rPr>
          <w:rFonts w:hint="eastAsia" w:ascii="CESI仿宋-GB2312" w:hAnsi="CESI仿宋-GB2312" w:eastAsia="CESI仿宋-GB2312" w:cs="CESI仿宋-GB2312"/>
          <w:sz w:val="32"/>
          <w:szCs w:val="32"/>
        </w:rPr>
        <w:t>土地</w:t>
      </w:r>
      <w:r>
        <w:rPr>
          <w:rFonts w:ascii="CESI仿宋-GB2312" w:hAnsi="CESI仿宋-GB2312" w:eastAsia="CESI仿宋-GB2312" w:cs="CESI仿宋-GB2312"/>
          <w:sz w:val="32"/>
          <w:szCs w:val="32"/>
        </w:rPr>
        <w:t>整备等存量提质改造方式，进一步拓展城市发展空间，补齐城市短板，提升功能品质，增强城市活力，全方位推动城市</w:t>
      </w:r>
      <w:r>
        <w:rPr>
          <w:rFonts w:hint="eastAsia" w:ascii="CESI仿宋-GB2312" w:hAnsi="CESI仿宋-GB2312" w:eastAsia="CESI仿宋-GB2312" w:cs="CESI仿宋-GB2312"/>
          <w:sz w:val="32"/>
          <w:szCs w:val="32"/>
        </w:rPr>
        <w:t>高</w:t>
      </w:r>
      <w:r>
        <w:rPr>
          <w:rFonts w:ascii="CESI仿宋-GB2312" w:hAnsi="CESI仿宋-GB2312" w:eastAsia="CESI仿宋-GB2312" w:cs="CESI仿宋-GB2312"/>
          <w:sz w:val="32"/>
          <w:szCs w:val="32"/>
        </w:rPr>
        <w:t>质量发展，加快建设“</w:t>
      </w:r>
      <w:r>
        <w:rPr>
          <w:rFonts w:hint="eastAsia" w:ascii="CESI仿宋-GB2312" w:hAnsi="CESI仿宋-GB2312" w:eastAsia="CESI仿宋-GB2312" w:cs="CESI仿宋-GB2312"/>
          <w:sz w:val="32"/>
          <w:szCs w:val="32"/>
        </w:rPr>
        <w:t>创新</w:t>
      </w:r>
      <w:r>
        <w:rPr>
          <w:rFonts w:ascii="CESI仿宋-GB2312" w:hAnsi="CESI仿宋-GB2312" w:eastAsia="CESI仿宋-GB2312" w:cs="CESI仿宋-GB2312"/>
          <w:sz w:val="32"/>
          <w:szCs w:val="32"/>
        </w:rPr>
        <w:t>坪山、未来</w:t>
      </w:r>
      <w:r>
        <w:rPr>
          <w:rFonts w:hint="eastAsia" w:ascii="CESI仿宋-GB2312" w:hAnsi="CESI仿宋-GB2312" w:eastAsia="CESI仿宋-GB2312" w:cs="CESI仿宋-GB2312"/>
          <w:sz w:val="32"/>
          <w:szCs w:val="32"/>
        </w:rPr>
        <w:t>之城</w:t>
      </w:r>
      <w:r>
        <w:rPr>
          <w:rFonts w:ascii="CESI仿宋-GB2312" w:hAnsi="CESI仿宋-GB2312" w:eastAsia="CESI仿宋-GB2312" w:cs="CESI仿宋-GB2312"/>
          <w:sz w:val="32"/>
          <w:szCs w:val="32"/>
        </w:rPr>
        <w:t>”</w:t>
      </w:r>
      <w:r>
        <w:rPr>
          <w:rFonts w:hint="eastAsia" w:ascii="CESI仿宋-GB2312" w:hAnsi="CESI仿宋-GB2312" w:eastAsia="CESI仿宋-GB2312" w:cs="CESI仿宋-GB2312"/>
          <w:sz w:val="32"/>
          <w:szCs w:val="32"/>
        </w:rPr>
        <w:t>。同时《坪山区全面推进土地整备三年行动计划（2022-2024年）》提出</w:t>
      </w:r>
      <w:r>
        <w:rPr>
          <w:rFonts w:ascii="CESI仿宋-GB2312" w:hAnsi="CESI仿宋-GB2312" w:eastAsia="CESI仿宋-GB2312" w:cs="CESI仿宋-GB2312"/>
          <w:sz w:val="32"/>
          <w:szCs w:val="32"/>
        </w:rPr>
        <w:t>，</w:t>
      </w:r>
      <w:r>
        <w:rPr>
          <w:rFonts w:hint="eastAsia" w:ascii="CESI仿宋-GB2312" w:hAnsi="CESI仿宋-GB2312" w:eastAsia="CESI仿宋-GB2312" w:cs="CESI仿宋-GB2312"/>
          <w:sz w:val="32"/>
          <w:szCs w:val="32"/>
        </w:rPr>
        <w:t>挖掘潜在土地整备项目，积极推进汤坑等片区的土地整备工作。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为做好碧岭街道汤坑社区土地整备利益统筹项目前期咨询服务单位供应商采购工作，现根据《中华人民共和国政府采购法》《中华人民共和国</w:t>
      </w:r>
      <w:r>
        <w:rPr>
          <w:rFonts w:hint="eastAsia" w:ascii="CESI仿宋-GB2312" w:hAnsi="CESI仿宋-GB2312" w:eastAsia="CESI仿宋-GB2312" w:cs="CESI仿宋-GB2312"/>
          <w:sz w:val="32"/>
          <w:szCs w:val="32"/>
          <w:highlight w:val="none"/>
        </w:rPr>
        <w:t>招</w:t>
      </w:r>
      <w:r>
        <w:rPr>
          <w:rFonts w:hint="eastAsia" w:ascii="CESI仿宋-GB2312" w:hAnsi="CESI仿宋-GB2312" w:eastAsia="CESI仿宋-GB2312" w:cs="CESI仿宋-GB2312"/>
          <w:sz w:val="32"/>
          <w:szCs w:val="32"/>
          <w:highlight w:val="none"/>
          <w:lang w:eastAsia="zh-CN"/>
        </w:rPr>
        <w:t>标</w:t>
      </w:r>
      <w:r>
        <w:rPr>
          <w:rFonts w:hint="eastAsia" w:ascii="CESI仿宋-GB2312" w:hAnsi="CESI仿宋-GB2312" w:eastAsia="CESI仿宋-GB2312" w:cs="CESI仿宋-GB2312"/>
          <w:sz w:val="32"/>
          <w:szCs w:val="32"/>
          <w:highlight w:val="none"/>
        </w:rPr>
        <w:t>投标</w:t>
      </w:r>
      <w:r>
        <w:rPr>
          <w:rFonts w:hint="eastAsia" w:ascii="CESI仿宋-GB2312" w:hAnsi="CESI仿宋-GB2312" w:eastAsia="CESI仿宋-GB2312" w:cs="CESI仿宋-GB2312"/>
          <w:sz w:val="32"/>
          <w:szCs w:val="32"/>
        </w:rPr>
        <w:t>法》《中华人民共和国招</w:t>
      </w:r>
      <w:r>
        <w:rPr>
          <w:rFonts w:hint="eastAsia" w:ascii="CESI仿宋-GB2312" w:hAnsi="CESI仿宋-GB2312" w:eastAsia="CESI仿宋-GB2312" w:cs="CESI仿宋-GB2312"/>
          <w:sz w:val="32"/>
          <w:szCs w:val="32"/>
          <w:lang w:eastAsia="zh-CN"/>
        </w:rPr>
        <w:t>标</w:t>
      </w:r>
      <w:r>
        <w:rPr>
          <w:rFonts w:hint="eastAsia" w:ascii="CESI仿宋-GB2312" w:hAnsi="CESI仿宋-GB2312" w:eastAsia="CESI仿宋-GB2312" w:cs="CESI仿宋-GB2312"/>
          <w:sz w:val="32"/>
          <w:szCs w:val="32"/>
        </w:rPr>
        <w:t>投标法实施条例》《深圳经济特区政府采购条例》《深圳经济特区政府采购条例实施细则》等相关法律法规的规定，向社会公开招标，选取1家优秀的服务单位承担碧岭街道汤坑社区土地整备利益统筹项目前期咨询服务工作，</w:t>
      </w:r>
      <w:r>
        <w:rPr>
          <w:rFonts w:ascii="CESI仿宋-GB2312" w:hAnsi="CESI仿宋-GB2312" w:eastAsia="CESI仿宋-GB2312" w:cs="CESI仿宋-GB2312"/>
          <w:sz w:val="32"/>
          <w:szCs w:val="32"/>
        </w:rPr>
        <w:t>开展</w:t>
      </w:r>
      <w:r>
        <w:rPr>
          <w:rFonts w:hint="eastAsia" w:ascii="CESI仿宋-GB2312" w:hAnsi="CESI仿宋-GB2312" w:eastAsia="CESI仿宋-GB2312" w:cs="CESI仿宋-GB2312"/>
          <w:sz w:val="32"/>
          <w:szCs w:val="32"/>
        </w:rPr>
        <w:t>碧岭街道汤</w:t>
      </w:r>
      <w:r>
        <w:rPr>
          <w:rFonts w:ascii="CESI仿宋-GB2312" w:hAnsi="CESI仿宋-GB2312" w:eastAsia="CESI仿宋-GB2312" w:cs="CESI仿宋-GB2312"/>
          <w:sz w:val="32"/>
          <w:szCs w:val="32"/>
        </w:rPr>
        <w:t>坑</w:t>
      </w:r>
      <w:r>
        <w:rPr>
          <w:rFonts w:hint="eastAsia" w:ascii="CESI仿宋-GB2312" w:hAnsi="CESI仿宋-GB2312" w:eastAsia="CESI仿宋-GB2312" w:cs="CESI仿宋-GB2312"/>
          <w:sz w:val="32"/>
          <w:szCs w:val="32"/>
        </w:rPr>
        <w:t>社区土地开发模式研究</w:t>
      </w:r>
      <w:r>
        <w:rPr>
          <w:rFonts w:ascii="CESI仿宋-GB2312" w:hAnsi="CESI仿宋-GB2312" w:eastAsia="CESI仿宋-GB2312" w:cs="CESI仿宋-GB2312"/>
          <w:sz w:val="32"/>
          <w:szCs w:val="32"/>
        </w:rPr>
        <w:t>项目，</w:t>
      </w:r>
      <w:r>
        <w:rPr>
          <w:rFonts w:hint="eastAsia" w:ascii="CESI仿宋-GB2312" w:hAnsi="CESI仿宋-GB2312" w:eastAsia="CESI仿宋-GB2312" w:cs="CESI仿宋-GB2312"/>
          <w:sz w:val="32"/>
          <w:szCs w:val="32"/>
        </w:rPr>
        <w:t>明确汤坑社区存量土地开发实施路径，并提出相关统筹实施建议，</w:t>
      </w:r>
      <w:r>
        <w:rPr>
          <w:rFonts w:ascii="CESI仿宋-GB2312" w:hAnsi="CESI仿宋-GB2312" w:eastAsia="CESI仿宋-GB2312" w:cs="CESI仿宋-GB2312"/>
          <w:sz w:val="32"/>
          <w:szCs w:val="32"/>
        </w:rPr>
        <w:t>为政府决策提供技术支撑</w:t>
      </w:r>
      <w:r>
        <w:rPr>
          <w:rFonts w:hint="eastAsia" w:ascii="CESI仿宋-GB2312" w:hAnsi="CESI仿宋-GB2312" w:eastAsia="CESI仿宋-GB2312" w:cs="CESI仿宋-GB2312"/>
          <w:sz w:val="32"/>
          <w:szCs w:val="32"/>
        </w:rPr>
        <w:t>，以保障碧岭街道汤坑社区土地整备利益统筹项目各项工作顺利推进完成。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b/>
          <w:bCs/>
          <w:sz w:val="32"/>
          <w:szCs w:val="32"/>
        </w:rPr>
        <w:t>（二）采购项目名称</w:t>
      </w:r>
      <w:r>
        <w:rPr>
          <w:rFonts w:hint="eastAsia" w:ascii="CESI仿宋-GB2312" w:hAnsi="CESI仿宋-GB2312" w:eastAsia="CESI仿宋-GB2312" w:cs="CESI仿宋-GB2312"/>
          <w:sz w:val="32"/>
          <w:szCs w:val="32"/>
        </w:rPr>
        <w:t>：碧岭街道汤坑社区土地整备利益统筹项目前期咨询</w:t>
      </w:r>
      <w:r>
        <w:rPr>
          <w:rFonts w:hint="eastAsia" w:ascii="CESI仿宋-GB2312" w:hAnsi="CESI仿宋-GB2312" w:eastAsia="CESI仿宋-GB2312" w:cs="CESI仿宋-GB2312"/>
          <w:sz w:val="32"/>
          <w:szCs w:val="32"/>
          <w:lang w:eastAsia="zh-CN"/>
        </w:rPr>
        <w:t>服务</w:t>
      </w:r>
      <w:r>
        <w:rPr>
          <w:rFonts w:hint="eastAsia" w:ascii="CESI仿宋-GB2312" w:hAnsi="CESI仿宋-GB2312" w:eastAsia="CESI仿宋-GB2312" w:cs="CESI仿宋-GB2312"/>
          <w:b/>
          <w:bCs/>
          <w:sz w:val="32"/>
          <w:szCs w:val="32"/>
        </w:rPr>
        <w:t>（</w:t>
      </w:r>
      <w:r>
        <w:rPr>
          <w:rFonts w:hint="eastAsia" w:ascii="CESI仿宋-GB2312" w:hAnsi="CESI仿宋-GB2312" w:eastAsia="CESI仿宋-GB2312" w:cs="CESI仿宋-GB2312"/>
          <w:b/>
          <w:bCs/>
          <w:sz w:val="32"/>
          <w:szCs w:val="32"/>
          <w:highlight w:val="none"/>
        </w:rPr>
        <w:t>项目编号：</w:t>
      </w:r>
      <w:r>
        <w:rPr>
          <w:rFonts w:ascii="CESI仿宋-GB2312" w:hAnsi="CESI仿宋-GB2312" w:eastAsia="CESI仿宋-GB2312" w:cs="CESI仿宋-GB2312"/>
          <w:b/>
          <w:bCs/>
          <w:sz w:val="32"/>
          <w:szCs w:val="32"/>
          <w:highlight w:val="none"/>
        </w:rPr>
        <w:t>PSBLTZ2023001</w:t>
      </w:r>
      <w:r>
        <w:rPr>
          <w:rFonts w:hint="eastAsia" w:ascii="CESI仿宋-GB2312" w:hAnsi="CESI仿宋-GB2312" w:eastAsia="CESI仿宋-GB2312" w:cs="CESI仿宋-GB2312"/>
          <w:b/>
          <w:bCs/>
          <w:sz w:val="32"/>
          <w:szCs w:val="32"/>
        </w:rPr>
        <w:t>）</w:t>
      </w:r>
      <w:r>
        <w:rPr>
          <w:rFonts w:hint="eastAsia" w:ascii="CESI仿宋-GB2312" w:hAnsi="CESI仿宋-GB2312" w:eastAsia="CESI仿宋-GB2312" w:cs="CESI仿宋-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b/>
          <w:bCs/>
          <w:sz w:val="32"/>
          <w:szCs w:val="32"/>
        </w:rPr>
        <w:t>（三）采购方式：</w:t>
      </w:r>
      <w:r>
        <w:rPr>
          <w:rFonts w:hint="eastAsia" w:ascii="CESI仿宋-GB2312" w:hAnsi="CESI仿宋-GB2312" w:eastAsia="CESI仿宋-GB2312" w:cs="CESI仿宋-GB2312"/>
          <w:sz w:val="32"/>
          <w:szCs w:val="32"/>
        </w:rPr>
        <w:t>公开招标。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b/>
          <w:bCs/>
          <w:sz w:val="32"/>
          <w:szCs w:val="32"/>
        </w:rPr>
        <w:t>（四）预算金额：</w:t>
      </w:r>
      <w:r>
        <w:rPr>
          <w:rFonts w:ascii="CESI仿宋-GB2312" w:hAnsi="CESI仿宋-GB2312" w:eastAsia="CESI仿宋-GB2312" w:cs="CESI仿宋-GB2312"/>
          <w:sz w:val="32"/>
          <w:szCs w:val="32"/>
          <w:highlight w:val="none"/>
        </w:rPr>
        <w:t>89</w:t>
      </w:r>
      <w:r>
        <w:rPr>
          <w:rFonts w:hint="eastAsia" w:ascii="CESI仿宋-GB2312" w:hAnsi="CESI仿宋-GB2312" w:eastAsia="CESI仿宋-GB2312" w:cs="CESI仿宋-GB2312"/>
          <w:sz w:val="32"/>
          <w:szCs w:val="32"/>
          <w:highlight w:val="none"/>
        </w:rPr>
        <w:t>万元</w:t>
      </w:r>
      <w:r>
        <w:rPr>
          <w:rFonts w:hint="eastAsia" w:ascii="CESI仿宋-GB2312" w:hAnsi="CESI仿宋-GB2312" w:eastAsia="CESI仿宋-GB2312" w:cs="CESI仿宋-GB2312"/>
          <w:sz w:val="32"/>
          <w:szCs w:val="32"/>
        </w:rPr>
        <w:t>（大写人民币捌拾玖万元整）。报价应低于该预算金额，采购小组认为投标人的报价明显低于其他通过符合性审查投标人的报价，有可能影响服务质量或者不能诚信履约的，应当要求其在评标现场合理的时间内提供书面说明，必要时提交相关证明材料；投标人不能证明其报价合理性的，采购小组应当将其作为无效投标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b/>
          <w:bCs/>
          <w:sz w:val="32"/>
          <w:szCs w:val="32"/>
        </w:rPr>
        <w:t>（五）推荐候选人名单和满足开标条件的数量：</w:t>
      </w:r>
      <w:r>
        <w:rPr>
          <w:rFonts w:hint="eastAsia" w:ascii="CESI仿宋-GB2312" w:hAnsi="CESI仿宋-GB2312" w:eastAsia="CESI仿宋-GB2312" w:cs="CESI仿宋-GB2312"/>
          <w:sz w:val="32"/>
          <w:szCs w:val="32"/>
        </w:rPr>
        <w:t>该项目中标候选人的数量设置为1名，采购小组将按评标总得分由高到低的排名顺序，推荐第1名投标人为中标候选人。该项目满足开标条件的投标人数量设置为不少于3家，开标前的投标人数量或经过采购小组对投标文件进行资格性、符合性审查少于此要求的，将予以废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b/>
          <w:bCs/>
          <w:sz w:val="32"/>
          <w:szCs w:val="32"/>
        </w:rPr>
        <w:t>（六）评标定标方法：</w:t>
      </w:r>
      <w:r>
        <w:rPr>
          <w:rFonts w:hint="eastAsia" w:ascii="CESI仿宋-GB2312" w:hAnsi="CESI仿宋-GB2312" w:eastAsia="CESI仿宋-GB2312" w:cs="CESI仿宋-GB2312"/>
          <w:sz w:val="32"/>
          <w:szCs w:val="32"/>
        </w:rPr>
        <w:t>根据《政府采购货物或服务招标投标管理办法》（财政部令第87号）《碧岭街道办事处政府采购管理办法（修订）》（坪碧发﹝2021﹞3号）及《碧岭街道办事处土地整备采购管理办法（</w:t>
      </w:r>
      <w:r>
        <w:rPr>
          <w:rFonts w:hint="eastAsia" w:ascii="CESI仿宋-GB2312" w:hAnsi="CESI仿宋-GB2312" w:eastAsia="CESI仿宋-GB2312" w:cs="CESI仿宋-GB2312"/>
          <w:sz w:val="32"/>
          <w:szCs w:val="32"/>
          <w:lang w:val="en-US" w:eastAsia="zh-CN"/>
        </w:rPr>
        <w:t>2023修正</w:t>
      </w:r>
      <w:r>
        <w:rPr>
          <w:rFonts w:hint="eastAsia" w:ascii="CESI仿宋-GB2312" w:hAnsi="CESI仿宋-GB2312" w:eastAsia="CESI仿宋-GB2312" w:cs="CESI仿宋-GB2312"/>
          <w:sz w:val="32"/>
          <w:szCs w:val="32"/>
        </w:rPr>
        <w:t>）》（坪碧发﹝202</w:t>
      </w:r>
      <w:r>
        <w:rPr>
          <w:rFonts w:hint="eastAsia" w:ascii="CESI仿宋-GB2312" w:hAnsi="CESI仿宋-GB2312" w:eastAsia="CESI仿宋-GB2312" w:cs="CESI仿宋-GB2312"/>
          <w:sz w:val="32"/>
          <w:szCs w:val="32"/>
          <w:lang w:val="en-US" w:eastAsia="zh-CN"/>
        </w:rPr>
        <w:t>3</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val="en-US" w:eastAsia="zh-CN"/>
        </w:rPr>
        <w:t>1</w:t>
      </w:r>
      <w:r>
        <w:rPr>
          <w:rFonts w:hint="eastAsia" w:ascii="CESI仿宋-GB2312" w:hAnsi="CESI仿宋-GB2312" w:eastAsia="CESI仿宋-GB2312" w:cs="CESI仿宋-GB2312"/>
          <w:sz w:val="32"/>
          <w:szCs w:val="32"/>
        </w:rPr>
        <w:t>号）的有关规定，采购小组按照综合评分法原则，将投标人的得分进行由高到低排序，确定候选中标人。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二、采购服务内容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（一）</w:t>
      </w:r>
      <w:r>
        <w:rPr>
          <w:rFonts w:hint="eastAsia" w:ascii="CESI仿宋-GB2312" w:hAnsi="CESI仿宋-GB2312" w:eastAsia="CESI仿宋-GB2312" w:cs="CESI仿宋-GB2312"/>
          <w:sz w:val="32"/>
          <w:szCs w:val="32"/>
        </w:rPr>
        <w:t>对碧岭街道汤坑社区土地整备利益统筹项目进行前期咨询服务，</w:t>
      </w:r>
      <w:r>
        <w:rPr>
          <w:rFonts w:ascii="CESI仿宋-GB2312" w:hAnsi="CESI仿宋-GB2312" w:eastAsia="CESI仿宋-GB2312" w:cs="CESI仿宋-GB2312"/>
          <w:sz w:val="32"/>
          <w:szCs w:val="32"/>
        </w:rPr>
        <w:t>开展</w:t>
      </w:r>
      <w:r>
        <w:rPr>
          <w:rFonts w:hint="eastAsia" w:ascii="CESI仿宋-GB2312" w:hAnsi="CESI仿宋-GB2312" w:eastAsia="CESI仿宋-GB2312" w:cs="CESI仿宋-GB2312"/>
          <w:sz w:val="32"/>
          <w:szCs w:val="32"/>
        </w:rPr>
        <w:t>碧岭街道汤</w:t>
      </w:r>
      <w:r>
        <w:rPr>
          <w:rFonts w:ascii="CESI仿宋-GB2312" w:hAnsi="CESI仿宋-GB2312" w:eastAsia="CESI仿宋-GB2312" w:cs="CESI仿宋-GB2312"/>
          <w:sz w:val="32"/>
          <w:szCs w:val="32"/>
        </w:rPr>
        <w:t>坑</w:t>
      </w:r>
      <w:r>
        <w:rPr>
          <w:rFonts w:hint="eastAsia" w:ascii="CESI仿宋-GB2312" w:hAnsi="CESI仿宋-GB2312" w:eastAsia="CESI仿宋-GB2312" w:cs="CESI仿宋-GB2312"/>
          <w:sz w:val="32"/>
          <w:szCs w:val="32"/>
        </w:rPr>
        <w:t>社区土地开发模式研究</w:t>
      </w:r>
      <w:r>
        <w:rPr>
          <w:rFonts w:ascii="CESI仿宋-GB2312" w:hAnsi="CESI仿宋-GB2312" w:eastAsia="CESI仿宋-GB2312" w:cs="CESI仿宋-GB2312"/>
          <w:sz w:val="32"/>
          <w:szCs w:val="32"/>
        </w:rPr>
        <w:t>项目，</w:t>
      </w:r>
      <w:r>
        <w:rPr>
          <w:rFonts w:hint="eastAsia" w:ascii="CESI仿宋-GB2312" w:hAnsi="CESI仿宋-GB2312" w:eastAsia="CESI仿宋-GB2312" w:cs="CESI仿宋-GB2312"/>
          <w:sz w:val="32"/>
          <w:szCs w:val="32"/>
        </w:rPr>
        <w:t>明确汤坑社区存量土地开发实施路径，并提出相关统筹实施建议。</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（二）应采购方的合理需求提供其他与项目相关的工作。</w:t>
      </w:r>
    </w:p>
    <w:p>
      <w:pPr>
        <w:pStyle w:val="18"/>
        <w:jc w:val="center"/>
      </w:pPr>
      <w:r>
        <w:drawing>
          <wp:inline distT="0" distB="0" distL="0" distR="0">
            <wp:extent cx="5191125" cy="3665220"/>
            <wp:effectExtent l="9525" t="9525" r="19050" b="20955"/>
            <wp:docPr id="5"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true"/>
                    </pic:cNvPicPr>
                  </pic:nvPicPr>
                  <pic:blipFill>
                    <a:blip r:embed="rId5" cstate="print">
                      <a:extLst>
                        <a:ext uri="{28A0092B-C50C-407E-A947-70E740481C1C}">
                          <a14:useLocalDpi xmlns:a14="http://schemas.microsoft.com/office/drawing/2010/main" val="false"/>
                        </a:ext>
                      </a:extLst>
                    </a:blip>
                    <a:srcRect l="755" t="852" r="786" b="894"/>
                    <a:stretch>
                      <a:fillRect/>
                    </a:stretch>
                  </pic:blipFill>
                  <pic:spPr>
                    <a:xfrm>
                      <a:off x="0" y="0"/>
                      <a:ext cx="5193073" cy="3666754"/>
                    </a:xfrm>
                    <a:prstGeom prst="rect">
                      <a:avLst/>
                    </a:prstGeom>
                    <a:ln w="3175">
                      <a:solidFill>
                        <a:schemeClr val="tx1"/>
                      </a:solidFill>
                    </a:ln>
                  </pic:spPr>
                </pic:pic>
              </a:graphicData>
            </a:graphic>
          </wp:inline>
        </w:drawing>
      </w:r>
    </w:p>
    <w:p>
      <w:pPr>
        <w:pStyle w:val="2"/>
        <w:spacing w:line="560" w:lineRule="exact"/>
        <w:jc w:val="center"/>
        <w:rPr>
          <w:rFonts w:hint="eastAsia" w:ascii="CESI仿宋-GB2312" w:hAnsi="CESI仿宋-GB2312" w:eastAsia="CESI仿宋-GB2312" w:cs="CESI仿宋-GB2312"/>
          <w:sz w:val="28"/>
          <w:szCs w:val="28"/>
        </w:rPr>
      </w:pPr>
      <w:r>
        <w:rPr>
          <w:rFonts w:hint="eastAsia" w:ascii="CESI仿宋-GB2312" w:hAnsi="CESI仿宋-GB2312" w:eastAsia="CESI仿宋-GB2312" w:cs="CESI仿宋-GB2312"/>
          <w:i w:val="0"/>
          <w:iCs w:val="0"/>
          <w:sz w:val="28"/>
          <w:szCs w:val="28"/>
        </w:rPr>
        <w:t>汤坑社区土地整备利益统筹项目范围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三、采购项目要求</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仿宋" w:hAnsi="仿宋" w:eastAsia="仿宋" w:cs="仿宋"/>
          <w:b/>
          <w:bCs/>
          <w:sz w:val="32"/>
          <w:szCs w:val="32"/>
        </w:rPr>
      </w:pPr>
      <w:r>
        <w:rPr>
          <w:rFonts w:hint="eastAsia" w:ascii="仿宋" w:hAnsi="仿宋" w:eastAsia="仿宋" w:cs="仿宋"/>
          <w:b/>
          <w:bCs/>
          <w:sz w:val="32"/>
          <w:szCs w:val="32"/>
        </w:rPr>
        <w:t>（一）工作内容及要求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bookmarkStart w:id="0" w:name="_Toc123828596"/>
      <w:bookmarkStart w:id="1" w:name="_Toc123826862"/>
      <w:r>
        <w:rPr>
          <w:rFonts w:ascii="CESI仿宋-GB2312" w:hAnsi="CESI仿宋-GB2312" w:eastAsia="CESI仿宋-GB2312" w:cs="CESI仿宋-GB2312"/>
          <w:b/>
          <w:bCs/>
          <w:sz w:val="32"/>
          <w:szCs w:val="32"/>
        </w:rPr>
        <w:t>1.</w:t>
      </w:r>
      <w:r>
        <w:rPr>
          <w:rFonts w:hint="eastAsia" w:ascii="CESI仿宋-GB2312" w:hAnsi="CESI仿宋-GB2312" w:eastAsia="CESI仿宋-GB2312" w:cs="CESI仿宋-GB2312"/>
          <w:b/>
          <w:bCs/>
          <w:sz w:val="32"/>
          <w:szCs w:val="32"/>
        </w:rPr>
        <w:t>现状情况梳理</w:t>
      </w:r>
      <w:bookmarkEnd w:id="0"/>
      <w:bookmarkEnd w:id="1"/>
      <w:r>
        <w:rPr>
          <w:rFonts w:hint="eastAsia" w:ascii="CESI仿宋-GB2312" w:hAnsi="CESI仿宋-GB2312" w:eastAsia="CESI仿宋-GB2312" w:cs="CESI仿宋-GB2312"/>
          <w:sz w:val="32"/>
          <w:szCs w:val="32"/>
        </w:rPr>
        <w:t>。通过基础数据核查和现场勘探调研等方式，厘清汤坑社区范围内现状的人口规模</w:t>
      </w:r>
      <w:r>
        <w:rPr>
          <w:rFonts w:ascii="CESI仿宋-GB2312" w:hAnsi="CESI仿宋-GB2312" w:eastAsia="CESI仿宋-GB2312" w:cs="CESI仿宋-GB2312"/>
          <w:sz w:val="32"/>
          <w:szCs w:val="32"/>
        </w:rPr>
        <w:t>、</w:t>
      </w:r>
      <w:r>
        <w:rPr>
          <w:rFonts w:hint="eastAsia" w:ascii="CESI仿宋-GB2312" w:hAnsi="CESI仿宋-GB2312" w:eastAsia="CESI仿宋-GB2312" w:cs="CESI仿宋-GB2312"/>
          <w:sz w:val="32"/>
          <w:szCs w:val="32"/>
        </w:rPr>
        <w:t>建筑物情况、交通道路、产业发展、规划布局</w:t>
      </w:r>
      <w:r>
        <w:rPr>
          <w:rFonts w:ascii="CESI仿宋-GB2312" w:hAnsi="CESI仿宋-GB2312" w:eastAsia="CESI仿宋-GB2312" w:cs="CESI仿宋-GB2312"/>
          <w:sz w:val="32"/>
          <w:szCs w:val="32"/>
        </w:rPr>
        <w:t>、</w:t>
      </w:r>
      <w:r>
        <w:rPr>
          <w:rFonts w:hint="eastAsia" w:ascii="CESI仿宋-GB2312" w:hAnsi="CESI仿宋-GB2312" w:eastAsia="CESI仿宋-GB2312" w:cs="CESI仿宋-GB2312"/>
          <w:sz w:val="32"/>
          <w:szCs w:val="32"/>
        </w:rPr>
        <w:t>已批或已建更新项目情况、</w:t>
      </w:r>
      <w:r>
        <w:rPr>
          <w:rFonts w:ascii="CESI仿宋-GB2312" w:hAnsi="CESI仿宋-GB2312" w:eastAsia="CESI仿宋-GB2312" w:cs="CESI仿宋-GB2312"/>
          <w:sz w:val="32"/>
          <w:szCs w:val="32"/>
        </w:rPr>
        <w:t>用地权属、</w:t>
      </w:r>
      <w:r>
        <w:rPr>
          <w:rFonts w:hint="eastAsia" w:ascii="CESI仿宋-GB2312" w:hAnsi="CESI仿宋-GB2312" w:eastAsia="CESI仿宋-GB2312" w:cs="CESI仿宋-GB2312"/>
          <w:sz w:val="32"/>
          <w:szCs w:val="32"/>
        </w:rPr>
        <w:t>公共服务设施配套、自然与人文资源等方面</w:t>
      </w:r>
      <w:r>
        <w:rPr>
          <w:rFonts w:ascii="CESI仿宋-GB2312" w:hAnsi="CESI仿宋-GB2312" w:eastAsia="CESI仿宋-GB2312" w:cs="CESI仿宋-GB2312"/>
          <w:sz w:val="32"/>
          <w:szCs w:val="32"/>
        </w:rPr>
        <w:t>予以综合评述</w:t>
      </w:r>
      <w:r>
        <w:rPr>
          <w:rFonts w:hint="eastAsia" w:ascii="CESI仿宋-GB2312" w:hAnsi="CESI仿宋-GB2312" w:eastAsia="CESI仿宋-GB2312" w:cs="CESI仿宋-GB2312"/>
          <w:sz w:val="32"/>
          <w:szCs w:val="32"/>
        </w:rPr>
        <w:t>，识别片区及周边存在的问题及自身优势，尤其重点梳理社区范围内包括国有已出让用地、非农建设用地、旧屋村用地在内的各类用地权属情况，同时厘清社区历史遗留问题。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ascii="CESI仿宋-GB2312" w:hAnsi="CESI仿宋-GB2312" w:eastAsia="CESI仿宋-GB2312" w:cs="CESI仿宋-GB2312"/>
          <w:b/>
          <w:bCs/>
          <w:sz w:val="32"/>
          <w:szCs w:val="32"/>
        </w:rPr>
        <w:t>2.</w:t>
      </w:r>
      <w:r>
        <w:rPr>
          <w:rFonts w:hint="eastAsia" w:ascii="CESI仿宋-GB2312" w:hAnsi="CESI仿宋-GB2312" w:eastAsia="CESI仿宋-GB2312" w:cs="CESI仿宋-GB2312"/>
          <w:b/>
          <w:bCs/>
          <w:sz w:val="32"/>
          <w:szCs w:val="32"/>
        </w:rPr>
        <w:t>相关规划梳理</w:t>
      </w:r>
      <w:r>
        <w:rPr>
          <w:rFonts w:hint="eastAsia" w:ascii="CESI仿宋-GB2312" w:hAnsi="CESI仿宋-GB2312" w:eastAsia="CESI仿宋-GB2312" w:cs="CESI仿宋-GB2312"/>
          <w:sz w:val="32"/>
          <w:szCs w:val="32"/>
        </w:rPr>
        <w:t>。在现状认知的基础上，进一步梳理片区上层次规划情况，全面解读片区面临的新发展形势，以及国土空间规划、法定图则等相关规划对于片区的指引和管控要求，明确片区发展目标和功能定位及产业发展方向指引等。同时解读片区内各类控制线管控要求，分析片区的限制性发展因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bookmarkStart w:id="2" w:name="_Toc123828598"/>
      <w:bookmarkStart w:id="3" w:name="_Toc123826864"/>
      <w:r>
        <w:rPr>
          <w:rFonts w:ascii="CESI仿宋-GB2312" w:hAnsi="CESI仿宋-GB2312" w:eastAsia="CESI仿宋-GB2312" w:cs="CESI仿宋-GB2312"/>
          <w:b/>
          <w:bCs/>
          <w:sz w:val="32"/>
          <w:szCs w:val="32"/>
        </w:rPr>
        <w:t>3.</w:t>
      </w:r>
      <w:r>
        <w:rPr>
          <w:rFonts w:hint="eastAsia" w:ascii="CESI仿宋-GB2312" w:hAnsi="CESI仿宋-GB2312" w:eastAsia="CESI仿宋-GB2312" w:cs="CESI仿宋-GB2312"/>
          <w:b/>
          <w:bCs/>
          <w:sz w:val="32"/>
          <w:szCs w:val="32"/>
        </w:rPr>
        <w:t>发展形势分析</w:t>
      </w:r>
      <w:bookmarkEnd w:id="2"/>
      <w:bookmarkEnd w:id="3"/>
      <w:r>
        <w:rPr>
          <w:rFonts w:hint="eastAsia" w:ascii="CESI仿宋-GB2312" w:hAnsi="CESI仿宋-GB2312" w:eastAsia="CESI仿宋-GB2312" w:cs="CESI仿宋-GB2312"/>
          <w:sz w:val="32"/>
          <w:szCs w:val="32"/>
        </w:rPr>
        <w:t>。在坪山区规划建设碧湖文化健康城及全方位推动城市高质量发展，进一步拓展城市发展空间等背景下，结合汤坑片区的现状情况和规划发展目标，根据坪山各片区定位与发展思路，并尊重社区的开发意愿，提出社区整体建设目标和发展战略等，并对社区未来发展形势进行初步研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bookmarkStart w:id="4" w:name="_Toc123828599"/>
      <w:bookmarkStart w:id="5" w:name="_Toc123826865"/>
      <w:r>
        <w:rPr>
          <w:rFonts w:ascii="CESI仿宋-GB2312" w:hAnsi="CESI仿宋-GB2312" w:eastAsia="CESI仿宋-GB2312" w:cs="CESI仿宋-GB2312"/>
          <w:b/>
          <w:bCs/>
          <w:sz w:val="32"/>
          <w:szCs w:val="32"/>
        </w:rPr>
        <w:t>4.</w:t>
      </w:r>
      <w:r>
        <w:rPr>
          <w:rFonts w:hint="eastAsia" w:ascii="CESI仿宋-GB2312" w:hAnsi="CESI仿宋-GB2312" w:eastAsia="CESI仿宋-GB2312" w:cs="CESI仿宋-GB2312"/>
          <w:b/>
          <w:bCs/>
          <w:sz w:val="32"/>
          <w:szCs w:val="32"/>
        </w:rPr>
        <w:t>开发模式研究</w:t>
      </w:r>
      <w:bookmarkEnd w:id="4"/>
      <w:bookmarkEnd w:id="5"/>
      <w:bookmarkStart w:id="6" w:name="_Toc123828597"/>
      <w:bookmarkStart w:id="7" w:name="_Toc123826863"/>
      <w:r>
        <w:rPr>
          <w:rFonts w:hint="eastAsia" w:ascii="CESI仿宋-GB2312" w:hAnsi="CESI仿宋-GB2312" w:eastAsia="CESI仿宋-GB2312" w:cs="CESI仿宋-GB2312"/>
          <w:sz w:val="32"/>
          <w:szCs w:val="32"/>
        </w:rPr>
        <w:t>。存量土地开发政策解读</w:t>
      </w:r>
      <w:bookmarkEnd w:id="6"/>
      <w:bookmarkEnd w:id="7"/>
      <w:r>
        <w:rPr>
          <w:rFonts w:hint="eastAsia" w:ascii="CESI仿宋-GB2312" w:hAnsi="CESI仿宋-GB2312" w:eastAsia="CESI仿宋-GB2312" w:cs="CESI仿宋-GB2312"/>
          <w:sz w:val="32"/>
          <w:szCs w:val="32"/>
        </w:rPr>
        <w:t>。在前期调研的基础上，进一步梳理深圳市和坪山区等相关部门对存量土地二次开发出台的相关政策，重点包括拆除重建类城市更新和土地整备利益统筹等二次开发相关政策，以及公共住房建设方面的政策要求。结合社区的实际情况，从社区整体统筹开发实施角度，针对社区范围内项目实际情况，分析不同土地开发模式下的政策适用性、利益分配规则、存在问题、解决思路等，通过社区整体统筹开发使汤坑社区除已有城市更新项目及现状保留区域外，剩余地块及历史遗留问题一次性解决，所有空间都能合理有序地发展安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不同土地开发模式比较。在现行存量土地开发政策的基础上，结合社区范围内各潜在二次开发项目实际情况及社区发展意愿，针对城市更新（工改工、工改保、工改商住等）、土地整备利益统筹、公共住房开发建设等不同开发模式进行对比分析：按照社区整体采取土地整备利益统筹开发模式或者按照不同的项目各自采取不同的土地开发模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ascii="CESI仿宋-GB2312" w:hAnsi="CESI仿宋-GB2312" w:eastAsia="CESI仿宋-GB2312" w:cs="CESI仿宋-GB2312"/>
          <w:b/>
          <w:bCs/>
          <w:sz w:val="32"/>
          <w:szCs w:val="32"/>
        </w:rPr>
        <w:t>5.</w:t>
      </w:r>
      <w:r>
        <w:rPr>
          <w:rFonts w:hint="eastAsia" w:ascii="CESI仿宋-GB2312" w:hAnsi="CESI仿宋-GB2312" w:eastAsia="CESI仿宋-GB2312" w:cs="CESI仿宋-GB2312"/>
          <w:b/>
          <w:bCs/>
          <w:sz w:val="32"/>
          <w:szCs w:val="32"/>
        </w:rPr>
        <w:t>与现有规划的衔接研究</w:t>
      </w:r>
      <w:r>
        <w:rPr>
          <w:rFonts w:hint="eastAsia" w:ascii="CESI仿宋-GB2312" w:hAnsi="CESI仿宋-GB2312" w:eastAsia="CESI仿宋-GB2312" w:cs="CESI仿宋-GB2312"/>
          <w:sz w:val="32"/>
          <w:szCs w:val="32"/>
        </w:rPr>
        <w:t>。依据国土空间分区规划和法定图则等上层次规划确定的规划发展目标和功能定位，在片区开发模式研究的基础上，加强与社区产业发展、用地规划、交通设计等规划研究成果的衔接与互动，初步提出汤坑社区规划调整建议和用地布局安排，保障社区范围内所以开发地块的可操作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bookmarkStart w:id="8" w:name="_Toc123826866"/>
      <w:bookmarkStart w:id="9" w:name="_Toc123828600"/>
      <w:r>
        <w:rPr>
          <w:rFonts w:ascii="CESI仿宋-GB2312" w:hAnsi="CESI仿宋-GB2312" w:eastAsia="CESI仿宋-GB2312" w:cs="CESI仿宋-GB2312"/>
          <w:b/>
          <w:bCs/>
          <w:sz w:val="32"/>
          <w:szCs w:val="32"/>
        </w:rPr>
        <w:t>6.</w:t>
      </w:r>
      <w:r>
        <w:rPr>
          <w:rFonts w:hint="eastAsia" w:ascii="CESI仿宋-GB2312" w:hAnsi="CESI仿宋-GB2312" w:eastAsia="CESI仿宋-GB2312" w:cs="CESI仿宋-GB2312"/>
          <w:b/>
          <w:bCs/>
          <w:sz w:val="32"/>
          <w:szCs w:val="32"/>
        </w:rPr>
        <w:t>开发实施建议</w:t>
      </w:r>
      <w:bookmarkEnd w:id="8"/>
      <w:bookmarkEnd w:id="9"/>
      <w:r>
        <w:rPr>
          <w:rFonts w:hint="eastAsia" w:ascii="CESI仿宋-GB2312" w:hAnsi="CESI仿宋-GB2312" w:eastAsia="CESI仿宋-GB2312" w:cs="CESI仿宋-GB2312"/>
          <w:sz w:val="32"/>
          <w:szCs w:val="32"/>
        </w:rPr>
        <w:t>。结合不同地块的开发实施路径，重点从用地、产权、政策等角度对社区整体开发实施提出合理的建议，初步研究项目实施过程中在政策操作或者规划调整等方面可能存在的问题和解决措施，并结合项目推动难易程度等因素，进一步明确项目实施开发时序措施，保障项目的实施落地。</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仿宋" w:hAnsi="仿宋" w:eastAsia="仿宋" w:cs="仿宋"/>
          <w:b/>
          <w:bCs/>
          <w:sz w:val="32"/>
          <w:szCs w:val="32"/>
        </w:rPr>
      </w:pPr>
      <w:r>
        <w:rPr>
          <w:rFonts w:hint="eastAsia" w:ascii="仿宋" w:hAnsi="仿宋" w:eastAsia="仿宋" w:cs="仿宋"/>
          <w:b/>
          <w:bCs/>
          <w:sz w:val="32"/>
          <w:szCs w:val="32"/>
        </w:rPr>
        <w:t>（二）项目人员安排要求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为使项目按时、按质、按量、有序实施，本项目必须有一个固定完善的项目小组及项目负责人，投标人必须在投标文件中详细列明参与本项目的人员名单及附上相关资质证明，包括职称资格证书复印件、学历学位证书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在项目开展期间，项目成员未经采购方同意不得调整，否则采购方有权终止合同，且须承担由此给采购方造成的全部损失。因其它情况更换评估人员时需提前一个月提出申请并派其它符合要求的评估工作人员到场做好交接后方可更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b/>
          <w:bCs/>
          <w:sz w:val="32"/>
          <w:szCs w:val="32"/>
        </w:rPr>
      </w:pPr>
      <w:r>
        <w:rPr>
          <w:rFonts w:hint="eastAsia" w:ascii="CESI仿宋-GB2312" w:hAnsi="CESI仿宋-GB2312" w:eastAsia="CESI仿宋-GB2312" w:cs="CESI仿宋-GB2312"/>
          <w:b/>
          <w:bCs/>
          <w:sz w:val="32"/>
          <w:szCs w:val="32"/>
        </w:rPr>
        <w:t>3.项目组工作人员不少于</w:t>
      </w:r>
      <w:r>
        <w:rPr>
          <w:rFonts w:ascii="CESI仿宋-GB2312" w:hAnsi="CESI仿宋-GB2312" w:eastAsia="CESI仿宋-GB2312" w:cs="CESI仿宋-GB2312"/>
          <w:b/>
          <w:bCs/>
          <w:sz w:val="32"/>
          <w:szCs w:val="32"/>
        </w:rPr>
        <w:t>8</w:t>
      </w:r>
      <w:r>
        <w:rPr>
          <w:rFonts w:hint="eastAsia" w:ascii="CESI仿宋-GB2312" w:hAnsi="CESI仿宋-GB2312" w:eastAsia="CESI仿宋-GB2312" w:cs="CESI仿宋-GB2312"/>
          <w:b/>
          <w:bCs/>
          <w:sz w:val="32"/>
          <w:szCs w:val="32"/>
        </w:rPr>
        <w:t>人，应包含注册城乡规划师等专业技术人员，其中具备注册城乡规划师资格的人数不少于</w:t>
      </w:r>
      <w:r>
        <w:rPr>
          <w:rFonts w:ascii="CESI仿宋-GB2312" w:hAnsi="CESI仿宋-GB2312" w:eastAsia="CESI仿宋-GB2312" w:cs="CESI仿宋-GB2312"/>
          <w:b/>
          <w:bCs/>
          <w:sz w:val="32"/>
          <w:szCs w:val="32"/>
        </w:rPr>
        <w:t>4</w:t>
      </w:r>
      <w:r>
        <w:rPr>
          <w:rFonts w:hint="eastAsia" w:ascii="CESI仿宋-GB2312" w:hAnsi="CESI仿宋-GB2312" w:eastAsia="CESI仿宋-GB2312" w:cs="CESI仿宋-GB2312"/>
          <w:b/>
          <w:bCs/>
          <w:sz w:val="32"/>
          <w:szCs w:val="32"/>
        </w:rPr>
        <w:t>人；工作人员必须具有较高专业技术水平及文字表达能力。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b/>
          <w:bCs/>
          <w:sz w:val="32"/>
          <w:szCs w:val="32"/>
        </w:rPr>
      </w:pPr>
      <w:r>
        <w:rPr>
          <w:rFonts w:hint="eastAsia" w:ascii="CESI仿宋-GB2312" w:hAnsi="CESI仿宋-GB2312" w:eastAsia="CESI仿宋-GB2312" w:cs="CESI仿宋-GB2312"/>
          <w:b/>
          <w:bCs/>
          <w:sz w:val="32"/>
          <w:szCs w:val="32"/>
        </w:rPr>
        <w:t>4.</w:t>
      </w:r>
      <w:r>
        <w:rPr>
          <w:rFonts w:hint="eastAsia" w:ascii="CESI仿宋-GB2312" w:hAnsi="CESI仿宋-GB2312" w:eastAsia="CESI仿宋-GB2312" w:cs="CESI仿宋-GB2312"/>
          <w:b/>
          <w:bCs/>
          <w:sz w:val="32"/>
          <w:szCs w:val="32"/>
          <w:highlight w:val="none"/>
        </w:rPr>
        <w:t>设备场所要求：由中标单位自行解决工作所需车辆以及办公设施问题，如有派驻人员应驻点在采购单位指定的场所办公。</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仿宋" w:hAnsi="仿宋" w:eastAsia="仿宋" w:cs="仿宋"/>
          <w:b/>
          <w:bCs/>
          <w:sz w:val="32"/>
          <w:szCs w:val="32"/>
        </w:rPr>
      </w:pPr>
      <w:r>
        <w:rPr>
          <w:rFonts w:hint="eastAsia" w:ascii="仿宋" w:hAnsi="仿宋" w:eastAsia="仿宋" w:cs="仿宋"/>
          <w:b/>
          <w:bCs/>
          <w:sz w:val="32"/>
          <w:szCs w:val="32"/>
        </w:rPr>
        <w:t>（三）项目其他要求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1.投标方必须确保文件中的人员信息真实、有效。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2.投标方必须保守国家机密，不得</w:t>
      </w:r>
      <w:r>
        <w:rPr>
          <w:rFonts w:hint="eastAsia" w:ascii="CESI仿宋-GB2312" w:hAnsi="CESI仿宋-GB2312" w:eastAsia="CESI仿宋-GB2312" w:cs="CESI仿宋-GB2312"/>
          <w:sz w:val="32"/>
          <w:szCs w:val="32"/>
          <w:lang w:eastAsia="zh-CN"/>
        </w:rPr>
        <w:t>泄露</w:t>
      </w:r>
      <w:r>
        <w:rPr>
          <w:rFonts w:hint="eastAsia" w:ascii="CESI仿宋-GB2312" w:hAnsi="CESI仿宋-GB2312" w:eastAsia="CESI仿宋-GB2312" w:cs="CESI仿宋-GB2312"/>
          <w:sz w:val="32"/>
          <w:szCs w:val="32"/>
        </w:rPr>
        <w:t>采购方所提供的属国家秘密的信息和数据；未经采购方允许，不得使用或者以其它方式给任何第三方提供本项目的相关信息或数据。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3.中标方不得将项目非法分包或转包给任何单位和个人，否则采购方有权即刻终止合同，并要求中标人赔偿相应损失。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4.有弄虚作假及其他不当行为的，将终止合同，经济损失和法律责任由中标单位承担。</w:t>
      </w:r>
      <w:bookmarkStart w:id="10" w:name="_GoBack"/>
      <w:bookmarkEnd w:id="1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5.违反劳动法或其他相关法律法规，造成恶劣影响的，将终止合同，经济损失和法律责任由中标单位承担。</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仿宋" w:hAnsi="仿宋" w:eastAsia="仿宋" w:cs="仿宋"/>
          <w:b/>
          <w:bCs/>
          <w:sz w:val="32"/>
          <w:szCs w:val="32"/>
        </w:rPr>
      </w:pPr>
      <w:r>
        <w:rPr>
          <w:rFonts w:hint="eastAsia" w:ascii="仿宋" w:hAnsi="仿宋" w:eastAsia="仿宋" w:cs="仿宋"/>
          <w:b/>
          <w:bCs/>
          <w:sz w:val="32"/>
          <w:szCs w:val="32"/>
        </w:rPr>
        <w:t>（四）管理及责任承担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供应商有下列行为之一的，将取消其供应商资格：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1.弄虚作假、隐瞒真实情况骗取入围供应商资格的。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2.因行贿、受贿、串通投标、转包、挂靠受到处罚的。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3.中标后无正当理由不与采购单位签订合同的。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4.擅自变更或者中止服务合同的。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5.拖欠工人工资，经劳动或其他政府部门催告或通报仍不清偿的。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6.拒绝有关部门检查或者不如实反映情况、提供材料的。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7.不按采购需求、投标文件以及服务合同要求全面真实履约，履约情况评价不合格的。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8.因其公司资质降低达不到供应商资质条件的。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9.其它造成严重后果或恶劣影响的行为。</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仿宋" w:hAnsi="仿宋" w:eastAsia="仿宋" w:cs="仿宋"/>
          <w:b/>
          <w:bCs/>
          <w:sz w:val="32"/>
          <w:szCs w:val="32"/>
        </w:rPr>
      </w:pPr>
      <w:r>
        <w:rPr>
          <w:rFonts w:hint="eastAsia" w:ascii="仿宋" w:hAnsi="仿宋" w:eastAsia="仿宋" w:cs="仿宋"/>
          <w:b/>
          <w:bCs/>
          <w:sz w:val="32"/>
          <w:szCs w:val="32"/>
        </w:rPr>
        <w:t>（五）报价要求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本项目</w:t>
      </w:r>
      <w:r>
        <w:rPr>
          <w:rFonts w:hint="eastAsia" w:ascii="CESI仿宋-GB2312" w:hAnsi="CESI仿宋-GB2312" w:eastAsia="CESI仿宋-GB2312" w:cs="CESI仿宋-GB2312"/>
          <w:sz w:val="32"/>
          <w:szCs w:val="32"/>
          <w:highlight w:val="none"/>
        </w:rPr>
        <w:t>预算总价为</w:t>
      </w:r>
      <w:r>
        <w:rPr>
          <w:rFonts w:ascii="CESI仿宋-GB2312" w:hAnsi="CESI仿宋-GB2312" w:eastAsia="CESI仿宋-GB2312" w:cs="CESI仿宋-GB2312"/>
          <w:sz w:val="32"/>
          <w:szCs w:val="32"/>
          <w:highlight w:val="none"/>
        </w:rPr>
        <w:t>89</w:t>
      </w:r>
      <w:r>
        <w:rPr>
          <w:rFonts w:hint="eastAsia" w:ascii="CESI仿宋-GB2312" w:hAnsi="CESI仿宋-GB2312" w:eastAsia="CESI仿宋-GB2312" w:cs="CESI仿宋-GB2312"/>
          <w:sz w:val="32"/>
          <w:szCs w:val="32"/>
          <w:highlight w:val="none"/>
        </w:rPr>
        <w:t>万元</w:t>
      </w:r>
      <w:r>
        <w:rPr>
          <w:rFonts w:hint="eastAsia" w:ascii="CESI仿宋-GB2312" w:hAnsi="CESI仿宋-GB2312" w:eastAsia="CESI仿宋-GB2312" w:cs="CESI仿宋-GB2312"/>
          <w:sz w:val="32"/>
          <w:szCs w:val="32"/>
        </w:rPr>
        <w:t>，投标报价以人民币报价，总价应包括本项目所需一切费用，包括但不限于：报告编制、人工薪酬、设备及材料损耗、项目管理、专家评审、利润、税金、差旅费等涉及本项目的一切费用。</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仿宋" w:hAnsi="仿宋" w:eastAsia="仿宋" w:cs="仿宋"/>
          <w:b/>
          <w:bCs/>
          <w:sz w:val="32"/>
          <w:szCs w:val="32"/>
        </w:rPr>
      </w:pPr>
      <w:r>
        <w:rPr>
          <w:rFonts w:hint="eastAsia" w:ascii="仿宋" w:hAnsi="仿宋" w:eastAsia="仿宋" w:cs="仿宋"/>
          <w:b/>
          <w:bCs/>
          <w:sz w:val="32"/>
          <w:szCs w:val="32"/>
        </w:rPr>
        <w:t>（六）投标人资格要求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1.符合《中华人民共和国政府采购法》第二十一条和第二十二条规定的供应商。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2.应当独立于采购人。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3.符合《中华人民共和国政府采购法实施条例》第十八条和二十二条的规定。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4.投标单位声明在参与政府采购活动前三年未有重大违法记录、没有不良信用记录、无行贿犯罪记录，并按照采购文件要求提供了相关证明材料（提供书面声明函，格式自拟）。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ascii="CESI仿宋-GB2312" w:hAnsi="CESI仿宋-GB2312" w:eastAsia="CESI仿宋-GB2312" w:cs="CESI仿宋-GB2312"/>
          <w:sz w:val="32"/>
          <w:szCs w:val="32"/>
        </w:rPr>
        <w:t>5.投标单位必须是在中华人民共和国境内注册的法人企业，必须持有合法有效的营业执照</w:t>
      </w:r>
      <w:r>
        <w:rPr>
          <w:rFonts w:hint="eastAsia" w:ascii="CESI仿宋-GB2312" w:hAnsi="CESI仿宋-GB2312" w:eastAsia="CESI仿宋-GB2312" w:cs="CESI仿宋-GB2312"/>
          <w:sz w:val="32"/>
          <w:szCs w:val="32"/>
          <w:highlight w:val="none"/>
        </w:rPr>
        <w:t>（事业单位法人证书）</w:t>
      </w:r>
      <w:r>
        <w:rPr>
          <w:rFonts w:ascii="CESI仿宋-GB2312" w:hAnsi="CESI仿宋-GB2312" w:eastAsia="CESI仿宋-GB2312" w:cs="CESI仿宋-GB2312"/>
          <w:sz w:val="32"/>
          <w:szCs w:val="32"/>
        </w:rPr>
        <w:t>、税务登记证及组织机构代码证</w:t>
      </w:r>
      <w:r>
        <w:rPr>
          <w:rFonts w:hint="eastAsia" w:ascii="CESI仿宋-GB2312" w:hAnsi="CESI仿宋-GB2312" w:eastAsia="CESI仿宋-GB2312" w:cs="CESI仿宋-GB2312"/>
          <w:sz w:val="32"/>
          <w:szCs w:val="32"/>
          <w:highlight w:val="none"/>
        </w:rPr>
        <w:t>，</w:t>
      </w:r>
      <w:r>
        <w:rPr>
          <w:rFonts w:ascii="CESI仿宋-GB2312" w:hAnsi="CESI仿宋-GB2312" w:eastAsia="CESI仿宋-GB2312" w:cs="CESI仿宋-GB2312"/>
          <w:sz w:val="32"/>
          <w:szCs w:val="32"/>
        </w:rPr>
        <w:t>如营业执照</w:t>
      </w:r>
      <w:r>
        <w:rPr>
          <w:rFonts w:hint="eastAsia" w:ascii="CESI仿宋-GB2312" w:hAnsi="CESI仿宋-GB2312" w:eastAsia="CESI仿宋-GB2312" w:cs="CESI仿宋-GB2312"/>
          <w:sz w:val="32"/>
          <w:szCs w:val="32"/>
          <w:highlight w:val="none"/>
        </w:rPr>
        <w:t>（事业单位法人证书）</w:t>
      </w:r>
      <w:r>
        <w:rPr>
          <w:rFonts w:ascii="CESI仿宋-GB2312" w:hAnsi="CESI仿宋-GB2312" w:eastAsia="CESI仿宋-GB2312" w:cs="CESI仿宋-GB2312"/>
          <w:sz w:val="32"/>
          <w:szCs w:val="32"/>
        </w:rPr>
        <w:t>、税务登记证及组织机构代码证三证合一时，只需要提供营业执照</w:t>
      </w:r>
      <w:r>
        <w:rPr>
          <w:rFonts w:hint="eastAsia" w:ascii="CESI仿宋-GB2312" w:hAnsi="CESI仿宋-GB2312" w:eastAsia="CESI仿宋-GB2312" w:cs="CESI仿宋-GB2312"/>
          <w:sz w:val="32"/>
          <w:szCs w:val="32"/>
          <w:highlight w:val="none"/>
        </w:rPr>
        <w:t>或者事业单位法人证书</w:t>
      </w:r>
      <w:r>
        <w:rPr>
          <w:rFonts w:ascii="CESI仿宋-GB2312" w:hAnsi="CESI仿宋-GB2312" w:eastAsia="CESI仿宋-GB2312" w:cs="CESI仿宋-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ascii="CESI仿宋-GB2312" w:hAnsi="CESI仿宋-GB2312" w:eastAsia="CESI仿宋-GB2312" w:cs="CESI仿宋-GB2312"/>
          <w:b/>
          <w:bCs/>
          <w:sz w:val="32"/>
          <w:szCs w:val="32"/>
        </w:rPr>
        <w:t>6.</w:t>
      </w:r>
      <w:r>
        <w:rPr>
          <w:rFonts w:hint="eastAsia" w:ascii="CESI仿宋-GB2312" w:hAnsi="CESI仿宋-GB2312" w:eastAsia="CESI仿宋-GB2312" w:cs="CESI仿宋-GB2312"/>
          <w:b/>
          <w:bCs/>
          <w:sz w:val="32"/>
          <w:szCs w:val="32"/>
        </w:rPr>
        <w:t>投标单位必须具备城乡规划</w:t>
      </w:r>
      <w:r>
        <w:rPr>
          <w:rFonts w:hint="eastAsia" w:ascii="CESI仿宋-GB2312" w:hAnsi="CESI仿宋-GB2312" w:eastAsia="CESI仿宋-GB2312" w:cs="CESI仿宋-GB2312"/>
          <w:b/>
          <w:bCs/>
          <w:sz w:val="32"/>
          <w:szCs w:val="32"/>
          <w:lang w:eastAsia="zh-CN"/>
        </w:rPr>
        <w:t>编制单位</w:t>
      </w:r>
      <w:r>
        <w:rPr>
          <w:rFonts w:hint="eastAsia" w:ascii="CESI仿宋-GB2312" w:hAnsi="CESI仿宋-GB2312" w:eastAsia="CESI仿宋-GB2312" w:cs="CESI仿宋-GB2312"/>
          <w:b/>
          <w:bCs/>
          <w:sz w:val="32"/>
          <w:szCs w:val="32"/>
        </w:rPr>
        <w:t>资质</w:t>
      </w:r>
      <w:r>
        <w:rPr>
          <w:rFonts w:hint="eastAsia" w:ascii="CESI仿宋-GB2312" w:hAnsi="CESI仿宋-GB2312" w:eastAsia="CESI仿宋-GB2312" w:cs="CESI仿宋-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仿宋" w:hAnsi="仿宋" w:eastAsia="仿宋" w:cs="仿宋"/>
          <w:b/>
          <w:bCs/>
          <w:sz w:val="32"/>
          <w:szCs w:val="32"/>
        </w:rPr>
      </w:pPr>
      <w:r>
        <w:rPr>
          <w:rFonts w:hint="eastAsia" w:ascii="仿宋" w:hAnsi="仿宋" w:eastAsia="仿宋" w:cs="仿宋"/>
          <w:b/>
          <w:bCs/>
          <w:sz w:val="32"/>
          <w:szCs w:val="32"/>
        </w:rPr>
        <w:t>（七）服务期限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自合同签订之日起至该项目</w:t>
      </w:r>
      <w:r>
        <w:rPr>
          <w:rFonts w:hint="eastAsia" w:ascii="CESI仿宋-GB2312" w:hAnsi="CESI仿宋-GB2312" w:eastAsia="CESI仿宋-GB2312" w:cs="CESI仿宋-GB2312"/>
          <w:sz w:val="32"/>
          <w:szCs w:val="32"/>
          <w:lang w:eastAsia="zh-CN"/>
        </w:rPr>
        <w:t>结束</w:t>
      </w:r>
      <w:r>
        <w:rPr>
          <w:rFonts w:hint="eastAsia" w:ascii="CESI仿宋-GB2312" w:hAnsi="CESI仿宋-GB2312" w:eastAsia="CESI仿宋-GB2312" w:cs="CESI仿宋-GB2312"/>
          <w:sz w:val="32"/>
          <w:szCs w:val="32"/>
        </w:rPr>
        <w:t>，具体以签订的合同为准。</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ascii="仿宋" w:hAnsi="仿宋" w:eastAsia="仿宋" w:cs="仿宋"/>
          <w:b/>
          <w:bCs/>
          <w:sz w:val="32"/>
          <w:szCs w:val="32"/>
        </w:rPr>
      </w:pPr>
      <w:r>
        <w:rPr>
          <w:rFonts w:hint="eastAsia" w:ascii="仿宋" w:hAnsi="仿宋" w:eastAsia="仿宋" w:cs="仿宋"/>
          <w:b/>
          <w:bCs/>
          <w:sz w:val="32"/>
          <w:szCs w:val="32"/>
        </w:rPr>
        <w:t>（八）成果要求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1.贯彻、落实、协调市区相关部门对项目的要求。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2.出具该项目的汇报演示系统（</w:t>
      </w:r>
      <w:r>
        <w:rPr>
          <w:rFonts w:ascii="CESI仿宋-GB2312" w:hAnsi="CESI仿宋-GB2312" w:eastAsia="CESI仿宋-GB2312" w:cs="CESI仿宋-GB2312"/>
          <w:sz w:val="32"/>
          <w:szCs w:val="32"/>
        </w:rPr>
        <w:t>ppt</w:t>
      </w:r>
      <w:r>
        <w:rPr>
          <w:rFonts w:hint="eastAsia" w:ascii="CESI仿宋-GB2312" w:hAnsi="CESI仿宋-GB2312" w:eastAsia="CESI仿宋-GB2312" w:cs="CESI仿宋-GB2312"/>
          <w:sz w:val="32"/>
          <w:szCs w:val="32"/>
        </w:rPr>
        <w:t>）及项目研究报告（word）一式6份，如甲方要求加份，需积极配合。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3.中标供应商需按采购单位的招标技术及时间要求，完成相应工作成果并全部提交后，采购单位将进行项目验收。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四、评标细则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ascii="CESI仿宋-GB2312" w:hAnsi="CESI仿宋-GB2312" w:eastAsia="CESI仿宋-GB2312" w:cs="CESI仿宋-GB2312"/>
          <w:sz w:val="32"/>
          <w:szCs w:val="32"/>
        </w:rPr>
        <w:t>本次采用综合评分法进行评审，采购小组将对各投标人的投标方案、各项报价、综合实力等方面进行综合评审，对实质上响应招标文件的投标人，由评委进行综合打分（结算结果按四舍五入取小数点后二位）。具体评分细则详见下表：</w:t>
      </w:r>
    </w:p>
    <w:tbl>
      <w:tblPr>
        <w:tblStyle w:val="13"/>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96"/>
        <w:gridCol w:w="660"/>
        <w:gridCol w:w="7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27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评分项</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273" w:type="dxa"/>
            <w:gridSpan w:val="3"/>
            <w:tcBorders>
              <w:top w:val="single" w:color="auto" w:sz="4" w:space="0"/>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lang w:eastAsia="zh-CN"/>
              </w:rPr>
              <w:t>（一）</w:t>
            </w:r>
            <w:r>
              <w:rPr>
                <w:rFonts w:hint="eastAsia" w:ascii="仿宋" w:hAnsi="仿宋" w:eastAsia="仿宋" w:cs="仿宋"/>
                <w:b/>
                <w:color w:val="000000"/>
                <w:szCs w:val="21"/>
              </w:rPr>
              <w:t>价格部分</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2" w:hRule="atLeast"/>
          <w:jc w:val="center"/>
        </w:trPr>
        <w:tc>
          <w:tcPr>
            <w:tcW w:w="9717" w:type="dxa"/>
            <w:gridSpan w:val="4"/>
            <w:tcBorders>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bCs/>
                <w:color w:val="000000"/>
                <w:szCs w:val="21"/>
              </w:rPr>
            </w:pPr>
            <w:r>
              <w:rPr>
                <w:rFonts w:hint="eastAsia" w:ascii="仿宋" w:hAnsi="仿宋" w:eastAsia="仿宋" w:cs="仿宋"/>
                <w:bCs/>
                <w:color w:val="000000"/>
                <w:szCs w:val="21"/>
              </w:rPr>
              <w:t>根据《政府采购促进中小企业发展管理办法》（财库﹝2020﹞46 号），服务由中小企业承接的，即提供服务的人员为中小企业依照《中华人民共和国劳动合同法》订立劳动合同的从业人员，可享受本办法规定的中小企业扶持政策。</w:t>
            </w:r>
          </w:p>
          <w:p>
            <w:pPr>
              <w:adjustRightInd w:val="0"/>
              <w:snapToGrid w:val="0"/>
              <w:spacing w:line="240" w:lineRule="atLeast"/>
              <w:rPr>
                <w:rFonts w:ascii="仿宋" w:hAnsi="仿宋" w:eastAsia="仿宋" w:cs="仿宋"/>
                <w:bCs/>
                <w:color w:val="000000"/>
                <w:szCs w:val="21"/>
              </w:rPr>
            </w:pPr>
            <w:r>
              <w:rPr>
                <w:rFonts w:hint="eastAsia" w:ascii="仿宋" w:hAnsi="仿宋" w:eastAsia="仿宋" w:cs="仿宋"/>
                <w:bCs/>
                <w:color w:val="000000"/>
                <w:szCs w:val="21"/>
              </w:rPr>
              <w:t>（</w:t>
            </w:r>
            <w:r>
              <w:rPr>
                <w:rFonts w:hint="eastAsia" w:ascii="仿宋" w:hAnsi="仿宋" w:eastAsia="仿宋" w:cs="仿宋"/>
                <w:bCs/>
                <w:color w:val="000000"/>
                <w:szCs w:val="21"/>
                <w:lang w:val="en-US" w:eastAsia="zh-CN"/>
              </w:rPr>
              <w:t>1</w:t>
            </w:r>
            <w:r>
              <w:rPr>
                <w:rFonts w:hint="eastAsia" w:ascii="仿宋" w:hAnsi="仿宋" w:eastAsia="仿宋" w:cs="仿宋"/>
                <w:bCs/>
                <w:color w:val="000000"/>
                <w:szCs w:val="21"/>
              </w:rPr>
              <w:t>）服务由小微企业承接的，可享受对其投标报价扣除10%的价格评审优惠，用扣除后的价格参加评审。</w:t>
            </w:r>
          </w:p>
          <w:p>
            <w:pPr>
              <w:adjustRightInd w:val="0"/>
              <w:snapToGrid w:val="0"/>
              <w:spacing w:line="240" w:lineRule="atLeast"/>
              <w:rPr>
                <w:rFonts w:ascii="仿宋" w:hAnsi="仿宋" w:eastAsia="仿宋" w:cs="仿宋"/>
                <w:bCs/>
                <w:color w:val="000000"/>
                <w:szCs w:val="21"/>
              </w:rPr>
            </w:pPr>
            <w:r>
              <w:rPr>
                <w:rFonts w:hint="eastAsia" w:ascii="仿宋" w:hAnsi="仿宋" w:eastAsia="仿宋" w:cs="仿宋"/>
                <w:bCs/>
                <w:color w:val="000000"/>
                <w:szCs w:val="21"/>
              </w:rPr>
              <w:t>（2）监狱企业、残疾人福利性单位视为小微企业，享受扶持政策。</w:t>
            </w:r>
          </w:p>
          <w:p>
            <w:pPr>
              <w:adjustRightInd w:val="0"/>
              <w:snapToGrid w:val="0"/>
              <w:spacing w:line="240" w:lineRule="atLeast"/>
              <w:rPr>
                <w:rFonts w:ascii="仿宋" w:hAnsi="仿宋" w:eastAsia="仿宋" w:cs="仿宋"/>
                <w:bCs/>
                <w:color w:val="000000"/>
                <w:szCs w:val="21"/>
              </w:rPr>
            </w:pPr>
            <w:r>
              <w:rPr>
                <w:rFonts w:hint="eastAsia" w:ascii="仿宋" w:hAnsi="仿宋" w:eastAsia="仿宋" w:cs="仿宋"/>
                <w:bCs/>
                <w:color w:val="000000"/>
                <w:szCs w:val="21"/>
              </w:rPr>
              <w:t>（3）享受中小企业扶持政策的供应商应如实填写《中小企业声明函》、《残疾人福利性单位声明函》、《监狱企业声明函》等承诺性质的资料（声明函样式见本招标文件第三部分“格式及附件”中第二章节提供的格式）；监狱企业或者代理提供监狱企业货物的供应商如须享受中小企业扶持政策的，除上述资料外，还须提供省级以上监狱管理局、戒毒管理局（含新疆生产建设兵团）出具的监狱企业证明文件。</w:t>
            </w:r>
          </w:p>
          <w:p>
            <w:pPr>
              <w:adjustRightInd w:val="0"/>
              <w:snapToGrid w:val="0"/>
              <w:spacing w:line="240" w:lineRule="atLeast"/>
              <w:rPr>
                <w:rFonts w:ascii="仿宋" w:hAnsi="仿宋" w:eastAsia="仿宋" w:cs="仿宋"/>
                <w:bCs/>
                <w:color w:val="000000"/>
                <w:szCs w:val="21"/>
              </w:rPr>
            </w:pPr>
            <w:r>
              <w:rPr>
                <w:rFonts w:hint="eastAsia" w:ascii="仿宋" w:hAnsi="仿宋" w:eastAsia="仿宋" w:cs="仿宋"/>
                <w:bCs/>
                <w:color w:val="000000"/>
                <w:szCs w:val="21"/>
              </w:rPr>
              <w:t>（4）供应商不重复享受多项价格评审优惠政策。</w:t>
            </w:r>
          </w:p>
          <w:p>
            <w:pPr>
              <w:adjustRightInd w:val="0"/>
              <w:snapToGrid w:val="0"/>
              <w:spacing w:line="240" w:lineRule="atLeast"/>
              <w:rPr>
                <w:rFonts w:ascii="仿宋" w:hAnsi="仿宋" w:eastAsia="仿宋" w:cs="仿宋"/>
                <w:bCs/>
                <w:color w:val="000000"/>
                <w:szCs w:val="21"/>
              </w:rPr>
            </w:pPr>
            <w:r>
              <w:rPr>
                <w:rFonts w:hint="eastAsia" w:ascii="仿宋" w:hAnsi="仿宋" w:eastAsia="仿宋" w:cs="仿宋"/>
                <w:bCs/>
                <w:color w:val="000000"/>
                <w:szCs w:val="21"/>
              </w:rPr>
              <w:t>相关中小企业扶持政策具体以《政府采购促进中小企业发展管理办法》（财库〔2020〕46号）等最新规定为准。</w:t>
            </w:r>
          </w:p>
          <w:p>
            <w:pPr>
              <w:adjustRightInd w:val="0"/>
              <w:snapToGrid w:val="0"/>
              <w:spacing w:line="240" w:lineRule="atLeast"/>
              <w:rPr>
                <w:rFonts w:ascii="仿宋" w:hAnsi="仿宋" w:eastAsia="仿宋" w:cs="仿宋"/>
                <w:b/>
                <w:color w:val="000000"/>
                <w:szCs w:val="21"/>
              </w:rPr>
            </w:pPr>
            <w:r>
              <w:rPr>
                <w:rFonts w:hint="eastAsia" w:ascii="仿宋" w:hAnsi="仿宋" w:eastAsia="仿宋" w:cs="仿宋"/>
                <w:b/>
                <w:color w:val="000000"/>
                <w:szCs w:val="21"/>
              </w:rPr>
              <w:t>价格分计算方法：</w:t>
            </w:r>
            <w:r>
              <w:rPr>
                <w:rFonts w:hint="eastAsia" w:ascii="仿宋" w:hAnsi="仿宋" w:eastAsia="仿宋" w:cs="仿宋"/>
                <w:bCs/>
                <w:color w:val="000000"/>
                <w:szCs w:val="21"/>
              </w:rPr>
              <w:t>采用低价优先法计算，即满足招标文件要求且投标价格最低的投标报价为评标基准价，其价格分为满分。</w:t>
            </w:r>
            <w:r>
              <w:rPr>
                <w:rFonts w:hint="eastAsia" w:ascii="仿宋" w:hAnsi="仿宋" w:eastAsia="仿宋" w:cs="仿宋"/>
                <w:bCs/>
                <w:color w:val="000000"/>
                <w:szCs w:val="21"/>
                <w:highlight w:val="none"/>
              </w:rPr>
              <w:t>其他投标人的价格分统一按照下列公式计算：投标报价得分</w:t>
            </w:r>
            <w:r>
              <w:rPr>
                <w:rFonts w:ascii="仿宋" w:hAnsi="仿宋" w:eastAsia="仿宋" w:cs="仿宋"/>
                <w:bCs/>
                <w:color w:val="000000"/>
                <w:szCs w:val="21"/>
                <w:highlight w:val="none"/>
              </w:rPr>
              <w:t>=(评标基准价／投标报价)×20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227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lang w:eastAsia="zh-CN"/>
              </w:rPr>
              <w:t>（二）</w:t>
            </w:r>
            <w:r>
              <w:rPr>
                <w:rFonts w:hint="eastAsia" w:ascii="仿宋" w:hAnsi="仿宋" w:eastAsia="仿宋" w:cs="仿宋"/>
                <w:b/>
                <w:color w:val="000000"/>
                <w:szCs w:val="21"/>
              </w:rPr>
              <w:t>技术部分</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4</w:t>
            </w:r>
            <w:r>
              <w:rPr>
                <w:rFonts w:ascii="仿宋" w:hAnsi="仿宋" w:eastAsia="仿宋" w:cs="仿宋"/>
                <w:b/>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tcBorders>
              <w:top w:val="single" w:color="auto" w:sz="4" w:space="0"/>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序号</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ind w:firstLine="210" w:firstLineChars="100"/>
              <w:rPr>
                <w:rFonts w:ascii="仿宋" w:hAnsi="仿宋" w:eastAsia="仿宋" w:cs="仿宋"/>
                <w:b/>
                <w:color w:val="000000"/>
                <w:szCs w:val="21"/>
              </w:rPr>
            </w:pPr>
            <w:r>
              <w:rPr>
                <w:rFonts w:hint="eastAsia" w:ascii="仿宋" w:hAnsi="仿宋" w:eastAsia="仿宋" w:cs="仿宋"/>
                <w:b/>
                <w:color w:val="000000"/>
                <w:szCs w:val="21"/>
              </w:rPr>
              <w:t>内容</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分数</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0"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1</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项目背景解读</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6</w:t>
            </w:r>
          </w:p>
        </w:tc>
        <w:tc>
          <w:tcPr>
            <w:tcW w:w="7444" w:type="dxa"/>
            <w:tcBorders>
              <w:top w:val="single" w:color="auto" w:sz="4" w:space="0"/>
              <w:left w:val="single" w:color="auto" w:sz="4" w:space="0"/>
              <w:bottom w:val="single" w:color="auto" w:sz="4" w:space="0"/>
              <w:right w:val="single" w:color="auto" w:sz="4" w:space="0"/>
            </w:tcBorders>
            <w:vAlign w:val="center"/>
          </w:tcPr>
          <w:p>
            <w:pPr>
              <w:pStyle w:val="20"/>
              <w:adjustRightInd w:val="0"/>
              <w:snapToGrid w:val="0"/>
              <w:spacing w:line="240" w:lineRule="atLeast"/>
              <w:jc w:val="both"/>
              <w:rPr>
                <w:rFonts w:hint="default"/>
                <w:b/>
                <w:bCs/>
                <w:color w:val="000000"/>
                <w:sz w:val="21"/>
                <w:szCs w:val="21"/>
              </w:rPr>
            </w:pPr>
            <w:r>
              <w:rPr>
                <w:b/>
                <w:bCs/>
                <w:color w:val="000000"/>
                <w:sz w:val="21"/>
                <w:szCs w:val="21"/>
              </w:rPr>
              <w:t>1.评审内容：</w:t>
            </w:r>
          </w:p>
          <w:p>
            <w:pPr>
              <w:adjustRightInd w:val="0"/>
              <w:snapToGrid w:val="0"/>
              <w:spacing w:line="240" w:lineRule="atLeast"/>
              <w:rPr>
                <w:rFonts w:ascii="仿宋" w:hAnsi="仿宋" w:eastAsia="仿宋" w:cs="仿宋"/>
                <w:b/>
                <w:i/>
                <w:color w:val="000000"/>
                <w:szCs w:val="21"/>
              </w:rPr>
            </w:pPr>
            <w:r>
              <w:rPr>
                <w:rFonts w:hint="eastAsia" w:ascii="仿宋" w:hAnsi="仿宋" w:eastAsia="仿宋" w:cs="仿宋"/>
                <w:color w:val="000000"/>
                <w:szCs w:val="21"/>
              </w:rPr>
              <w:t>（1）项目背景；</w:t>
            </w:r>
          </w:p>
          <w:p>
            <w:pPr>
              <w:pStyle w:val="20"/>
              <w:adjustRightInd w:val="0"/>
              <w:snapToGrid w:val="0"/>
              <w:spacing w:line="240" w:lineRule="atLeast"/>
              <w:jc w:val="both"/>
              <w:rPr>
                <w:rFonts w:hint="default"/>
                <w:color w:val="000000"/>
                <w:sz w:val="21"/>
                <w:szCs w:val="21"/>
              </w:rPr>
            </w:pPr>
            <w:r>
              <w:rPr>
                <w:color w:val="000000"/>
                <w:sz w:val="21"/>
                <w:szCs w:val="21"/>
              </w:rPr>
              <w:t>（2）研究目标；</w:t>
            </w:r>
          </w:p>
          <w:p>
            <w:pPr>
              <w:pStyle w:val="20"/>
              <w:adjustRightInd w:val="0"/>
              <w:snapToGrid w:val="0"/>
              <w:spacing w:line="240" w:lineRule="atLeast"/>
              <w:jc w:val="both"/>
              <w:rPr>
                <w:rFonts w:hint="default"/>
                <w:color w:val="000000"/>
                <w:sz w:val="21"/>
                <w:szCs w:val="21"/>
              </w:rPr>
            </w:pPr>
            <w:r>
              <w:rPr>
                <w:color w:val="000000"/>
                <w:sz w:val="21"/>
                <w:szCs w:val="21"/>
              </w:rPr>
              <w:t>（3）相关政策解读；</w:t>
            </w:r>
          </w:p>
          <w:p>
            <w:pPr>
              <w:pStyle w:val="20"/>
              <w:adjustRightInd w:val="0"/>
              <w:snapToGrid w:val="0"/>
              <w:spacing w:line="240" w:lineRule="atLeast"/>
              <w:jc w:val="both"/>
              <w:rPr>
                <w:rFonts w:hint="default"/>
                <w:color w:val="000000"/>
                <w:sz w:val="21"/>
                <w:szCs w:val="21"/>
              </w:rPr>
            </w:pPr>
            <w:r>
              <w:rPr>
                <w:color w:val="000000"/>
                <w:sz w:val="21"/>
                <w:szCs w:val="21"/>
              </w:rPr>
              <w:t>（4）相关规划解读。</w:t>
            </w:r>
          </w:p>
          <w:p>
            <w:pPr>
              <w:pStyle w:val="20"/>
              <w:adjustRightInd w:val="0"/>
              <w:snapToGrid w:val="0"/>
              <w:spacing w:line="240" w:lineRule="atLeast"/>
              <w:jc w:val="both"/>
              <w:rPr>
                <w:rFonts w:hint="default"/>
                <w:color w:val="000000"/>
                <w:sz w:val="21"/>
                <w:szCs w:val="21"/>
              </w:rPr>
            </w:pPr>
            <w:r>
              <w:rPr>
                <w:b/>
                <w:bCs/>
                <w:color w:val="000000"/>
                <w:sz w:val="21"/>
                <w:szCs w:val="21"/>
              </w:rPr>
              <w:t>2.评审标准：</w:t>
            </w:r>
            <w:r>
              <w:rPr>
                <w:color w:val="000000"/>
                <w:sz w:val="21"/>
                <w:szCs w:val="21"/>
              </w:rPr>
              <w:t>基础评分与横向评分累加总得分为该项的最终分值。</w:t>
            </w:r>
          </w:p>
          <w:p>
            <w:pPr>
              <w:pStyle w:val="20"/>
              <w:numPr>
                <w:ilvl w:val="0"/>
                <w:numId w:val="1"/>
              </w:numPr>
              <w:adjustRightInd w:val="0"/>
              <w:snapToGrid w:val="0"/>
              <w:spacing w:line="240" w:lineRule="atLeast"/>
              <w:jc w:val="both"/>
              <w:rPr>
                <w:rFonts w:hint="default"/>
                <w:color w:val="000000"/>
                <w:sz w:val="21"/>
                <w:szCs w:val="21"/>
              </w:rPr>
            </w:pPr>
            <w:r>
              <w:rPr>
                <w:color w:val="000000"/>
                <w:sz w:val="21"/>
                <w:szCs w:val="21"/>
              </w:rPr>
              <w:t>基础评分</w:t>
            </w:r>
          </w:p>
          <w:p>
            <w:pPr>
              <w:pStyle w:val="20"/>
              <w:adjustRightInd w:val="0"/>
              <w:snapToGrid w:val="0"/>
              <w:spacing w:line="240" w:lineRule="atLeast"/>
              <w:jc w:val="both"/>
              <w:rPr>
                <w:rFonts w:hint="default"/>
                <w:color w:val="000000"/>
                <w:sz w:val="21"/>
                <w:szCs w:val="21"/>
              </w:rPr>
            </w:pPr>
            <w:r>
              <w:rPr>
                <w:color w:val="000000"/>
                <w:sz w:val="21"/>
                <w:szCs w:val="21"/>
              </w:rPr>
              <w:t>考察以上评审内容的（1）（2）（3）（4）四项，每满足以上一项要求得1</w:t>
            </w:r>
            <w:r>
              <w:rPr>
                <w:rFonts w:hint="default"/>
                <w:color w:val="000000"/>
                <w:sz w:val="21"/>
                <w:szCs w:val="21"/>
              </w:rPr>
              <w:t>5</w:t>
            </w:r>
            <w:r>
              <w:rPr>
                <w:color w:val="000000"/>
                <w:sz w:val="21"/>
                <w:szCs w:val="21"/>
              </w:rPr>
              <w:t>%分，最高得60%分。</w:t>
            </w:r>
          </w:p>
          <w:p>
            <w:pPr>
              <w:pStyle w:val="20"/>
              <w:numPr>
                <w:ilvl w:val="0"/>
                <w:numId w:val="1"/>
              </w:numPr>
              <w:adjustRightInd w:val="0"/>
              <w:snapToGrid w:val="0"/>
              <w:spacing w:line="240" w:lineRule="atLeast"/>
              <w:jc w:val="both"/>
              <w:rPr>
                <w:rFonts w:hint="default"/>
                <w:color w:val="000000"/>
                <w:sz w:val="21"/>
                <w:szCs w:val="21"/>
              </w:rPr>
            </w:pPr>
            <w:r>
              <w:rPr>
                <w:color w:val="000000"/>
                <w:sz w:val="21"/>
                <w:szCs w:val="21"/>
              </w:rPr>
              <w:t>横向评分</w:t>
            </w:r>
          </w:p>
          <w:p>
            <w:pPr>
              <w:pStyle w:val="20"/>
              <w:adjustRightInd w:val="0"/>
              <w:snapToGrid w:val="0"/>
              <w:spacing w:line="240" w:lineRule="atLeast"/>
              <w:jc w:val="both"/>
              <w:rPr>
                <w:rFonts w:hint="default"/>
                <w:color w:val="000000"/>
                <w:sz w:val="21"/>
                <w:szCs w:val="21"/>
              </w:rPr>
            </w:pPr>
            <w:r>
              <w:rPr>
                <w:color w:val="000000"/>
                <w:sz w:val="21"/>
                <w:szCs w:val="21"/>
              </w:rPr>
              <w:t>根据投标人项目背景解读具体响应内容进一步评审。</w:t>
            </w:r>
          </w:p>
          <w:p>
            <w:pPr>
              <w:pStyle w:val="20"/>
              <w:adjustRightInd w:val="0"/>
              <w:snapToGrid w:val="0"/>
              <w:spacing w:line="240" w:lineRule="atLeast"/>
              <w:jc w:val="both"/>
              <w:rPr>
                <w:rFonts w:hint="default"/>
                <w:color w:val="000000"/>
                <w:sz w:val="21"/>
                <w:szCs w:val="21"/>
              </w:rPr>
            </w:pPr>
            <w:r>
              <w:rPr>
                <w:color w:val="000000"/>
                <w:sz w:val="21"/>
                <w:szCs w:val="21"/>
              </w:rPr>
              <w:t>优：以上背景解读的四点内容全面具体、针对性强、可操作性强，加40%分；</w:t>
            </w:r>
          </w:p>
          <w:p>
            <w:pPr>
              <w:pStyle w:val="20"/>
              <w:adjustRightInd w:val="0"/>
              <w:snapToGrid w:val="0"/>
              <w:spacing w:line="240" w:lineRule="atLeast"/>
              <w:jc w:val="both"/>
              <w:rPr>
                <w:rFonts w:hint="default"/>
                <w:color w:val="000000"/>
                <w:sz w:val="21"/>
                <w:szCs w:val="21"/>
              </w:rPr>
            </w:pPr>
            <w:r>
              <w:rPr>
                <w:color w:val="000000"/>
                <w:sz w:val="21"/>
                <w:szCs w:val="21"/>
              </w:rPr>
              <w:t>良：以上背景解读的四点内容较全面、针对性较强、可操作性较强，加20%分；</w:t>
            </w:r>
          </w:p>
          <w:p>
            <w:pPr>
              <w:pStyle w:val="20"/>
              <w:adjustRightInd w:val="0"/>
              <w:snapToGrid w:val="0"/>
              <w:spacing w:line="240" w:lineRule="atLeast"/>
              <w:jc w:val="both"/>
              <w:rPr>
                <w:rFonts w:hint="default"/>
                <w:color w:val="000000"/>
                <w:sz w:val="21"/>
                <w:szCs w:val="21"/>
              </w:rPr>
            </w:pPr>
            <w:r>
              <w:rPr>
                <w:color w:val="000000"/>
                <w:sz w:val="21"/>
                <w:szCs w:val="21"/>
              </w:rPr>
              <w:t>中：以上背景解读的四点内容完整性、针对性、可操作性均一般，加10%分；</w:t>
            </w:r>
          </w:p>
          <w:p>
            <w:pPr>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差：以上背景解读的四点内容不科学、不完整、针对性较弱，加0分。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2</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项目现状分析</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10</w:t>
            </w:r>
          </w:p>
        </w:tc>
        <w:tc>
          <w:tcPr>
            <w:tcW w:w="7444" w:type="dxa"/>
            <w:tcBorders>
              <w:top w:val="single" w:color="auto" w:sz="4" w:space="0"/>
              <w:left w:val="single" w:color="auto" w:sz="4" w:space="0"/>
              <w:bottom w:val="single" w:color="auto" w:sz="4" w:space="0"/>
              <w:right w:val="single" w:color="auto" w:sz="4" w:space="0"/>
            </w:tcBorders>
            <w:vAlign w:val="center"/>
          </w:tcPr>
          <w:p>
            <w:pPr>
              <w:pStyle w:val="20"/>
              <w:adjustRightInd w:val="0"/>
              <w:snapToGrid w:val="0"/>
              <w:spacing w:line="240" w:lineRule="atLeast"/>
              <w:jc w:val="both"/>
              <w:rPr>
                <w:rFonts w:hint="default"/>
                <w:b/>
                <w:bCs/>
                <w:color w:val="000000"/>
                <w:sz w:val="21"/>
                <w:szCs w:val="21"/>
              </w:rPr>
            </w:pPr>
            <w:r>
              <w:rPr>
                <w:b/>
                <w:bCs/>
                <w:color w:val="000000"/>
                <w:sz w:val="21"/>
                <w:szCs w:val="21"/>
              </w:rPr>
              <w:t>1.评审内容：</w:t>
            </w:r>
          </w:p>
          <w:p>
            <w:pPr>
              <w:pStyle w:val="20"/>
              <w:adjustRightInd w:val="0"/>
              <w:snapToGrid w:val="0"/>
              <w:spacing w:line="240" w:lineRule="atLeast"/>
              <w:jc w:val="both"/>
              <w:rPr>
                <w:rFonts w:hint="default"/>
                <w:color w:val="000000"/>
                <w:sz w:val="21"/>
                <w:szCs w:val="21"/>
              </w:rPr>
            </w:pPr>
            <w:r>
              <w:rPr>
                <w:color w:val="000000"/>
                <w:sz w:val="21"/>
                <w:szCs w:val="21"/>
              </w:rPr>
              <w:t>（1）对项目研究范围内现状情况进行分析，包括土地现状利用、土地权属、建筑物、道路交通、周边开发建设情况、自然与人文资源等情况进行梳理；</w:t>
            </w:r>
          </w:p>
          <w:p>
            <w:pPr>
              <w:pStyle w:val="20"/>
              <w:adjustRightInd w:val="0"/>
              <w:snapToGrid w:val="0"/>
              <w:spacing w:line="240" w:lineRule="atLeast"/>
              <w:jc w:val="both"/>
              <w:rPr>
                <w:rFonts w:hint="default"/>
                <w:color w:val="000000"/>
                <w:sz w:val="21"/>
                <w:szCs w:val="21"/>
              </w:rPr>
            </w:pPr>
            <w:r>
              <w:rPr>
                <w:color w:val="000000"/>
                <w:sz w:val="21"/>
                <w:szCs w:val="21"/>
              </w:rPr>
              <w:t>（2）对项目现状情况进行总结分析。</w:t>
            </w:r>
          </w:p>
          <w:p>
            <w:pPr>
              <w:pStyle w:val="20"/>
              <w:adjustRightInd w:val="0"/>
              <w:snapToGrid w:val="0"/>
              <w:spacing w:line="240" w:lineRule="atLeast"/>
              <w:jc w:val="both"/>
              <w:rPr>
                <w:rFonts w:hint="default"/>
                <w:color w:val="000000"/>
                <w:sz w:val="21"/>
                <w:szCs w:val="21"/>
              </w:rPr>
            </w:pPr>
            <w:r>
              <w:rPr>
                <w:b/>
                <w:bCs/>
                <w:color w:val="000000"/>
                <w:sz w:val="21"/>
                <w:szCs w:val="21"/>
              </w:rPr>
              <w:t>2.评审标准：</w:t>
            </w:r>
            <w:r>
              <w:rPr>
                <w:color w:val="000000"/>
                <w:sz w:val="21"/>
                <w:szCs w:val="21"/>
              </w:rPr>
              <w:t>基础评分与横向评分累加总得分为该项的最终分值。</w:t>
            </w:r>
          </w:p>
          <w:p>
            <w:pPr>
              <w:pStyle w:val="20"/>
              <w:numPr>
                <w:ilvl w:val="0"/>
                <w:numId w:val="1"/>
              </w:numPr>
              <w:adjustRightInd w:val="0"/>
              <w:snapToGrid w:val="0"/>
              <w:spacing w:line="240" w:lineRule="atLeast"/>
              <w:jc w:val="both"/>
              <w:rPr>
                <w:rFonts w:hint="default"/>
                <w:color w:val="000000"/>
                <w:sz w:val="21"/>
                <w:szCs w:val="21"/>
              </w:rPr>
            </w:pPr>
            <w:r>
              <w:rPr>
                <w:color w:val="000000"/>
                <w:sz w:val="21"/>
                <w:szCs w:val="21"/>
              </w:rPr>
              <w:t>基础评分</w:t>
            </w:r>
          </w:p>
          <w:p>
            <w:pPr>
              <w:pStyle w:val="20"/>
              <w:adjustRightInd w:val="0"/>
              <w:snapToGrid w:val="0"/>
              <w:spacing w:line="240" w:lineRule="atLeast"/>
              <w:jc w:val="both"/>
              <w:rPr>
                <w:rFonts w:hint="default"/>
                <w:color w:val="000000"/>
                <w:sz w:val="21"/>
                <w:szCs w:val="21"/>
              </w:rPr>
            </w:pPr>
            <w:r>
              <w:rPr>
                <w:color w:val="000000"/>
                <w:sz w:val="21"/>
                <w:szCs w:val="21"/>
              </w:rPr>
              <w:t>每满足（土地现状利用、土地权属、建筑物、道路交通、周边开发建设情况、自然与人文资源）分析中的一项要求得</w:t>
            </w:r>
            <w:r>
              <w:rPr>
                <w:rFonts w:hint="default"/>
                <w:color w:val="000000"/>
                <w:sz w:val="21"/>
                <w:szCs w:val="21"/>
              </w:rPr>
              <w:t>10</w:t>
            </w:r>
            <w:r>
              <w:rPr>
                <w:color w:val="000000"/>
                <w:sz w:val="21"/>
                <w:szCs w:val="21"/>
              </w:rPr>
              <w:t>%分，最高得60%分。</w:t>
            </w:r>
          </w:p>
          <w:p>
            <w:pPr>
              <w:pStyle w:val="20"/>
              <w:numPr>
                <w:ilvl w:val="0"/>
                <w:numId w:val="1"/>
              </w:numPr>
              <w:adjustRightInd w:val="0"/>
              <w:snapToGrid w:val="0"/>
              <w:spacing w:line="240" w:lineRule="atLeast"/>
              <w:jc w:val="both"/>
              <w:rPr>
                <w:rFonts w:hint="default"/>
                <w:color w:val="000000"/>
                <w:sz w:val="21"/>
                <w:szCs w:val="21"/>
              </w:rPr>
            </w:pPr>
            <w:r>
              <w:rPr>
                <w:color w:val="000000"/>
                <w:sz w:val="21"/>
                <w:szCs w:val="21"/>
              </w:rPr>
              <w:t>横向评分</w:t>
            </w:r>
          </w:p>
          <w:p>
            <w:pPr>
              <w:pStyle w:val="20"/>
              <w:adjustRightInd w:val="0"/>
              <w:snapToGrid w:val="0"/>
              <w:spacing w:line="240" w:lineRule="atLeast"/>
              <w:jc w:val="both"/>
              <w:rPr>
                <w:rFonts w:hint="default"/>
                <w:color w:val="000000"/>
                <w:sz w:val="21"/>
                <w:szCs w:val="21"/>
              </w:rPr>
            </w:pPr>
            <w:r>
              <w:rPr>
                <w:color w:val="000000"/>
                <w:sz w:val="21"/>
                <w:szCs w:val="21"/>
              </w:rPr>
              <w:t>根据投标人项目现状分析具体响应内容进一步评审。</w:t>
            </w:r>
          </w:p>
          <w:p>
            <w:pPr>
              <w:pStyle w:val="20"/>
              <w:adjustRightInd w:val="0"/>
              <w:snapToGrid w:val="0"/>
              <w:spacing w:line="240" w:lineRule="atLeast"/>
              <w:jc w:val="both"/>
              <w:rPr>
                <w:rFonts w:hint="default"/>
                <w:color w:val="000000"/>
                <w:sz w:val="21"/>
                <w:szCs w:val="21"/>
              </w:rPr>
            </w:pPr>
            <w:r>
              <w:rPr>
                <w:color w:val="000000"/>
                <w:sz w:val="21"/>
                <w:szCs w:val="21"/>
              </w:rPr>
              <w:t>优：以上现状分析的两点内容全面具体、针对性强、可操作性强，加40%分；</w:t>
            </w:r>
          </w:p>
          <w:p>
            <w:pPr>
              <w:pStyle w:val="20"/>
              <w:adjustRightInd w:val="0"/>
              <w:snapToGrid w:val="0"/>
              <w:spacing w:line="240" w:lineRule="atLeast"/>
              <w:jc w:val="both"/>
              <w:rPr>
                <w:rFonts w:hint="default"/>
                <w:color w:val="000000"/>
                <w:sz w:val="21"/>
                <w:szCs w:val="21"/>
              </w:rPr>
            </w:pPr>
            <w:r>
              <w:rPr>
                <w:color w:val="000000"/>
                <w:sz w:val="21"/>
                <w:szCs w:val="21"/>
              </w:rPr>
              <w:t>良：以上现状分析的两点内容较全面、针对性较强、可操作性较强，加20%分；</w:t>
            </w:r>
          </w:p>
          <w:p>
            <w:pPr>
              <w:pStyle w:val="20"/>
              <w:adjustRightInd w:val="0"/>
              <w:snapToGrid w:val="0"/>
              <w:spacing w:line="240" w:lineRule="atLeast"/>
              <w:jc w:val="both"/>
              <w:rPr>
                <w:rFonts w:hint="default"/>
                <w:color w:val="000000"/>
                <w:sz w:val="21"/>
                <w:szCs w:val="21"/>
              </w:rPr>
            </w:pPr>
            <w:r>
              <w:rPr>
                <w:color w:val="000000"/>
                <w:sz w:val="21"/>
                <w:szCs w:val="21"/>
              </w:rPr>
              <w:t>中：以上现状分析的两点内容完整性、针对性、可操作性均一般，加10%分；</w:t>
            </w:r>
          </w:p>
          <w:p>
            <w:pPr>
              <w:pStyle w:val="20"/>
              <w:adjustRightInd w:val="0"/>
              <w:snapToGrid w:val="0"/>
              <w:spacing w:line="240" w:lineRule="atLeast"/>
              <w:jc w:val="both"/>
              <w:rPr>
                <w:rFonts w:hint="default"/>
                <w:color w:val="000000"/>
                <w:szCs w:val="21"/>
              </w:rPr>
            </w:pPr>
            <w:r>
              <w:rPr>
                <w:color w:val="000000"/>
                <w:sz w:val="21"/>
                <w:szCs w:val="21"/>
              </w:rPr>
              <w:t>差：以上现状分析的两点内容不科学、不完整、针对性较弱，加0分。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2"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3</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项目技术路线及重难点分析</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6</w:t>
            </w:r>
          </w:p>
        </w:tc>
        <w:tc>
          <w:tcPr>
            <w:tcW w:w="7444" w:type="dxa"/>
            <w:tcBorders>
              <w:top w:val="single" w:color="auto" w:sz="4" w:space="0"/>
              <w:left w:val="single" w:color="auto" w:sz="4" w:space="0"/>
              <w:bottom w:val="single" w:color="auto" w:sz="4" w:space="0"/>
              <w:right w:val="single" w:color="auto" w:sz="4" w:space="0"/>
            </w:tcBorders>
            <w:vAlign w:val="center"/>
          </w:tcPr>
          <w:p>
            <w:pPr>
              <w:pStyle w:val="20"/>
              <w:numPr>
                <w:ilvl w:val="0"/>
                <w:numId w:val="0"/>
              </w:numPr>
              <w:adjustRightInd w:val="0"/>
              <w:snapToGrid w:val="0"/>
              <w:spacing w:line="240" w:lineRule="atLeast"/>
              <w:ind w:leftChars="0"/>
              <w:jc w:val="both"/>
              <w:rPr>
                <w:rFonts w:hint="default"/>
                <w:b/>
                <w:bCs/>
                <w:color w:val="000000"/>
                <w:sz w:val="21"/>
                <w:szCs w:val="21"/>
              </w:rPr>
            </w:pPr>
            <w:r>
              <w:rPr>
                <w:rFonts w:hint="eastAsia"/>
                <w:b/>
                <w:bCs/>
                <w:color w:val="000000"/>
                <w:sz w:val="21"/>
                <w:szCs w:val="21"/>
                <w:lang w:val="en-US" w:eastAsia="zh-CN"/>
              </w:rPr>
              <w:t>1.</w:t>
            </w:r>
            <w:r>
              <w:rPr>
                <w:b/>
                <w:bCs/>
                <w:color w:val="000000"/>
                <w:sz w:val="21"/>
                <w:szCs w:val="21"/>
              </w:rPr>
              <w:t>评审内容：</w:t>
            </w:r>
          </w:p>
          <w:p>
            <w:pPr>
              <w:pStyle w:val="20"/>
              <w:adjustRightInd w:val="0"/>
              <w:snapToGrid w:val="0"/>
              <w:spacing w:line="240" w:lineRule="atLeast"/>
              <w:jc w:val="both"/>
              <w:rPr>
                <w:rFonts w:hint="default"/>
                <w:color w:val="000000"/>
                <w:sz w:val="21"/>
                <w:szCs w:val="21"/>
              </w:rPr>
            </w:pPr>
            <w:r>
              <w:rPr>
                <w:color w:val="000000"/>
                <w:sz w:val="21"/>
                <w:szCs w:val="21"/>
              </w:rPr>
              <w:t xml:space="preserve">（1）完成项目的主要应用的技术路线； </w:t>
            </w:r>
          </w:p>
          <w:p>
            <w:pPr>
              <w:pStyle w:val="20"/>
              <w:adjustRightInd w:val="0"/>
              <w:snapToGrid w:val="0"/>
              <w:spacing w:line="240" w:lineRule="atLeast"/>
              <w:jc w:val="both"/>
              <w:rPr>
                <w:rFonts w:hint="default"/>
                <w:color w:val="000000"/>
                <w:sz w:val="21"/>
                <w:szCs w:val="21"/>
              </w:rPr>
            </w:pPr>
            <w:r>
              <w:rPr>
                <w:color w:val="000000"/>
                <w:sz w:val="21"/>
                <w:szCs w:val="21"/>
              </w:rPr>
              <w:t>（2）项目的主要工作内容结构；</w:t>
            </w:r>
          </w:p>
          <w:p>
            <w:pPr>
              <w:pStyle w:val="20"/>
              <w:adjustRightInd w:val="0"/>
              <w:snapToGrid w:val="0"/>
              <w:spacing w:line="240" w:lineRule="atLeast"/>
              <w:jc w:val="both"/>
              <w:rPr>
                <w:rFonts w:hint="default"/>
                <w:color w:val="000000"/>
                <w:sz w:val="21"/>
                <w:szCs w:val="21"/>
              </w:rPr>
            </w:pPr>
            <w:r>
              <w:rPr>
                <w:color w:val="000000"/>
                <w:sz w:val="21"/>
                <w:szCs w:val="21"/>
              </w:rPr>
              <w:t>（</w:t>
            </w:r>
            <w:r>
              <w:rPr>
                <w:rFonts w:hint="default"/>
                <w:color w:val="000000"/>
                <w:sz w:val="21"/>
                <w:szCs w:val="21"/>
              </w:rPr>
              <w:t>3</w:t>
            </w:r>
            <w:r>
              <w:rPr>
                <w:color w:val="000000"/>
                <w:sz w:val="21"/>
                <w:szCs w:val="21"/>
              </w:rPr>
              <w:t>）项目重难点分析。</w:t>
            </w:r>
          </w:p>
          <w:p>
            <w:pPr>
              <w:pStyle w:val="20"/>
              <w:adjustRightInd w:val="0"/>
              <w:snapToGrid w:val="0"/>
              <w:spacing w:line="240" w:lineRule="atLeast"/>
              <w:jc w:val="both"/>
              <w:rPr>
                <w:rFonts w:hint="default"/>
                <w:color w:val="000000"/>
                <w:sz w:val="21"/>
                <w:szCs w:val="21"/>
              </w:rPr>
            </w:pPr>
            <w:r>
              <w:rPr>
                <w:b/>
                <w:bCs/>
                <w:color w:val="000000"/>
                <w:sz w:val="21"/>
                <w:szCs w:val="21"/>
              </w:rPr>
              <w:t>2.评审标准：</w:t>
            </w:r>
            <w:r>
              <w:rPr>
                <w:color w:val="000000"/>
                <w:sz w:val="21"/>
                <w:szCs w:val="21"/>
              </w:rPr>
              <w:t>基础评分与横向评分累加总得分为该项的最终分值。</w:t>
            </w:r>
          </w:p>
          <w:p>
            <w:pPr>
              <w:pStyle w:val="20"/>
              <w:numPr>
                <w:ilvl w:val="0"/>
                <w:numId w:val="1"/>
              </w:numPr>
              <w:adjustRightInd w:val="0"/>
              <w:snapToGrid w:val="0"/>
              <w:spacing w:line="240" w:lineRule="atLeast"/>
              <w:jc w:val="both"/>
              <w:rPr>
                <w:rFonts w:hint="default"/>
                <w:color w:val="000000"/>
                <w:sz w:val="21"/>
                <w:szCs w:val="21"/>
              </w:rPr>
            </w:pPr>
            <w:r>
              <w:rPr>
                <w:color w:val="000000"/>
                <w:sz w:val="21"/>
                <w:szCs w:val="21"/>
              </w:rPr>
              <w:t>基础评分</w:t>
            </w:r>
          </w:p>
          <w:p>
            <w:pPr>
              <w:pStyle w:val="20"/>
              <w:adjustRightInd w:val="0"/>
              <w:snapToGrid w:val="0"/>
              <w:spacing w:line="240" w:lineRule="atLeast"/>
              <w:jc w:val="both"/>
              <w:rPr>
                <w:rFonts w:hint="default"/>
                <w:color w:val="000000"/>
                <w:sz w:val="21"/>
                <w:szCs w:val="21"/>
              </w:rPr>
            </w:pPr>
            <w:r>
              <w:rPr>
                <w:color w:val="000000"/>
                <w:sz w:val="21"/>
                <w:szCs w:val="21"/>
              </w:rPr>
              <w:t>考察以上评审内容的（1）（2）（3）三项。每满足一项得2</w:t>
            </w:r>
            <w:r>
              <w:rPr>
                <w:rFonts w:hint="default"/>
                <w:color w:val="000000"/>
                <w:sz w:val="21"/>
                <w:szCs w:val="21"/>
              </w:rPr>
              <w:t>0</w:t>
            </w:r>
            <w:r>
              <w:rPr>
                <w:color w:val="000000"/>
                <w:sz w:val="21"/>
                <w:szCs w:val="21"/>
              </w:rPr>
              <w:t>%，最高得60%分。</w:t>
            </w:r>
          </w:p>
          <w:p>
            <w:pPr>
              <w:pStyle w:val="20"/>
              <w:numPr>
                <w:ilvl w:val="0"/>
                <w:numId w:val="1"/>
              </w:numPr>
              <w:adjustRightInd w:val="0"/>
              <w:snapToGrid w:val="0"/>
              <w:spacing w:line="240" w:lineRule="atLeast"/>
              <w:jc w:val="both"/>
              <w:rPr>
                <w:rFonts w:hint="default"/>
                <w:color w:val="000000"/>
                <w:sz w:val="21"/>
                <w:szCs w:val="21"/>
              </w:rPr>
            </w:pPr>
            <w:r>
              <w:rPr>
                <w:color w:val="000000"/>
                <w:sz w:val="21"/>
                <w:szCs w:val="21"/>
              </w:rPr>
              <w:t>横向评分</w:t>
            </w:r>
          </w:p>
          <w:p>
            <w:pPr>
              <w:pStyle w:val="20"/>
              <w:adjustRightInd w:val="0"/>
              <w:snapToGrid w:val="0"/>
              <w:spacing w:line="240" w:lineRule="atLeast"/>
              <w:jc w:val="both"/>
              <w:rPr>
                <w:rFonts w:hint="default"/>
                <w:color w:val="000000"/>
                <w:sz w:val="21"/>
                <w:szCs w:val="21"/>
              </w:rPr>
            </w:pPr>
            <w:r>
              <w:rPr>
                <w:color w:val="000000"/>
                <w:sz w:val="21"/>
                <w:szCs w:val="21"/>
              </w:rPr>
              <w:t>根据投标人项目技术路线及重难点分析具体响应内容进一步评审。</w:t>
            </w:r>
          </w:p>
          <w:p>
            <w:pPr>
              <w:pStyle w:val="20"/>
              <w:adjustRightInd w:val="0"/>
              <w:snapToGrid w:val="0"/>
              <w:spacing w:line="240" w:lineRule="atLeast"/>
              <w:jc w:val="both"/>
              <w:rPr>
                <w:rFonts w:hint="default"/>
                <w:color w:val="000000"/>
                <w:sz w:val="21"/>
                <w:szCs w:val="21"/>
              </w:rPr>
            </w:pPr>
            <w:r>
              <w:rPr>
                <w:color w:val="000000"/>
                <w:sz w:val="21"/>
                <w:szCs w:val="21"/>
              </w:rPr>
              <w:t>优：以上项目技术路线及重难点分析的三点内容全面具体、针对性强、可操作性强，加40%分。</w:t>
            </w:r>
          </w:p>
          <w:p>
            <w:pPr>
              <w:pStyle w:val="20"/>
              <w:adjustRightInd w:val="0"/>
              <w:snapToGrid w:val="0"/>
              <w:spacing w:line="240" w:lineRule="atLeast"/>
              <w:jc w:val="both"/>
              <w:rPr>
                <w:rFonts w:hint="default"/>
                <w:color w:val="000000"/>
                <w:sz w:val="21"/>
                <w:szCs w:val="21"/>
              </w:rPr>
            </w:pPr>
            <w:r>
              <w:rPr>
                <w:color w:val="000000"/>
                <w:sz w:val="21"/>
                <w:szCs w:val="21"/>
              </w:rPr>
              <w:t>良：以上项目技术路线及重难点分析的三点内容较全面、针对性较强、可操作性较强，加20%分。</w:t>
            </w:r>
          </w:p>
          <w:p>
            <w:pPr>
              <w:pStyle w:val="20"/>
              <w:adjustRightInd w:val="0"/>
              <w:snapToGrid w:val="0"/>
              <w:spacing w:line="240" w:lineRule="atLeast"/>
              <w:jc w:val="both"/>
              <w:rPr>
                <w:rFonts w:hint="default"/>
                <w:color w:val="000000"/>
                <w:sz w:val="21"/>
                <w:szCs w:val="21"/>
              </w:rPr>
            </w:pPr>
            <w:r>
              <w:rPr>
                <w:color w:val="000000"/>
                <w:sz w:val="21"/>
                <w:szCs w:val="21"/>
              </w:rPr>
              <w:t>中：以上项目技术路线及重难点分析的三点内容完整性、针对性、可操作性均一般，加10%分。</w:t>
            </w:r>
          </w:p>
          <w:p>
            <w:pPr>
              <w:pStyle w:val="20"/>
              <w:adjustRightInd w:val="0"/>
              <w:snapToGrid w:val="0"/>
              <w:spacing w:line="240" w:lineRule="atLeast"/>
              <w:jc w:val="both"/>
              <w:rPr>
                <w:rFonts w:hint="default"/>
                <w:color w:val="000000"/>
                <w:szCs w:val="21"/>
              </w:rPr>
            </w:pPr>
            <w:r>
              <w:rPr>
                <w:color w:val="000000"/>
                <w:sz w:val="21"/>
                <w:szCs w:val="21"/>
              </w:rPr>
              <w:t>差：以上项目技术路线及重难点分析的三点内容不科学、不完整、针对性较弱，加0分。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4</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项目初步方案研究</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15</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1.评审内容：</w:t>
            </w:r>
          </w:p>
          <w:p>
            <w:pPr>
              <w:pStyle w:val="20"/>
              <w:adjustRightInd w:val="0"/>
              <w:snapToGrid w:val="0"/>
              <w:spacing w:line="240" w:lineRule="atLeast"/>
              <w:jc w:val="both"/>
              <w:rPr>
                <w:rFonts w:hint="default"/>
                <w:color w:val="000000"/>
                <w:sz w:val="21"/>
                <w:szCs w:val="21"/>
              </w:rPr>
            </w:pPr>
            <w:r>
              <w:rPr>
                <w:color w:val="000000"/>
                <w:sz w:val="21"/>
                <w:szCs w:val="21"/>
              </w:rPr>
              <w:t>（1）土地开发模式初步分析；</w:t>
            </w:r>
          </w:p>
          <w:p>
            <w:pPr>
              <w:pStyle w:val="20"/>
              <w:adjustRightInd w:val="0"/>
              <w:snapToGrid w:val="0"/>
              <w:spacing w:line="240" w:lineRule="atLeast"/>
              <w:jc w:val="both"/>
              <w:rPr>
                <w:rFonts w:hint="default"/>
                <w:color w:val="000000"/>
                <w:sz w:val="21"/>
                <w:szCs w:val="21"/>
              </w:rPr>
            </w:pPr>
            <w:r>
              <w:rPr>
                <w:color w:val="000000"/>
                <w:sz w:val="21"/>
                <w:szCs w:val="21"/>
              </w:rPr>
              <w:t>（2）提出项目初步规划方案。</w:t>
            </w:r>
          </w:p>
          <w:p>
            <w:pPr>
              <w:pStyle w:val="20"/>
              <w:adjustRightInd w:val="0"/>
              <w:snapToGrid w:val="0"/>
              <w:spacing w:line="240" w:lineRule="atLeast"/>
              <w:jc w:val="both"/>
              <w:rPr>
                <w:rFonts w:hint="default"/>
                <w:color w:val="000000"/>
                <w:sz w:val="21"/>
                <w:szCs w:val="21"/>
              </w:rPr>
            </w:pPr>
            <w:r>
              <w:rPr>
                <w:b/>
                <w:bCs/>
                <w:color w:val="000000"/>
                <w:sz w:val="21"/>
                <w:szCs w:val="21"/>
              </w:rPr>
              <w:t>2.评审标准：</w:t>
            </w:r>
            <w:r>
              <w:rPr>
                <w:color w:val="000000"/>
                <w:sz w:val="21"/>
                <w:szCs w:val="21"/>
              </w:rPr>
              <w:t>基础评分与横向评分累加总得分为该项的最终分值。</w:t>
            </w:r>
          </w:p>
          <w:p>
            <w:pPr>
              <w:pStyle w:val="20"/>
              <w:numPr>
                <w:ilvl w:val="0"/>
                <w:numId w:val="1"/>
              </w:numPr>
              <w:adjustRightInd w:val="0"/>
              <w:snapToGrid w:val="0"/>
              <w:spacing w:line="240" w:lineRule="atLeast"/>
              <w:jc w:val="both"/>
              <w:rPr>
                <w:rFonts w:hint="default"/>
                <w:color w:val="000000"/>
                <w:sz w:val="21"/>
                <w:szCs w:val="21"/>
              </w:rPr>
            </w:pPr>
            <w:r>
              <w:rPr>
                <w:color w:val="000000"/>
                <w:sz w:val="21"/>
                <w:szCs w:val="21"/>
              </w:rPr>
              <w:t>基础评分</w:t>
            </w:r>
          </w:p>
          <w:p>
            <w:pPr>
              <w:pStyle w:val="20"/>
              <w:adjustRightInd w:val="0"/>
              <w:snapToGrid w:val="0"/>
              <w:spacing w:line="240" w:lineRule="atLeast"/>
              <w:jc w:val="both"/>
              <w:rPr>
                <w:rFonts w:hint="default"/>
                <w:color w:val="000000"/>
                <w:sz w:val="21"/>
                <w:szCs w:val="21"/>
              </w:rPr>
            </w:pPr>
            <w:r>
              <w:rPr>
                <w:color w:val="000000"/>
                <w:sz w:val="21"/>
                <w:szCs w:val="21"/>
              </w:rPr>
              <w:t>考察以上评审内容的（1）（2）两点，每满足以上一项要求得30%分，最高得60%分。</w:t>
            </w:r>
          </w:p>
          <w:p>
            <w:pPr>
              <w:pStyle w:val="20"/>
              <w:numPr>
                <w:ilvl w:val="0"/>
                <w:numId w:val="1"/>
              </w:numPr>
              <w:adjustRightInd w:val="0"/>
              <w:snapToGrid w:val="0"/>
              <w:spacing w:line="240" w:lineRule="atLeast"/>
              <w:jc w:val="both"/>
              <w:rPr>
                <w:rFonts w:hint="default"/>
                <w:color w:val="000000"/>
                <w:sz w:val="21"/>
                <w:szCs w:val="21"/>
              </w:rPr>
            </w:pPr>
            <w:r>
              <w:rPr>
                <w:color w:val="000000"/>
                <w:sz w:val="21"/>
                <w:szCs w:val="21"/>
              </w:rPr>
              <w:t>横向评分</w:t>
            </w:r>
          </w:p>
          <w:p>
            <w:pPr>
              <w:pStyle w:val="20"/>
              <w:adjustRightInd w:val="0"/>
              <w:snapToGrid w:val="0"/>
              <w:spacing w:line="240" w:lineRule="atLeast"/>
              <w:jc w:val="both"/>
              <w:rPr>
                <w:rFonts w:hint="default"/>
                <w:color w:val="000000"/>
                <w:sz w:val="21"/>
                <w:szCs w:val="21"/>
              </w:rPr>
            </w:pPr>
            <w:r>
              <w:rPr>
                <w:color w:val="000000"/>
                <w:sz w:val="21"/>
                <w:szCs w:val="21"/>
              </w:rPr>
              <w:t>在此基础上，根据投标人项目初步方案研究具体响应内容进一步评审。</w:t>
            </w:r>
          </w:p>
          <w:p>
            <w:pPr>
              <w:pStyle w:val="20"/>
              <w:adjustRightInd w:val="0"/>
              <w:snapToGrid w:val="0"/>
              <w:spacing w:line="240" w:lineRule="atLeast"/>
              <w:jc w:val="both"/>
              <w:rPr>
                <w:rFonts w:hint="default"/>
                <w:color w:val="000000"/>
                <w:sz w:val="21"/>
                <w:szCs w:val="21"/>
              </w:rPr>
            </w:pPr>
            <w:r>
              <w:rPr>
                <w:color w:val="000000"/>
                <w:sz w:val="21"/>
                <w:szCs w:val="21"/>
              </w:rPr>
              <w:t>优：以上项目初步方案研究的两点内容全面具体、针对性强、可操作性强，加40%分。</w:t>
            </w:r>
          </w:p>
          <w:p>
            <w:pPr>
              <w:pStyle w:val="20"/>
              <w:adjustRightInd w:val="0"/>
              <w:snapToGrid w:val="0"/>
              <w:spacing w:line="240" w:lineRule="atLeast"/>
              <w:jc w:val="both"/>
              <w:rPr>
                <w:rFonts w:hint="default"/>
                <w:color w:val="000000"/>
                <w:sz w:val="21"/>
                <w:szCs w:val="21"/>
              </w:rPr>
            </w:pPr>
            <w:r>
              <w:rPr>
                <w:color w:val="000000"/>
                <w:sz w:val="21"/>
                <w:szCs w:val="21"/>
              </w:rPr>
              <w:t>良：以上项目初步方案研究的两点内容较全面、针对性较强、可操作性较强，加20%分。</w:t>
            </w:r>
          </w:p>
          <w:p>
            <w:pPr>
              <w:pStyle w:val="20"/>
              <w:adjustRightInd w:val="0"/>
              <w:snapToGrid w:val="0"/>
              <w:spacing w:line="240" w:lineRule="atLeast"/>
              <w:jc w:val="both"/>
              <w:rPr>
                <w:rFonts w:hint="default"/>
                <w:color w:val="000000"/>
                <w:sz w:val="21"/>
                <w:szCs w:val="21"/>
              </w:rPr>
            </w:pPr>
            <w:r>
              <w:rPr>
                <w:color w:val="000000"/>
                <w:sz w:val="21"/>
                <w:szCs w:val="21"/>
              </w:rPr>
              <w:t>中：以上项目初步方案研究的两点内容完整性一般、针对性和可操作性一般，加10%分。</w:t>
            </w:r>
          </w:p>
          <w:p>
            <w:pPr>
              <w:pStyle w:val="20"/>
              <w:adjustRightInd w:val="0"/>
              <w:snapToGrid w:val="0"/>
              <w:spacing w:line="240" w:lineRule="atLeast"/>
              <w:jc w:val="both"/>
              <w:rPr>
                <w:rFonts w:hint="default"/>
                <w:b/>
                <w:bCs/>
                <w:color w:val="000000"/>
                <w:sz w:val="21"/>
                <w:szCs w:val="21"/>
              </w:rPr>
            </w:pPr>
            <w:r>
              <w:rPr>
                <w:color w:val="000000"/>
                <w:sz w:val="21"/>
                <w:szCs w:val="21"/>
              </w:rPr>
              <w:t>差：以上项目初步方案研究的两点内容不全面不具体、不具有针对性和可操作性，加0分。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9"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5</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项目服务质量及工作保障</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3</w:t>
            </w:r>
          </w:p>
        </w:tc>
        <w:tc>
          <w:tcPr>
            <w:tcW w:w="7444" w:type="dxa"/>
            <w:tcBorders>
              <w:top w:val="single" w:color="auto" w:sz="4" w:space="0"/>
              <w:left w:val="single" w:color="auto" w:sz="4" w:space="0"/>
              <w:bottom w:val="single" w:color="auto" w:sz="4" w:space="0"/>
              <w:right w:val="single" w:color="auto" w:sz="4" w:space="0"/>
            </w:tcBorders>
            <w:vAlign w:val="center"/>
          </w:tcPr>
          <w:p>
            <w:pPr>
              <w:pStyle w:val="20"/>
              <w:adjustRightInd w:val="0"/>
              <w:snapToGrid w:val="0"/>
              <w:spacing w:line="240" w:lineRule="atLeast"/>
              <w:jc w:val="both"/>
              <w:rPr>
                <w:rFonts w:hint="default"/>
                <w:b/>
                <w:bCs/>
                <w:color w:val="000000"/>
                <w:sz w:val="21"/>
                <w:szCs w:val="21"/>
              </w:rPr>
            </w:pPr>
            <w:r>
              <w:rPr>
                <w:b/>
                <w:bCs/>
                <w:color w:val="000000"/>
                <w:sz w:val="21"/>
                <w:szCs w:val="21"/>
              </w:rPr>
              <w:t>1.评审内容：</w:t>
            </w:r>
          </w:p>
          <w:p>
            <w:pPr>
              <w:pStyle w:val="20"/>
              <w:adjustRightInd w:val="0"/>
              <w:snapToGrid w:val="0"/>
              <w:spacing w:line="240" w:lineRule="atLeast"/>
              <w:jc w:val="both"/>
              <w:rPr>
                <w:rFonts w:hint="default"/>
                <w:color w:val="000000"/>
                <w:sz w:val="21"/>
                <w:szCs w:val="21"/>
              </w:rPr>
            </w:pPr>
            <w:r>
              <w:rPr>
                <w:color w:val="000000"/>
                <w:sz w:val="21"/>
                <w:szCs w:val="21"/>
              </w:rPr>
              <w:t>（1）项目组织管理；</w:t>
            </w:r>
          </w:p>
          <w:p>
            <w:pPr>
              <w:pStyle w:val="20"/>
              <w:adjustRightInd w:val="0"/>
              <w:snapToGrid w:val="0"/>
              <w:spacing w:line="240" w:lineRule="atLeast"/>
              <w:jc w:val="both"/>
              <w:rPr>
                <w:rFonts w:hint="default"/>
                <w:color w:val="000000"/>
                <w:sz w:val="21"/>
                <w:szCs w:val="21"/>
              </w:rPr>
            </w:pPr>
            <w:r>
              <w:rPr>
                <w:color w:val="000000"/>
                <w:sz w:val="21"/>
                <w:szCs w:val="21"/>
              </w:rPr>
              <w:t>（2）保障项目完成的工作计划；</w:t>
            </w:r>
          </w:p>
          <w:p>
            <w:pPr>
              <w:pStyle w:val="20"/>
              <w:adjustRightInd w:val="0"/>
              <w:snapToGrid w:val="0"/>
              <w:spacing w:line="240" w:lineRule="atLeast"/>
              <w:jc w:val="both"/>
              <w:rPr>
                <w:rFonts w:hint="default"/>
                <w:color w:val="000000"/>
                <w:sz w:val="21"/>
                <w:szCs w:val="21"/>
              </w:rPr>
            </w:pPr>
            <w:r>
              <w:rPr>
                <w:color w:val="000000"/>
                <w:sz w:val="21"/>
                <w:szCs w:val="21"/>
              </w:rPr>
              <w:t>（3）项目进度保障措施。</w:t>
            </w:r>
          </w:p>
          <w:p>
            <w:pPr>
              <w:pStyle w:val="20"/>
              <w:adjustRightInd w:val="0"/>
              <w:snapToGrid w:val="0"/>
              <w:spacing w:line="240" w:lineRule="atLeast"/>
              <w:jc w:val="both"/>
              <w:rPr>
                <w:rFonts w:hint="default"/>
                <w:color w:val="000000"/>
                <w:sz w:val="21"/>
                <w:szCs w:val="21"/>
              </w:rPr>
            </w:pPr>
            <w:r>
              <w:rPr>
                <w:b/>
                <w:bCs/>
                <w:color w:val="000000"/>
                <w:sz w:val="21"/>
                <w:szCs w:val="21"/>
              </w:rPr>
              <w:t>2.评审标准：</w:t>
            </w:r>
            <w:r>
              <w:rPr>
                <w:color w:val="000000"/>
                <w:sz w:val="21"/>
                <w:szCs w:val="21"/>
              </w:rPr>
              <w:t>基础评分与横向评分累加总得分为该项的最终分值。</w:t>
            </w:r>
          </w:p>
          <w:p>
            <w:pPr>
              <w:pStyle w:val="20"/>
              <w:numPr>
                <w:ilvl w:val="0"/>
                <w:numId w:val="1"/>
              </w:numPr>
              <w:adjustRightInd w:val="0"/>
              <w:snapToGrid w:val="0"/>
              <w:spacing w:line="240" w:lineRule="atLeast"/>
              <w:jc w:val="both"/>
              <w:rPr>
                <w:rFonts w:hint="default"/>
                <w:color w:val="000000"/>
                <w:sz w:val="21"/>
                <w:szCs w:val="21"/>
              </w:rPr>
            </w:pPr>
            <w:r>
              <w:rPr>
                <w:color w:val="000000"/>
                <w:sz w:val="21"/>
                <w:szCs w:val="21"/>
              </w:rPr>
              <w:t>基础评分</w:t>
            </w:r>
          </w:p>
          <w:p>
            <w:pPr>
              <w:pStyle w:val="20"/>
              <w:adjustRightInd w:val="0"/>
              <w:snapToGrid w:val="0"/>
              <w:spacing w:line="240" w:lineRule="atLeast"/>
              <w:jc w:val="both"/>
              <w:rPr>
                <w:rFonts w:hint="default"/>
                <w:color w:val="000000"/>
                <w:sz w:val="21"/>
                <w:szCs w:val="21"/>
              </w:rPr>
            </w:pPr>
            <w:r>
              <w:rPr>
                <w:color w:val="000000"/>
                <w:sz w:val="21"/>
                <w:szCs w:val="21"/>
              </w:rPr>
              <w:t>考察以上评审内容的（1）（2）（3）三点，每满足以上一项得2</w:t>
            </w:r>
            <w:r>
              <w:rPr>
                <w:rFonts w:hint="default"/>
                <w:color w:val="000000"/>
                <w:sz w:val="21"/>
                <w:szCs w:val="21"/>
              </w:rPr>
              <w:t>0</w:t>
            </w:r>
            <w:r>
              <w:rPr>
                <w:color w:val="000000"/>
                <w:sz w:val="21"/>
                <w:szCs w:val="21"/>
              </w:rPr>
              <w:t>%分，最高得60%分。</w:t>
            </w:r>
          </w:p>
          <w:p>
            <w:pPr>
              <w:pStyle w:val="20"/>
              <w:numPr>
                <w:ilvl w:val="0"/>
                <w:numId w:val="1"/>
              </w:numPr>
              <w:adjustRightInd w:val="0"/>
              <w:snapToGrid w:val="0"/>
              <w:spacing w:line="240" w:lineRule="atLeast"/>
              <w:jc w:val="both"/>
              <w:rPr>
                <w:rFonts w:hint="default"/>
                <w:color w:val="000000"/>
                <w:sz w:val="21"/>
                <w:szCs w:val="21"/>
              </w:rPr>
            </w:pPr>
            <w:r>
              <w:rPr>
                <w:color w:val="000000"/>
                <w:sz w:val="21"/>
                <w:szCs w:val="21"/>
              </w:rPr>
              <w:t>横向评分</w:t>
            </w:r>
          </w:p>
          <w:p>
            <w:pPr>
              <w:pStyle w:val="20"/>
              <w:adjustRightInd w:val="0"/>
              <w:snapToGrid w:val="0"/>
              <w:spacing w:line="240" w:lineRule="atLeast"/>
              <w:jc w:val="both"/>
              <w:rPr>
                <w:rFonts w:hint="default"/>
                <w:color w:val="000000"/>
                <w:sz w:val="21"/>
                <w:szCs w:val="21"/>
              </w:rPr>
            </w:pPr>
            <w:r>
              <w:rPr>
                <w:color w:val="000000"/>
                <w:sz w:val="21"/>
                <w:szCs w:val="21"/>
              </w:rPr>
              <w:t>根据投标人服务质量及工作保障具体响应内容进一步评审。</w:t>
            </w:r>
          </w:p>
          <w:p>
            <w:pPr>
              <w:pStyle w:val="20"/>
              <w:adjustRightInd w:val="0"/>
              <w:snapToGrid w:val="0"/>
              <w:spacing w:line="240" w:lineRule="atLeast"/>
              <w:jc w:val="both"/>
              <w:rPr>
                <w:rFonts w:hint="default"/>
                <w:color w:val="000000"/>
                <w:sz w:val="21"/>
                <w:szCs w:val="21"/>
              </w:rPr>
            </w:pPr>
            <w:r>
              <w:rPr>
                <w:color w:val="000000"/>
                <w:sz w:val="21"/>
                <w:szCs w:val="21"/>
              </w:rPr>
              <w:t>优：以上服务质量及工作保障的三点内容全面具体、针对性强、可操作性强，加40%分。</w:t>
            </w:r>
          </w:p>
          <w:p>
            <w:pPr>
              <w:pStyle w:val="20"/>
              <w:adjustRightInd w:val="0"/>
              <w:snapToGrid w:val="0"/>
              <w:spacing w:line="240" w:lineRule="atLeast"/>
              <w:jc w:val="both"/>
              <w:rPr>
                <w:rFonts w:hint="default"/>
                <w:color w:val="000000"/>
                <w:sz w:val="21"/>
                <w:szCs w:val="21"/>
              </w:rPr>
            </w:pPr>
            <w:r>
              <w:rPr>
                <w:color w:val="000000"/>
                <w:sz w:val="21"/>
                <w:szCs w:val="21"/>
              </w:rPr>
              <w:t>良：以上服务质量及工作保障的三点内容较全面、针对性较强、可操作性较强，加20%分。</w:t>
            </w:r>
          </w:p>
          <w:p>
            <w:pPr>
              <w:pStyle w:val="20"/>
              <w:adjustRightInd w:val="0"/>
              <w:snapToGrid w:val="0"/>
              <w:spacing w:line="240" w:lineRule="atLeast"/>
              <w:jc w:val="both"/>
              <w:rPr>
                <w:rFonts w:hint="default"/>
                <w:color w:val="000000"/>
                <w:sz w:val="21"/>
                <w:szCs w:val="21"/>
              </w:rPr>
            </w:pPr>
            <w:r>
              <w:rPr>
                <w:color w:val="000000"/>
                <w:sz w:val="21"/>
                <w:szCs w:val="21"/>
              </w:rPr>
              <w:t>中：以上服务质量及工作保障的三点内容完整性一般、针对性和可操作性一般，加10%分。</w:t>
            </w:r>
          </w:p>
          <w:p>
            <w:pPr>
              <w:pStyle w:val="20"/>
              <w:adjustRightInd w:val="0"/>
              <w:snapToGrid w:val="0"/>
              <w:spacing w:line="240" w:lineRule="atLeast"/>
              <w:jc w:val="both"/>
              <w:rPr>
                <w:rFonts w:hint="default"/>
                <w:color w:val="000000"/>
                <w:szCs w:val="21"/>
              </w:rPr>
            </w:pPr>
            <w:r>
              <w:rPr>
                <w:color w:val="000000"/>
                <w:sz w:val="21"/>
                <w:szCs w:val="21"/>
              </w:rPr>
              <w:t>差：以上服务质量及工作保障的三点内容不全面不具体、不具有针对性和可操作性，加0分。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6</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项目售后服务承诺</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3</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1.评审内容：</w:t>
            </w:r>
          </w:p>
          <w:p>
            <w:pPr>
              <w:pStyle w:val="20"/>
              <w:adjustRightInd w:val="0"/>
              <w:snapToGrid w:val="0"/>
              <w:spacing w:line="240" w:lineRule="atLeast"/>
              <w:jc w:val="both"/>
              <w:rPr>
                <w:rFonts w:hint="default"/>
                <w:color w:val="000000"/>
                <w:sz w:val="21"/>
                <w:szCs w:val="21"/>
              </w:rPr>
            </w:pPr>
            <w:r>
              <w:rPr>
                <w:color w:val="000000"/>
                <w:sz w:val="21"/>
                <w:szCs w:val="21"/>
              </w:rPr>
              <w:t>投标人提供的售后服务承诺，承诺包含但不限于：</w:t>
            </w:r>
          </w:p>
          <w:p>
            <w:pPr>
              <w:pStyle w:val="20"/>
              <w:adjustRightInd w:val="0"/>
              <w:snapToGrid w:val="0"/>
              <w:spacing w:line="240" w:lineRule="atLeast"/>
              <w:jc w:val="both"/>
              <w:rPr>
                <w:rFonts w:hint="default"/>
                <w:color w:val="000000"/>
                <w:sz w:val="21"/>
                <w:szCs w:val="21"/>
              </w:rPr>
            </w:pPr>
            <w:r>
              <w:rPr>
                <w:color w:val="000000"/>
                <w:sz w:val="21"/>
                <w:szCs w:val="21"/>
              </w:rPr>
              <w:t>投标人须制定专员支持服务计划：安排维护专员为本项目售后技术支持，并提供其联系手机、电话、传真、Email；保证采购单位在工作日内能及时联系到维护专员；如人员需要调整应及时通知采购单位。满足得100%分，否则不得分。</w:t>
            </w:r>
          </w:p>
          <w:p>
            <w:pPr>
              <w:pStyle w:val="20"/>
              <w:adjustRightInd w:val="0"/>
              <w:snapToGrid w:val="0"/>
              <w:spacing w:line="240" w:lineRule="atLeast"/>
              <w:jc w:val="both"/>
              <w:rPr>
                <w:rFonts w:hint="default"/>
                <w:color w:val="000000"/>
                <w:sz w:val="21"/>
                <w:szCs w:val="21"/>
              </w:rPr>
            </w:pPr>
            <w:r>
              <w:rPr>
                <w:b/>
                <w:bCs/>
                <w:color w:val="000000"/>
                <w:sz w:val="21"/>
                <w:szCs w:val="21"/>
              </w:rPr>
              <w:t>2.评审标准：</w:t>
            </w:r>
          </w:p>
          <w:p>
            <w:pPr>
              <w:pStyle w:val="20"/>
              <w:adjustRightInd w:val="0"/>
              <w:snapToGrid w:val="0"/>
              <w:spacing w:line="240" w:lineRule="atLeast"/>
              <w:jc w:val="both"/>
              <w:rPr>
                <w:rFonts w:hint="default"/>
                <w:color w:val="000000"/>
                <w:szCs w:val="21"/>
              </w:rPr>
            </w:pPr>
            <w:r>
              <w:rPr>
                <w:color w:val="000000"/>
                <w:sz w:val="21"/>
                <w:szCs w:val="21"/>
              </w:rPr>
              <w:t>提供售后服务承诺函（格式自拟）。未提供或提供不清晰导致专家无法判断的不得分。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227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lang w:eastAsia="zh-CN"/>
              </w:rPr>
              <w:t>（三）</w:t>
            </w:r>
            <w:r>
              <w:rPr>
                <w:rFonts w:hint="eastAsia" w:ascii="仿宋" w:hAnsi="仿宋" w:eastAsia="仿宋" w:cs="仿宋"/>
                <w:b/>
                <w:color w:val="000000"/>
                <w:szCs w:val="21"/>
              </w:rPr>
              <w:t>商务部分</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ascii="仿宋" w:hAnsi="仿宋" w:eastAsia="仿宋" w:cs="仿宋"/>
                <w:b/>
                <w:color w:val="000000"/>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13" w:type="dxa"/>
            <w:gridSpan w:val="2"/>
            <w:tcBorders>
              <w:top w:val="single" w:color="auto" w:sz="4" w:space="0"/>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内容</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分数</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b/>
                <w:color w:val="000000"/>
                <w:szCs w:val="21"/>
              </w:rPr>
            </w:pPr>
            <w:r>
              <w:rPr>
                <w:rFonts w:hint="eastAsia" w:ascii="仿宋" w:hAnsi="仿宋" w:eastAsia="仿宋" w:cs="仿宋"/>
                <w:b/>
                <w:color w:val="000000"/>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1</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投标人资质</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3</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1.评分内容：</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投标人具有土地规划机构</w:t>
            </w:r>
            <w:r>
              <w:rPr>
                <w:rFonts w:hint="eastAsia" w:ascii="仿宋" w:hAnsi="仿宋" w:eastAsia="仿宋" w:cs="仿宋"/>
                <w:color w:val="000000"/>
                <w:kern w:val="0"/>
                <w:szCs w:val="21"/>
                <w:lang w:eastAsia="zh-CN"/>
              </w:rPr>
              <w:t>丙</w:t>
            </w:r>
            <w:r>
              <w:rPr>
                <w:rFonts w:hint="eastAsia" w:ascii="仿宋" w:hAnsi="仿宋" w:eastAsia="仿宋" w:cs="仿宋"/>
                <w:color w:val="000000"/>
                <w:kern w:val="0"/>
                <w:szCs w:val="21"/>
              </w:rPr>
              <w:t>级证书</w:t>
            </w:r>
            <w:r>
              <w:rPr>
                <w:rFonts w:hint="eastAsia" w:ascii="仿宋" w:hAnsi="仿宋" w:eastAsia="仿宋" w:cs="仿宋"/>
                <w:color w:val="000000"/>
                <w:kern w:val="0"/>
                <w:szCs w:val="21"/>
                <w:lang w:eastAsia="zh-CN"/>
              </w:rPr>
              <w:t>得</w:t>
            </w:r>
            <w:r>
              <w:rPr>
                <w:rFonts w:hint="eastAsia" w:ascii="仿宋" w:hAnsi="仿宋" w:eastAsia="仿宋" w:cs="仿宋"/>
                <w:color w:val="000000"/>
                <w:kern w:val="0"/>
                <w:szCs w:val="21"/>
                <w:lang w:val="en-US" w:eastAsia="zh-CN"/>
              </w:rPr>
              <w:t>20%，具有</w:t>
            </w:r>
            <w:r>
              <w:rPr>
                <w:rFonts w:hint="eastAsia" w:ascii="仿宋" w:hAnsi="仿宋" w:eastAsia="仿宋" w:cs="仿宋"/>
                <w:color w:val="000000"/>
                <w:kern w:val="0"/>
                <w:szCs w:val="21"/>
              </w:rPr>
              <w:t>乙级或以上</w:t>
            </w:r>
            <w:r>
              <w:rPr>
                <w:rFonts w:hint="eastAsia" w:ascii="仿宋" w:hAnsi="仿宋" w:eastAsia="仿宋" w:cs="仿宋"/>
                <w:color w:val="000000"/>
                <w:kern w:val="0"/>
                <w:szCs w:val="21"/>
                <w:lang w:eastAsia="zh-CN"/>
              </w:rPr>
              <w:t>证书</w:t>
            </w:r>
            <w:r>
              <w:rPr>
                <w:rFonts w:hint="eastAsia" w:ascii="仿宋" w:hAnsi="仿宋" w:eastAsia="仿宋" w:cs="仿宋"/>
                <w:color w:val="000000"/>
                <w:kern w:val="0"/>
                <w:szCs w:val="21"/>
              </w:rPr>
              <w:t>得</w:t>
            </w:r>
            <w:r>
              <w:rPr>
                <w:rFonts w:ascii="仿宋" w:hAnsi="仿宋" w:eastAsia="仿宋" w:cs="仿宋"/>
                <w:color w:val="000000"/>
                <w:kern w:val="0"/>
                <w:szCs w:val="21"/>
              </w:rPr>
              <w:t>100</w:t>
            </w:r>
            <w:r>
              <w:rPr>
                <w:rFonts w:hint="eastAsia" w:ascii="仿宋" w:hAnsi="仿宋" w:eastAsia="仿宋" w:cs="仿宋"/>
                <w:color w:val="000000"/>
                <w:kern w:val="0"/>
                <w:szCs w:val="21"/>
              </w:rPr>
              <w:t>%。</w:t>
            </w:r>
          </w:p>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2.评分标准：</w:t>
            </w:r>
          </w:p>
          <w:p>
            <w:pPr>
              <w:widowControl/>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kern w:val="0"/>
                <w:szCs w:val="21"/>
              </w:rPr>
              <w:t>需提供以上资质证书等有效期内证明文件复印件或扫描件，未按要求提供或提供不清晰导致专家无法判断的不得分。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9"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2</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投标人同类业绩情况</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1</w:t>
            </w:r>
            <w:r>
              <w:rPr>
                <w:rFonts w:ascii="仿宋" w:hAnsi="仿宋" w:eastAsia="仿宋" w:cs="仿宋"/>
                <w:color w:val="000000"/>
                <w:szCs w:val="21"/>
              </w:rPr>
              <w:t>0</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1.评分内容：</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（1）从2018年1月1日至投标截止日，承接过片区统筹规划研究类项目的，每提供一项得</w:t>
            </w:r>
            <w:r>
              <w:rPr>
                <w:rFonts w:ascii="仿宋" w:hAnsi="仿宋" w:eastAsia="仿宋" w:cs="仿宋"/>
                <w:color w:val="000000"/>
                <w:kern w:val="0"/>
                <w:szCs w:val="21"/>
              </w:rPr>
              <w:t>2</w:t>
            </w:r>
            <w:r>
              <w:rPr>
                <w:rFonts w:hint="eastAsia" w:ascii="仿宋" w:hAnsi="仿宋" w:eastAsia="仿宋" w:cs="仿宋"/>
                <w:color w:val="000000"/>
                <w:kern w:val="0"/>
                <w:szCs w:val="21"/>
              </w:rPr>
              <w:t>0%，本项最高得</w:t>
            </w:r>
            <w:r>
              <w:rPr>
                <w:rFonts w:ascii="仿宋" w:hAnsi="仿宋" w:eastAsia="仿宋" w:cs="仿宋"/>
                <w:color w:val="000000"/>
                <w:kern w:val="0"/>
                <w:szCs w:val="21"/>
              </w:rPr>
              <w:t>6</w:t>
            </w:r>
            <w:r>
              <w:rPr>
                <w:rFonts w:hint="eastAsia" w:ascii="仿宋" w:hAnsi="仿宋" w:eastAsia="仿宋" w:cs="仿宋"/>
                <w:color w:val="000000"/>
                <w:kern w:val="0"/>
                <w:szCs w:val="21"/>
              </w:rPr>
              <w:t>0%；</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w:t>
            </w:r>
            <w:r>
              <w:rPr>
                <w:rFonts w:ascii="仿宋" w:hAnsi="仿宋" w:eastAsia="仿宋" w:cs="仿宋"/>
                <w:color w:val="000000"/>
                <w:kern w:val="0"/>
                <w:szCs w:val="21"/>
              </w:rPr>
              <w:t>2</w:t>
            </w:r>
            <w:r>
              <w:rPr>
                <w:rFonts w:hint="eastAsia" w:ascii="仿宋" w:hAnsi="仿宋" w:eastAsia="仿宋" w:cs="仿宋"/>
                <w:color w:val="000000"/>
                <w:kern w:val="0"/>
                <w:szCs w:val="21"/>
              </w:rPr>
              <w:t>）从2018年1月1日至投标截止日，承接过法定图则修编或者法定图则个案调整等法定图则类研究项目的，每提供一项得10%，本项最高得</w:t>
            </w:r>
            <w:r>
              <w:rPr>
                <w:rFonts w:ascii="仿宋" w:hAnsi="仿宋" w:eastAsia="仿宋" w:cs="仿宋"/>
                <w:color w:val="000000"/>
                <w:kern w:val="0"/>
                <w:szCs w:val="21"/>
              </w:rPr>
              <w:t>2</w:t>
            </w:r>
            <w:r>
              <w:rPr>
                <w:rFonts w:hint="eastAsia" w:ascii="仿宋" w:hAnsi="仿宋" w:eastAsia="仿宋" w:cs="仿宋"/>
                <w:color w:val="000000"/>
                <w:kern w:val="0"/>
                <w:szCs w:val="21"/>
              </w:rPr>
              <w:t>0%；</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w:t>
            </w:r>
            <w:r>
              <w:rPr>
                <w:rFonts w:ascii="仿宋" w:hAnsi="仿宋" w:eastAsia="仿宋" w:cs="仿宋"/>
                <w:color w:val="000000"/>
                <w:kern w:val="0"/>
                <w:szCs w:val="21"/>
              </w:rPr>
              <w:t>3</w:t>
            </w:r>
            <w:r>
              <w:rPr>
                <w:rFonts w:hint="eastAsia" w:ascii="仿宋" w:hAnsi="仿宋" w:eastAsia="仿宋" w:cs="仿宋"/>
                <w:color w:val="000000"/>
                <w:kern w:val="0"/>
                <w:szCs w:val="21"/>
              </w:rPr>
              <w:t>）从2018年1月1日至投标截止日，承接过城市更新或土地整备类的规划研究或可行性研究或政策类研究项目，每提供一项得</w:t>
            </w:r>
            <w:r>
              <w:rPr>
                <w:rFonts w:ascii="仿宋" w:hAnsi="仿宋" w:eastAsia="仿宋" w:cs="仿宋"/>
                <w:color w:val="000000"/>
                <w:kern w:val="0"/>
                <w:szCs w:val="21"/>
              </w:rPr>
              <w:t>1</w:t>
            </w:r>
            <w:r>
              <w:rPr>
                <w:rFonts w:hint="eastAsia" w:ascii="仿宋" w:hAnsi="仿宋" w:eastAsia="仿宋" w:cs="仿宋"/>
                <w:color w:val="000000"/>
                <w:kern w:val="0"/>
                <w:szCs w:val="21"/>
              </w:rPr>
              <w:t>0%，本项最高得20%。</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以上三项累计最高得100%。</w:t>
            </w:r>
          </w:p>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2.评分标准：</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（1）要求同时提供合同关键页扫描件（原件备查）作为得分依据。</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（2）项目合同名称须包含相对应的词组，否则不得分，同一项目合同名称包含两个或以上词组，或同一项目续签合同的，不重复得分。</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①片区统筹规划研究类项目合同名称须包含“片区统筹”词组。</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②法定图则修编或者法定图则个案调整等法定图则类研究项目合同名称须包含“法定图则”词组。</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③城市更新或土地整备类的规划研究或可行性研究或政策研究类项目合同名称须包含“土地整备”或“城市更新”词组。</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（3）通过合同关键信息无法判断是否得分的，也可以提供能证明得分的其它证明资料，如项目报告或合同采购单位出具的证明文件等。</w:t>
            </w:r>
          </w:p>
          <w:p>
            <w:pPr>
              <w:widowControl/>
              <w:adjustRightInd w:val="0"/>
              <w:snapToGrid w:val="0"/>
              <w:spacing w:line="240" w:lineRule="atLeast"/>
              <w:rPr>
                <w:rFonts w:ascii="仿宋" w:hAnsi="仿宋" w:eastAsia="仿宋" w:cs="仿宋"/>
                <w:b/>
                <w:bCs/>
                <w:color w:val="000000"/>
                <w:szCs w:val="21"/>
              </w:rPr>
            </w:pPr>
            <w:r>
              <w:rPr>
                <w:rFonts w:hint="eastAsia" w:ascii="仿宋" w:hAnsi="仿宋" w:eastAsia="仿宋" w:cs="仿宋"/>
                <w:color w:val="000000"/>
                <w:kern w:val="0"/>
                <w:szCs w:val="21"/>
              </w:rPr>
              <w:t>（4）未提供或提供不清晰导致专家无法判断的，不得分。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2"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3</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履约评价</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10</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1.评分内容：</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投标人在商务部分第二项“投标人同类业绩情况”得分的项目业绩中，经采购单位或被服务单位出具的总体履约评价为“优”或“满意”或以上的相关证明文件，每提供一项得</w:t>
            </w:r>
            <w:r>
              <w:rPr>
                <w:rFonts w:ascii="仿宋" w:hAnsi="仿宋" w:eastAsia="仿宋" w:cs="仿宋"/>
                <w:color w:val="000000"/>
                <w:kern w:val="0"/>
                <w:szCs w:val="21"/>
              </w:rPr>
              <w:t>2</w:t>
            </w:r>
            <w:r>
              <w:rPr>
                <w:rFonts w:hint="eastAsia" w:ascii="仿宋" w:hAnsi="仿宋" w:eastAsia="仿宋" w:cs="仿宋"/>
                <w:color w:val="000000"/>
                <w:kern w:val="0"/>
                <w:szCs w:val="21"/>
              </w:rPr>
              <w:t>0%，最高得100%。</w:t>
            </w:r>
          </w:p>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2.评分标准：</w:t>
            </w:r>
          </w:p>
          <w:p>
            <w:pPr>
              <w:widowControl/>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kern w:val="0"/>
                <w:szCs w:val="21"/>
              </w:rPr>
              <w:t>提供履约评价证明文件扫描件，原件备查。证明文件的内容必须包括但不仅限于合同的项目名称、总体履约评价结果、出具证明的签署日期、加盖甲方公章或业务章等相关内容,如提交的证明材料其评价结果没有结论而仅是打分的（比如打100分、98分、95分、85分等的）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4</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hint="eastAsia" w:ascii="仿宋" w:hAnsi="仿宋" w:eastAsia="仿宋" w:cs="仿宋"/>
                <w:color w:val="000000"/>
                <w:szCs w:val="21"/>
              </w:rPr>
              <w:t>获奖情况</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8</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1.评分内容：</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投标人自</w:t>
            </w:r>
            <w:r>
              <w:rPr>
                <w:rFonts w:ascii="仿宋" w:hAnsi="仿宋" w:eastAsia="仿宋" w:cs="仿宋"/>
                <w:color w:val="000000"/>
                <w:kern w:val="0"/>
                <w:szCs w:val="21"/>
                <w:highlight w:val="none"/>
              </w:rPr>
              <w:t>2017年1月1日</w:t>
            </w:r>
            <w:r>
              <w:rPr>
                <w:rFonts w:hint="eastAsia" w:ascii="仿宋" w:hAnsi="仿宋" w:eastAsia="仿宋" w:cs="仿宋"/>
                <w:color w:val="000000"/>
                <w:kern w:val="0"/>
                <w:szCs w:val="21"/>
              </w:rPr>
              <w:t>以来（以证书颁发日期为准，截至本项目投标截止之日）获奖情况：</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（1）获得政府部门或行业协会颁发的规划设计类奖项：</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① 每提供一个市级的荣誉奖项，得5%；</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② 每提供一个省级（或以上）的荣誉奖项得15%；</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本小项累计最高得50%。</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（2）投标人承接的土地整备相关项目获得市级（或以上）规划设计类奖项的，每提供一个得25%；本小项最高得50%。</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备注：以上两项累计最高得100%。</w:t>
            </w:r>
          </w:p>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2.评分标准：</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（1）要求提供奖项照片或获奖（荣誉）证书等证明材料扫描件作为得分依据；</w:t>
            </w:r>
          </w:p>
          <w:p>
            <w:pPr>
              <w:widowControl/>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kern w:val="0"/>
                <w:szCs w:val="21"/>
              </w:rPr>
              <w:t>（2）同一项目不可重复得分，以最高得分记。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jc w:val="center"/>
        </w:trPr>
        <w:tc>
          <w:tcPr>
            <w:tcW w:w="717" w:type="dxa"/>
            <w:tcBorders>
              <w:left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5</w:t>
            </w:r>
          </w:p>
        </w:tc>
        <w:tc>
          <w:tcPr>
            <w:tcW w:w="8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szCs w:val="21"/>
              </w:rPr>
              <w:t>拟安排的项目主要团队成员（主要技术人员）情况</w:t>
            </w:r>
          </w:p>
        </w:tc>
        <w:tc>
          <w:tcPr>
            <w:tcW w:w="6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仿宋" w:hAnsi="仿宋" w:eastAsia="仿宋" w:cs="仿宋"/>
                <w:color w:val="000000"/>
                <w:szCs w:val="21"/>
              </w:rPr>
            </w:pPr>
            <w:r>
              <w:rPr>
                <w:rFonts w:ascii="仿宋" w:hAnsi="仿宋" w:eastAsia="仿宋" w:cs="仿宋"/>
                <w:color w:val="000000"/>
                <w:szCs w:val="21"/>
              </w:rPr>
              <w:t>6</w:t>
            </w:r>
          </w:p>
        </w:tc>
        <w:tc>
          <w:tcPr>
            <w:tcW w:w="7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1.评分内容：</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（1）具有国土类或城乡规划类</w:t>
            </w:r>
            <w:r>
              <w:rPr>
                <w:rFonts w:hint="eastAsia" w:ascii="仿宋" w:hAnsi="仿宋" w:eastAsia="仿宋" w:cs="仿宋"/>
                <w:color w:val="000000"/>
                <w:kern w:val="0"/>
                <w:szCs w:val="21"/>
                <w:highlight w:val="none"/>
              </w:rPr>
              <w:t>中级及以上</w:t>
            </w:r>
            <w:r>
              <w:rPr>
                <w:rFonts w:hint="eastAsia" w:ascii="仿宋" w:hAnsi="仿宋" w:eastAsia="仿宋" w:cs="仿宋"/>
                <w:color w:val="000000"/>
                <w:kern w:val="0"/>
                <w:szCs w:val="21"/>
              </w:rPr>
              <w:t>职称证书的，每提供1人得5%，同时具有注册城乡规划师执业资格证的加5</w:t>
            </w:r>
            <w:r>
              <w:rPr>
                <w:rFonts w:ascii="仿宋" w:hAnsi="仿宋" w:eastAsia="仿宋" w:cs="仿宋"/>
                <w:color w:val="000000"/>
                <w:kern w:val="0"/>
                <w:szCs w:val="21"/>
              </w:rPr>
              <w:t>%</w:t>
            </w:r>
            <w:r>
              <w:rPr>
                <w:rFonts w:hint="eastAsia" w:ascii="仿宋" w:hAnsi="仿宋" w:eastAsia="仿宋" w:cs="仿宋"/>
                <w:color w:val="000000"/>
                <w:kern w:val="0"/>
                <w:szCs w:val="21"/>
              </w:rPr>
              <w:t>，本小项最高得</w:t>
            </w:r>
            <w:r>
              <w:rPr>
                <w:rFonts w:ascii="仿宋" w:hAnsi="仿宋" w:eastAsia="仿宋" w:cs="仿宋"/>
                <w:color w:val="000000"/>
                <w:kern w:val="0"/>
                <w:szCs w:val="21"/>
              </w:rPr>
              <w:t>6</w:t>
            </w:r>
            <w:r>
              <w:rPr>
                <w:rFonts w:hint="eastAsia" w:ascii="仿宋" w:hAnsi="仿宋" w:eastAsia="仿宋" w:cs="仿宋"/>
                <w:color w:val="000000"/>
                <w:kern w:val="0"/>
                <w:szCs w:val="21"/>
              </w:rPr>
              <w:t>0%；</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（2）除上述人员外，具有相关专业（城乡规划学、人文地理、地图学与地理信息系统或城市规划，以最高学历为准）</w:t>
            </w:r>
            <w:r>
              <w:rPr>
                <w:rFonts w:hint="eastAsia" w:ascii="仿宋" w:hAnsi="仿宋" w:eastAsia="仿宋" w:cs="仿宋"/>
                <w:color w:val="000000"/>
                <w:kern w:val="0"/>
                <w:szCs w:val="21"/>
                <w:highlight w:val="none"/>
              </w:rPr>
              <w:t>硕士研究生（或以上）</w:t>
            </w:r>
            <w:r>
              <w:rPr>
                <w:rFonts w:hint="eastAsia" w:ascii="仿宋" w:hAnsi="仿宋" w:eastAsia="仿宋" w:cs="仿宋"/>
                <w:color w:val="000000"/>
                <w:kern w:val="0"/>
                <w:szCs w:val="21"/>
              </w:rPr>
              <w:t>学历或学位的人员，每提供</w:t>
            </w:r>
            <w:r>
              <w:rPr>
                <w:rFonts w:ascii="仿宋" w:hAnsi="仿宋" w:eastAsia="仿宋" w:cs="仿宋"/>
                <w:color w:val="000000"/>
                <w:kern w:val="0"/>
                <w:szCs w:val="21"/>
              </w:rPr>
              <w:t>2</w:t>
            </w:r>
            <w:r>
              <w:rPr>
                <w:rFonts w:hint="eastAsia" w:ascii="仿宋" w:hAnsi="仿宋" w:eastAsia="仿宋" w:cs="仿宋"/>
                <w:color w:val="000000"/>
                <w:kern w:val="0"/>
                <w:szCs w:val="21"/>
              </w:rPr>
              <w:t>人或</w:t>
            </w:r>
            <w:r>
              <w:rPr>
                <w:rFonts w:ascii="仿宋" w:hAnsi="仿宋" w:eastAsia="仿宋" w:cs="仿宋"/>
                <w:color w:val="000000"/>
                <w:kern w:val="0"/>
                <w:szCs w:val="21"/>
              </w:rPr>
              <w:t>2</w:t>
            </w:r>
            <w:r>
              <w:rPr>
                <w:rFonts w:hint="eastAsia" w:ascii="仿宋" w:hAnsi="仿宋" w:eastAsia="仿宋" w:cs="仿宋"/>
                <w:color w:val="000000"/>
                <w:kern w:val="0"/>
                <w:szCs w:val="21"/>
              </w:rPr>
              <w:t>人以上得</w:t>
            </w:r>
            <w:r>
              <w:rPr>
                <w:rFonts w:ascii="仿宋" w:hAnsi="仿宋" w:eastAsia="仿宋" w:cs="仿宋"/>
                <w:color w:val="000000"/>
                <w:kern w:val="0"/>
                <w:szCs w:val="21"/>
              </w:rPr>
              <w:t>2</w:t>
            </w:r>
            <w:r>
              <w:rPr>
                <w:rFonts w:hint="eastAsia" w:ascii="仿宋" w:hAnsi="仿宋" w:eastAsia="仿宋" w:cs="仿宋"/>
                <w:color w:val="000000"/>
                <w:kern w:val="0"/>
                <w:szCs w:val="21"/>
              </w:rPr>
              <w:t>0%，本小项最高得</w:t>
            </w:r>
            <w:r>
              <w:rPr>
                <w:rFonts w:ascii="仿宋" w:hAnsi="仿宋" w:eastAsia="仿宋" w:cs="仿宋"/>
                <w:color w:val="000000"/>
                <w:kern w:val="0"/>
                <w:szCs w:val="21"/>
              </w:rPr>
              <w:t>4</w:t>
            </w:r>
            <w:r>
              <w:rPr>
                <w:rFonts w:hint="eastAsia" w:ascii="仿宋" w:hAnsi="仿宋" w:eastAsia="仿宋" w:cs="仿宋"/>
                <w:color w:val="000000"/>
                <w:kern w:val="0"/>
                <w:szCs w:val="21"/>
              </w:rPr>
              <w:t>0%。</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以上两项累计最高得100%。</w:t>
            </w:r>
          </w:p>
          <w:p>
            <w:pPr>
              <w:adjustRightInd w:val="0"/>
              <w:snapToGrid w:val="0"/>
              <w:spacing w:line="240" w:lineRule="atLeast"/>
              <w:rPr>
                <w:rFonts w:ascii="仿宋" w:hAnsi="仿宋" w:eastAsia="仿宋" w:cs="仿宋"/>
                <w:b/>
                <w:bCs/>
                <w:color w:val="000000"/>
                <w:szCs w:val="21"/>
              </w:rPr>
            </w:pPr>
            <w:r>
              <w:rPr>
                <w:rFonts w:hint="eastAsia" w:ascii="仿宋" w:hAnsi="仿宋" w:eastAsia="仿宋" w:cs="仿宋"/>
                <w:b/>
                <w:bCs/>
                <w:color w:val="000000"/>
                <w:szCs w:val="21"/>
              </w:rPr>
              <w:t>2.评分标准：</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（1）评分内容（1）：要求提供开标日前通过投标人购买的技术人员近3个月的缴纳社保的证明资料（至少包含养老及医疗保险）、相关证书（或网站查询结果）作为得分依据。</w:t>
            </w:r>
          </w:p>
          <w:p>
            <w:pPr>
              <w:widowControl/>
              <w:adjustRightInd w:val="0"/>
              <w:snapToGrid w:val="0"/>
              <w:spacing w:line="240" w:lineRule="atLeast"/>
              <w:rPr>
                <w:rFonts w:ascii="仿宋" w:hAnsi="仿宋" w:eastAsia="仿宋" w:cs="仿宋"/>
                <w:color w:val="000000"/>
                <w:kern w:val="0"/>
                <w:szCs w:val="21"/>
              </w:rPr>
            </w:pPr>
            <w:r>
              <w:rPr>
                <w:rFonts w:hint="eastAsia" w:ascii="仿宋" w:hAnsi="仿宋" w:eastAsia="仿宋" w:cs="仿宋"/>
                <w:color w:val="000000"/>
                <w:kern w:val="0"/>
                <w:szCs w:val="21"/>
              </w:rPr>
              <w:t>（2）评分内容（2）：要求投标人提供证书复印件以及学信网查询记录。对于较早颁发的学历学位证书，学信网无法查询的，可提供其他佐证材料（如毕业院校、人社部门等颁发机构或监管机构等单位出具的证明）；留学归国人员如无法提供学信网查询记录截图，提供国（境）外学历证书扫描件（以及中文翻译件）和教育部留学服务中心出具的国外学历认证书扫描件【或教育部留学服务中心网站（http://zwfw.cscse.edu.cn/）在线查询截图】也予以认可。</w:t>
            </w:r>
          </w:p>
          <w:p>
            <w:pPr>
              <w:widowControl/>
              <w:adjustRightInd w:val="0"/>
              <w:snapToGrid w:val="0"/>
              <w:spacing w:line="240" w:lineRule="atLeast"/>
              <w:rPr>
                <w:rFonts w:ascii="仿宋" w:hAnsi="仿宋" w:eastAsia="仿宋" w:cs="仿宋"/>
                <w:color w:val="000000"/>
                <w:szCs w:val="21"/>
              </w:rPr>
            </w:pPr>
            <w:r>
              <w:rPr>
                <w:rFonts w:hint="eastAsia" w:ascii="仿宋" w:hAnsi="仿宋" w:eastAsia="仿宋" w:cs="仿宋"/>
                <w:color w:val="000000"/>
                <w:kern w:val="0"/>
                <w:szCs w:val="21"/>
              </w:rPr>
              <w:t>（3）以上资料均要求提供扫描件，原件备查。未提供有效证明材料或提供不清晰导致评委无法识别的，不计得分。</w:t>
            </w:r>
          </w:p>
        </w:tc>
      </w:tr>
    </w:tbl>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五、投标文件制作要求</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（一）本项目的投标报价以人民币计算；</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（二）投标文件应严格按要求顺序装订成册：</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1.所投项目名称及投标人名称；</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2.法人代表证明及身份证复印件或委托代理人证明及身份证复印件（格式要求详见附件）；</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w:t>
      </w:r>
      <w:r>
        <w:rPr>
          <w:rFonts w:hint="eastAsia" w:ascii="CESI仿宋-GB2312" w:hAnsi="CESI仿宋-GB2312" w:eastAsia="CESI仿宋-GB2312" w:cs="CESI仿宋-GB2312"/>
          <w:sz w:val="32"/>
          <w:szCs w:val="32"/>
          <w:highlight w:val="none"/>
        </w:rPr>
        <w:t>营业执照或者事业单位法人证书、城乡规划</w:t>
      </w:r>
      <w:r>
        <w:rPr>
          <w:rFonts w:hint="eastAsia" w:ascii="CESI仿宋-GB2312" w:hAnsi="CESI仿宋-GB2312" w:eastAsia="CESI仿宋-GB2312" w:cs="CESI仿宋-GB2312"/>
          <w:sz w:val="32"/>
          <w:szCs w:val="32"/>
          <w:highlight w:val="none"/>
          <w:lang w:eastAsia="zh-CN"/>
        </w:rPr>
        <w:t>编制单位</w:t>
      </w:r>
      <w:r>
        <w:rPr>
          <w:rFonts w:hint="eastAsia" w:ascii="CESI仿宋-GB2312" w:hAnsi="CESI仿宋-GB2312" w:eastAsia="CESI仿宋-GB2312" w:cs="CESI仿宋-GB2312"/>
          <w:sz w:val="32"/>
          <w:szCs w:val="32"/>
          <w:highlight w:val="none"/>
        </w:rPr>
        <w:t>资质证书（盖公章，原件备查）；</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4.相关声明函（格式要求详见附件）；</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5.项目负责人身份证复印件及联系电话（注：因未提供有效联系方式而无法联系的，作无效标处理。）；</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6.报价详细清单、项目总价、其他与本项目有关资料(包括但不限于项目服务方案、拟安排的项目人员情况、项目业绩、项目履约评价、项目的质量保证措施等)；</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7.①参加政府采购活动近三年内，在经营活动中没有重大违法记录的声明函；②不存在处于被禁止参与政府采购活动期限内情形的声明函；③投标承诺书;（格式要求详见附件）</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（三）项目报价必须包含人工、社保、交通、住宿、伙食、培训、税金等与本项目相关的一切费用。折算成单价即为全费用综合单价，报价不得高于本预算金额,高于预算金额报价的投标文件按无效标处理。</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（四）其他文件（投标单位根据评标细则选择提交的其他证明资料）。</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注：以上文件均应提供纸质材料并加盖投标单位公章，投标文件一式五份，一份正本，四份副本。</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六、合同签订</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通过综合评审确定候选中标单位后，采购单位将结果在坪山</w:t>
      </w:r>
      <w:r>
        <w:rPr>
          <w:rFonts w:hint="eastAsia" w:ascii="CESI仿宋-GB2312" w:hAnsi="CESI仿宋-GB2312" w:eastAsia="CESI仿宋-GB2312" w:cs="CESI仿宋-GB2312"/>
          <w:sz w:val="32"/>
          <w:szCs w:val="32"/>
          <w:lang w:eastAsia="zh-CN"/>
        </w:rPr>
        <w:t>区人民</w:t>
      </w:r>
      <w:r>
        <w:rPr>
          <w:rFonts w:hint="eastAsia" w:ascii="CESI仿宋-GB2312" w:hAnsi="CESI仿宋-GB2312" w:eastAsia="CESI仿宋-GB2312" w:cs="CESI仿宋-GB2312"/>
          <w:sz w:val="32"/>
          <w:szCs w:val="32"/>
        </w:rPr>
        <w:t>政府网站公示，公示期满无异议后，招标人向中标单位发出中标通知书，中标单位在接到招标人通知书后，必须在规定的时间内与招标人进行合同的签订工作。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highlight w:val="none"/>
        </w:rPr>
      </w:pPr>
      <w:r>
        <w:rPr>
          <w:rFonts w:hint="eastAsia" w:ascii="黑体" w:hAnsi="黑体" w:eastAsia="黑体" w:cs="黑体"/>
          <w:sz w:val="32"/>
          <w:szCs w:val="32"/>
          <w:highlight w:val="none"/>
        </w:rPr>
        <w:t>七、联系方式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highlight w:val="none"/>
        </w:rPr>
      </w:pPr>
      <w:r>
        <w:rPr>
          <w:rFonts w:hint="eastAsia" w:ascii="CESI仿宋-GB2312" w:hAnsi="CESI仿宋-GB2312" w:eastAsia="CESI仿宋-GB2312" w:cs="CESI仿宋-GB2312"/>
          <w:sz w:val="32"/>
          <w:szCs w:val="32"/>
          <w:highlight w:val="none"/>
        </w:rPr>
        <w:t>联系人：张工</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rPr>
      </w:pPr>
      <w:r>
        <w:rPr>
          <w:rFonts w:hint="eastAsia" w:ascii="CESI仿宋-GB2312" w:hAnsi="CESI仿宋-GB2312" w:eastAsia="CESI仿宋-GB2312" w:cs="CESI仿宋-GB2312"/>
          <w:sz w:val="32"/>
          <w:szCs w:val="32"/>
          <w:highlight w:val="none"/>
        </w:rPr>
        <w:t>联系电话：</w:t>
      </w:r>
      <w:r>
        <w:rPr>
          <w:rFonts w:ascii="CESI仿宋-GB2312" w:hAnsi="CESI仿宋-GB2312" w:eastAsia="CESI仿宋-GB2312" w:cs="CESI仿宋-GB2312"/>
          <w:sz w:val="32"/>
          <w:szCs w:val="32"/>
          <w:highlight w:val="none"/>
        </w:rPr>
        <w:t>0755-28380875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CESI仿宋-GB2312" w:hAnsi="CESI仿宋-GB2312" w:eastAsia="CESI仿宋-GB2312" w:cs="CESI仿宋-GB2312"/>
          <w:sz w:val="32"/>
          <w:szCs w:val="32"/>
          <w:highlight w:val="none"/>
        </w:rPr>
      </w:pPr>
      <w:r>
        <w:rPr>
          <w:rFonts w:hint="eastAsia" w:ascii="CESI仿宋-GB2312" w:hAnsi="CESI仿宋-GB2312" w:eastAsia="CESI仿宋-GB2312" w:cs="CESI仿宋-GB2312"/>
          <w:sz w:val="32"/>
          <w:szCs w:val="32"/>
          <w:highlight w:val="none"/>
          <w:lang w:eastAsia="zh-CN"/>
        </w:rPr>
        <w:t>联系</w:t>
      </w:r>
      <w:r>
        <w:rPr>
          <w:rFonts w:hint="eastAsia" w:ascii="CESI仿宋-GB2312" w:hAnsi="CESI仿宋-GB2312" w:eastAsia="CESI仿宋-GB2312" w:cs="CESI仿宋-GB2312"/>
          <w:sz w:val="32"/>
          <w:szCs w:val="32"/>
          <w:highlight w:val="none"/>
        </w:rPr>
        <w:t>地址：深圳市坪山区同裕路</w:t>
      </w:r>
      <w:r>
        <w:rPr>
          <w:rFonts w:hint="eastAsia" w:ascii="CESI仿宋-GB2312" w:hAnsi="CESI仿宋-GB2312" w:eastAsia="CESI仿宋-GB2312" w:cs="CESI仿宋-GB2312"/>
          <w:sz w:val="32"/>
          <w:szCs w:val="32"/>
          <w:highlight w:val="none"/>
          <w:lang w:val="en-US" w:eastAsia="zh-CN"/>
        </w:rPr>
        <w:t>47</w:t>
      </w:r>
      <w:r>
        <w:rPr>
          <w:rFonts w:ascii="CESI仿宋-GB2312" w:hAnsi="CESI仿宋-GB2312" w:eastAsia="CESI仿宋-GB2312" w:cs="CESI仿宋-GB2312"/>
          <w:sz w:val="32"/>
          <w:szCs w:val="32"/>
          <w:highlight w:val="none"/>
        </w:rPr>
        <w:t>号碧岭街道办事处二号楼401室（碧岭街道公共事务中心城市更新和土地整备部）</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br w:type="page"/>
      </w:r>
    </w:p>
    <w:p>
      <w:pPr>
        <w:adjustRightInd w:val="0"/>
        <w:snapToGrid w:val="0"/>
        <w:spacing w:line="560" w:lineRule="exact"/>
        <w:rPr>
          <w:rFonts w:ascii="宋体" w:hAnsi="宋体" w:eastAsia="宋体" w:cs="仿宋"/>
          <w:b/>
          <w:sz w:val="32"/>
          <w:szCs w:val="32"/>
        </w:rPr>
      </w:pPr>
      <w:r>
        <w:rPr>
          <w:rFonts w:hint="eastAsia" w:ascii="宋体" w:hAnsi="宋体" w:eastAsia="宋体" w:cs="仿宋"/>
          <w:b/>
          <w:sz w:val="32"/>
          <w:szCs w:val="32"/>
        </w:rPr>
        <w:t>以下附件供参考：</w:t>
      </w:r>
    </w:p>
    <w:p>
      <w:pPr>
        <w:pStyle w:val="2"/>
        <w:jc w:val="both"/>
      </w:pPr>
      <w:r>
        <w:rPr>
          <w:rFonts w:hint="eastAsia" w:hAnsi="宋体" w:cs="仿宋"/>
          <w:b/>
          <w:sz w:val="32"/>
          <w:szCs w:val="32"/>
        </w:rPr>
        <w:t>附件1：</w:t>
      </w:r>
    </w:p>
    <w:p>
      <w:pPr>
        <w:adjustRightInd w:val="0"/>
        <w:snapToGrid w:val="0"/>
        <w:spacing w:line="560" w:lineRule="exact"/>
        <w:jc w:val="center"/>
        <w:rPr>
          <w:rFonts w:ascii="宋体" w:hAnsi="宋体" w:cs="仿宋"/>
          <w:b/>
          <w:sz w:val="32"/>
          <w:szCs w:val="32"/>
        </w:rPr>
      </w:pPr>
      <w:r>
        <w:rPr>
          <w:rFonts w:hint="eastAsia" w:ascii="宋体" w:hAnsi="宋体" w:eastAsia="宋体" w:cs="仿宋"/>
          <w:b/>
          <w:sz w:val="32"/>
          <w:szCs w:val="32"/>
        </w:rPr>
        <w:t>评审项目投标资料表</w:t>
      </w:r>
    </w:p>
    <w:tbl>
      <w:tblPr>
        <w:tblStyle w:val="1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6095"/>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序号</w:t>
            </w:r>
          </w:p>
        </w:tc>
        <w:tc>
          <w:tcPr>
            <w:tcW w:w="6095"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评审细则</w:t>
            </w: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ascii="仿宋" w:hAnsi="仿宋" w:eastAsia="仿宋" w:cs="仿宋"/>
                <w:b/>
                <w:sz w:val="32"/>
                <w:szCs w:val="32"/>
              </w:rPr>
            </w:pPr>
          </w:p>
        </w:tc>
        <w:tc>
          <w:tcPr>
            <w:tcW w:w="6095" w:type="dxa"/>
            <w:vAlign w:val="center"/>
          </w:tcPr>
          <w:p>
            <w:pPr>
              <w:adjustRightInd w:val="0"/>
              <w:snapToGrid w:val="0"/>
              <w:spacing w:line="560" w:lineRule="exact"/>
              <w:jc w:val="center"/>
              <w:rPr>
                <w:rFonts w:ascii="仿宋" w:hAnsi="仿宋" w:eastAsia="仿宋" w:cs="仿宋"/>
                <w:b/>
                <w:sz w:val="32"/>
                <w:szCs w:val="32"/>
              </w:rPr>
            </w:pP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ascii="仿宋" w:hAnsi="仿宋" w:eastAsia="仿宋" w:cs="仿宋"/>
                <w:b/>
                <w:sz w:val="32"/>
                <w:szCs w:val="32"/>
              </w:rPr>
            </w:pPr>
          </w:p>
        </w:tc>
        <w:tc>
          <w:tcPr>
            <w:tcW w:w="6095" w:type="dxa"/>
            <w:vAlign w:val="center"/>
          </w:tcPr>
          <w:p>
            <w:pPr>
              <w:adjustRightInd w:val="0"/>
              <w:snapToGrid w:val="0"/>
              <w:spacing w:line="560" w:lineRule="exact"/>
              <w:jc w:val="center"/>
              <w:rPr>
                <w:rFonts w:ascii="仿宋" w:hAnsi="仿宋" w:eastAsia="仿宋" w:cs="仿宋"/>
                <w:b/>
                <w:sz w:val="32"/>
                <w:szCs w:val="32"/>
              </w:rPr>
            </w:pP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1" w:type="dxa"/>
            <w:vAlign w:val="center"/>
          </w:tcPr>
          <w:p>
            <w:pPr>
              <w:adjustRightInd w:val="0"/>
              <w:snapToGrid w:val="0"/>
              <w:spacing w:line="560" w:lineRule="exact"/>
              <w:jc w:val="center"/>
              <w:rPr>
                <w:rFonts w:ascii="仿宋" w:hAnsi="仿宋" w:eastAsia="仿宋" w:cs="仿宋"/>
                <w:b/>
                <w:sz w:val="32"/>
                <w:szCs w:val="32"/>
              </w:rPr>
            </w:pPr>
          </w:p>
        </w:tc>
        <w:tc>
          <w:tcPr>
            <w:tcW w:w="6095" w:type="dxa"/>
            <w:vAlign w:val="center"/>
          </w:tcPr>
          <w:p>
            <w:pPr>
              <w:adjustRightInd w:val="0"/>
              <w:snapToGrid w:val="0"/>
              <w:spacing w:line="560" w:lineRule="exact"/>
              <w:jc w:val="center"/>
              <w:rPr>
                <w:rFonts w:ascii="仿宋" w:hAnsi="仿宋" w:eastAsia="仿宋" w:cs="仿宋"/>
                <w:b/>
                <w:sz w:val="32"/>
                <w:szCs w:val="32"/>
              </w:rPr>
            </w:pP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ascii="仿宋" w:hAnsi="仿宋" w:eastAsia="仿宋" w:cs="仿宋"/>
                <w:b/>
                <w:sz w:val="32"/>
                <w:szCs w:val="32"/>
              </w:rPr>
            </w:pPr>
          </w:p>
        </w:tc>
        <w:tc>
          <w:tcPr>
            <w:tcW w:w="6095" w:type="dxa"/>
            <w:vAlign w:val="center"/>
          </w:tcPr>
          <w:p>
            <w:pPr>
              <w:adjustRightInd w:val="0"/>
              <w:snapToGrid w:val="0"/>
              <w:spacing w:line="560" w:lineRule="exact"/>
              <w:jc w:val="center"/>
              <w:rPr>
                <w:rFonts w:ascii="仿宋" w:hAnsi="仿宋" w:eastAsia="仿宋" w:cs="仿宋"/>
                <w:b/>
                <w:sz w:val="32"/>
                <w:szCs w:val="32"/>
              </w:rPr>
            </w:pP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ascii="仿宋" w:hAnsi="仿宋" w:eastAsia="仿宋" w:cs="仿宋"/>
                <w:b/>
                <w:sz w:val="32"/>
                <w:szCs w:val="32"/>
              </w:rPr>
            </w:pPr>
          </w:p>
        </w:tc>
        <w:tc>
          <w:tcPr>
            <w:tcW w:w="6095" w:type="dxa"/>
            <w:vAlign w:val="center"/>
          </w:tcPr>
          <w:p>
            <w:pPr>
              <w:adjustRightInd w:val="0"/>
              <w:snapToGrid w:val="0"/>
              <w:spacing w:line="560" w:lineRule="exact"/>
              <w:jc w:val="center"/>
              <w:rPr>
                <w:rFonts w:ascii="仿宋" w:hAnsi="仿宋" w:eastAsia="仿宋" w:cs="仿宋"/>
                <w:b/>
                <w:sz w:val="32"/>
                <w:szCs w:val="32"/>
              </w:rPr>
            </w:pP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ascii="仿宋" w:hAnsi="仿宋" w:eastAsia="仿宋" w:cs="仿宋"/>
                <w:b/>
                <w:sz w:val="32"/>
                <w:szCs w:val="32"/>
              </w:rPr>
            </w:pPr>
          </w:p>
        </w:tc>
        <w:tc>
          <w:tcPr>
            <w:tcW w:w="6095" w:type="dxa"/>
            <w:vAlign w:val="center"/>
          </w:tcPr>
          <w:p>
            <w:pPr>
              <w:adjustRightInd w:val="0"/>
              <w:snapToGrid w:val="0"/>
              <w:spacing w:line="560" w:lineRule="exact"/>
              <w:jc w:val="center"/>
              <w:rPr>
                <w:rFonts w:ascii="仿宋" w:hAnsi="仿宋" w:eastAsia="仿宋" w:cs="仿宋"/>
                <w:b/>
                <w:sz w:val="32"/>
                <w:szCs w:val="32"/>
              </w:rPr>
            </w:pP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1" w:type="dxa"/>
            <w:vAlign w:val="center"/>
          </w:tcPr>
          <w:p>
            <w:pPr>
              <w:adjustRightInd w:val="0"/>
              <w:snapToGrid w:val="0"/>
              <w:spacing w:line="560" w:lineRule="exact"/>
              <w:jc w:val="center"/>
              <w:rPr>
                <w:rFonts w:ascii="仿宋" w:hAnsi="仿宋" w:eastAsia="仿宋" w:cs="仿宋"/>
                <w:b/>
                <w:sz w:val="32"/>
                <w:szCs w:val="32"/>
              </w:rPr>
            </w:pPr>
          </w:p>
        </w:tc>
        <w:tc>
          <w:tcPr>
            <w:tcW w:w="6095" w:type="dxa"/>
            <w:vAlign w:val="center"/>
          </w:tcPr>
          <w:p>
            <w:pPr>
              <w:adjustRightInd w:val="0"/>
              <w:snapToGrid w:val="0"/>
              <w:spacing w:line="560" w:lineRule="exact"/>
              <w:jc w:val="center"/>
              <w:rPr>
                <w:rFonts w:ascii="仿宋" w:hAnsi="仿宋" w:eastAsia="仿宋" w:cs="仿宋"/>
                <w:b/>
                <w:sz w:val="32"/>
                <w:szCs w:val="32"/>
              </w:rPr>
            </w:pP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ascii="仿宋" w:hAnsi="仿宋" w:eastAsia="仿宋" w:cs="仿宋"/>
                <w:b/>
                <w:sz w:val="32"/>
                <w:szCs w:val="32"/>
              </w:rPr>
            </w:pPr>
          </w:p>
        </w:tc>
        <w:tc>
          <w:tcPr>
            <w:tcW w:w="6095" w:type="dxa"/>
            <w:vAlign w:val="center"/>
          </w:tcPr>
          <w:p>
            <w:pPr>
              <w:adjustRightInd w:val="0"/>
              <w:snapToGrid w:val="0"/>
              <w:spacing w:line="560" w:lineRule="exact"/>
              <w:jc w:val="center"/>
              <w:rPr>
                <w:rFonts w:ascii="仿宋" w:hAnsi="仿宋" w:eastAsia="仿宋" w:cs="仿宋"/>
                <w:b/>
                <w:sz w:val="32"/>
                <w:szCs w:val="32"/>
              </w:rPr>
            </w:pP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ascii="仿宋" w:hAnsi="仿宋" w:eastAsia="仿宋" w:cs="仿宋"/>
                <w:b/>
                <w:sz w:val="32"/>
                <w:szCs w:val="32"/>
              </w:rPr>
            </w:pPr>
          </w:p>
        </w:tc>
        <w:tc>
          <w:tcPr>
            <w:tcW w:w="6095" w:type="dxa"/>
            <w:vAlign w:val="center"/>
          </w:tcPr>
          <w:p>
            <w:pPr>
              <w:adjustRightInd w:val="0"/>
              <w:snapToGrid w:val="0"/>
              <w:spacing w:line="560" w:lineRule="exact"/>
              <w:jc w:val="center"/>
              <w:rPr>
                <w:rFonts w:ascii="仿宋" w:hAnsi="仿宋" w:eastAsia="仿宋" w:cs="仿宋"/>
                <w:b/>
                <w:sz w:val="32"/>
                <w:szCs w:val="32"/>
              </w:rPr>
            </w:pP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ascii="仿宋" w:hAnsi="仿宋" w:eastAsia="仿宋" w:cs="仿宋"/>
                <w:b/>
                <w:sz w:val="32"/>
                <w:szCs w:val="32"/>
              </w:rPr>
            </w:pPr>
          </w:p>
        </w:tc>
        <w:tc>
          <w:tcPr>
            <w:tcW w:w="6095" w:type="dxa"/>
            <w:vAlign w:val="center"/>
          </w:tcPr>
          <w:p>
            <w:pPr>
              <w:adjustRightInd w:val="0"/>
              <w:snapToGrid w:val="0"/>
              <w:spacing w:line="560" w:lineRule="exact"/>
              <w:jc w:val="center"/>
              <w:rPr>
                <w:rFonts w:ascii="仿宋" w:hAnsi="仿宋" w:eastAsia="仿宋" w:cs="仿宋"/>
                <w:b/>
                <w:sz w:val="32"/>
                <w:szCs w:val="32"/>
              </w:rPr>
            </w:pP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1" w:type="dxa"/>
            <w:vAlign w:val="center"/>
          </w:tcPr>
          <w:p>
            <w:pPr>
              <w:adjustRightInd w:val="0"/>
              <w:snapToGrid w:val="0"/>
              <w:spacing w:line="560" w:lineRule="exact"/>
              <w:jc w:val="center"/>
              <w:rPr>
                <w:rFonts w:ascii="仿宋" w:hAnsi="仿宋" w:eastAsia="仿宋" w:cs="仿宋"/>
                <w:b/>
                <w:sz w:val="32"/>
                <w:szCs w:val="32"/>
              </w:rPr>
            </w:pPr>
          </w:p>
        </w:tc>
        <w:tc>
          <w:tcPr>
            <w:tcW w:w="6095" w:type="dxa"/>
            <w:vAlign w:val="center"/>
          </w:tcPr>
          <w:p>
            <w:pPr>
              <w:adjustRightInd w:val="0"/>
              <w:snapToGrid w:val="0"/>
              <w:spacing w:line="560" w:lineRule="exact"/>
              <w:jc w:val="center"/>
              <w:rPr>
                <w:rFonts w:ascii="仿宋" w:hAnsi="仿宋" w:eastAsia="仿宋" w:cs="仿宋"/>
                <w:b/>
                <w:sz w:val="32"/>
                <w:szCs w:val="32"/>
              </w:rPr>
            </w:pP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ascii="仿宋" w:hAnsi="仿宋" w:eastAsia="仿宋" w:cs="仿宋"/>
                <w:b/>
                <w:sz w:val="32"/>
                <w:szCs w:val="32"/>
              </w:rPr>
            </w:pPr>
          </w:p>
        </w:tc>
        <w:tc>
          <w:tcPr>
            <w:tcW w:w="6095" w:type="dxa"/>
            <w:vAlign w:val="center"/>
          </w:tcPr>
          <w:p>
            <w:pPr>
              <w:adjustRightInd w:val="0"/>
              <w:snapToGrid w:val="0"/>
              <w:spacing w:line="560" w:lineRule="exact"/>
              <w:jc w:val="center"/>
              <w:rPr>
                <w:rFonts w:ascii="仿宋" w:hAnsi="仿宋" w:eastAsia="仿宋" w:cs="仿宋"/>
                <w:b/>
                <w:sz w:val="32"/>
                <w:szCs w:val="32"/>
              </w:rPr>
            </w:pP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ascii="仿宋" w:hAnsi="仿宋" w:eastAsia="仿宋" w:cs="仿宋"/>
                <w:b/>
                <w:sz w:val="32"/>
                <w:szCs w:val="32"/>
              </w:rPr>
            </w:pPr>
          </w:p>
        </w:tc>
        <w:tc>
          <w:tcPr>
            <w:tcW w:w="6095" w:type="dxa"/>
            <w:vAlign w:val="center"/>
          </w:tcPr>
          <w:p>
            <w:pPr>
              <w:adjustRightInd w:val="0"/>
              <w:snapToGrid w:val="0"/>
              <w:spacing w:line="560" w:lineRule="exact"/>
              <w:jc w:val="center"/>
              <w:rPr>
                <w:rFonts w:ascii="仿宋" w:hAnsi="仿宋" w:eastAsia="仿宋" w:cs="仿宋"/>
                <w:b/>
                <w:sz w:val="32"/>
                <w:szCs w:val="32"/>
              </w:rPr>
            </w:pP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pPr>
              <w:adjustRightInd w:val="0"/>
              <w:snapToGrid w:val="0"/>
              <w:spacing w:line="560" w:lineRule="exact"/>
              <w:jc w:val="center"/>
              <w:rPr>
                <w:rFonts w:ascii="仿宋" w:hAnsi="仿宋" w:eastAsia="仿宋" w:cs="仿宋"/>
                <w:b/>
                <w:sz w:val="32"/>
                <w:szCs w:val="32"/>
              </w:rPr>
            </w:pPr>
          </w:p>
        </w:tc>
        <w:tc>
          <w:tcPr>
            <w:tcW w:w="6095" w:type="dxa"/>
            <w:vAlign w:val="center"/>
          </w:tcPr>
          <w:p>
            <w:pPr>
              <w:adjustRightInd w:val="0"/>
              <w:snapToGrid w:val="0"/>
              <w:spacing w:line="560" w:lineRule="exact"/>
              <w:jc w:val="center"/>
              <w:rPr>
                <w:rFonts w:ascii="仿宋" w:hAnsi="仿宋" w:eastAsia="仿宋" w:cs="仿宋"/>
                <w:b/>
                <w:sz w:val="32"/>
                <w:szCs w:val="32"/>
              </w:rPr>
            </w:pPr>
          </w:p>
        </w:tc>
        <w:tc>
          <w:tcPr>
            <w:tcW w:w="2034" w:type="dxa"/>
            <w:vAlign w:val="center"/>
          </w:tcPr>
          <w:p>
            <w:pPr>
              <w:adjustRightInd w:val="0"/>
              <w:snapToGrid w:val="0"/>
              <w:spacing w:line="560" w:lineRule="exact"/>
              <w:jc w:val="center"/>
              <w:rPr>
                <w:rFonts w:ascii="仿宋" w:hAnsi="仿宋" w:eastAsia="仿宋" w:cs="仿宋"/>
                <w:szCs w:val="21"/>
              </w:rPr>
            </w:pPr>
            <w:r>
              <w:rPr>
                <w:rFonts w:hint="eastAsia" w:ascii="仿宋" w:hAnsi="仿宋" w:eastAsia="仿宋" w:cs="仿宋"/>
                <w:szCs w:val="21"/>
              </w:rPr>
              <w:t>见投标文件（）页</w:t>
            </w:r>
          </w:p>
        </w:tc>
      </w:tr>
    </w:tbl>
    <w:p>
      <w:pPr>
        <w:adjustRightInd w:val="0"/>
        <w:snapToGrid w:val="0"/>
        <w:spacing w:line="560" w:lineRule="exact"/>
        <w:jc w:val="left"/>
        <w:rPr>
          <w:rFonts w:ascii="仿宋" w:hAnsi="仿宋" w:eastAsia="仿宋" w:cs="仿宋"/>
          <w:szCs w:val="21"/>
        </w:rPr>
      </w:pPr>
      <w:r>
        <w:rPr>
          <w:rFonts w:hint="eastAsia" w:ascii="仿宋" w:hAnsi="仿宋" w:eastAsia="仿宋" w:cs="仿宋"/>
          <w:szCs w:val="21"/>
        </w:rPr>
        <w:t>注：请参照招标文件评标办法“评分细则”中的内容逐条填写并注明对应页码。</w:t>
      </w:r>
    </w:p>
    <w:p>
      <w:pPr>
        <w:adjustRightInd w:val="0"/>
        <w:snapToGrid w:val="0"/>
        <w:spacing w:line="500" w:lineRule="exact"/>
        <w:ind w:firstLine="560" w:firstLineChars="200"/>
        <w:jc w:val="center"/>
        <w:rPr>
          <w:rFonts w:ascii="仿宋" w:hAnsi="仿宋" w:eastAsia="仿宋" w:cs="仿宋"/>
          <w:sz w:val="28"/>
          <w:szCs w:val="28"/>
        </w:rPr>
      </w:pPr>
      <w:r>
        <w:rPr>
          <w:rFonts w:hint="eastAsia" w:ascii="仿宋" w:hAnsi="仿宋" w:eastAsia="仿宋" w:cs="仿宋"/>
          <w:sz w:val="28"/>
          <w:szCs w:val="28"/>
        </w:rPr>
        <w:t xml:space="preserve">                             </w:t>
      </w:r>
    </w:p>
    <w:p>
      <w:pPr>
        <w:adjustRightInd w:val="0"/>
        <w:snapToGrid w:val="0"/>
        <w:spacing w:line="500" w:lineRule="exact"/>
        <w:ind w:firstLine="560" w:firstLineChars="200"/>
        <w:jc w:val="center"/>
        <w:rPr>
          <w:rFonts w:ascii="仿宋" w:hAnsi="仿宋" w:eastAsia="仿宋" w:cs="仿宋"/>
          <w:sz w:val="28"/>
          <w:szCs w:val="28"/>
        </w:rPr>
      </w:pPr>
      <w:r>
        <w:rPr>
          <w:rFonts w:hint="eastAsia" w:ascii="仿宋" w:hAnsi="仿宋" w:eastAsia="仿宋" w:cs="仿宋"/>
          <w:sz w:val="28"/>
          <w:szCs w:val="28"/>
        </w:rPr>
        <w:t xml:space="preserve">                                投标人（公章）： </w:t>
      </w:r>
    </w:p>
    <w:p>
      <w:pPr>
        <w:adjustRightInd w:val="0"/>
        <w:snapToGrid w:val="0"/>
        <w:spacing w:line="500" w:lineRule="exact"/>
        <w:ind w:firstLine="560" w:firstLineChars="200"/>
        <w:jc w:val="right"/>
        <w:rPr>
          <w:rFonts w:ascii="仿宋" w:hAnsi="仿宋" w:eastAsia="仿宋" w:cs="仿宋"/>
          <w:sz w:val="28"/>
          <w:szCs w:val="28"/>
        </w:rPr>
      </w:pPr>
      <w:r>
        <w:rPr>
          <w:rFonts w:hint="eastAsia" w:ascii="仿宋" w:hAnsi="仿宋" w:eastAsia="仿宋" w:cs="仿宋"/>
          <w:sz w:val="28"/>
          <w:szCs w:val="28"/>
        </w:rPr>
        <w:t>法定代表人或授权代表签名：</w:t>
      </w:r>
    </w:p>
    <w:p>
      <w:pPr>
        <w:adjustRightInd w:val="0"/>
        <w:snapToGrid w:val="0"/>
        <w:spacing w:line="500" w:lineRule="exact"/>
        <w:ind w:firstLine="560" w:firstLineChars="200"/>
        <w:jc w:val="center"/>
      </w:pPr>
      <w:r>
        <w:rPr>
          <w:rFonts w:hint="eastAsia" w:ascii="仿宋" w:hAnsi="仿宋" w:eastAsia="仿宋" w:cs="仿宋"/>
          <w:sz w:val="28"/>
          <w:szCs w:val="28"/>
        </w:rPr>
        <w:t xml:space="preserve">                           日期：    年  月  日</w:t>
      </w:r>
      <w:r>
        <w:rPr>
          <w:rFonts w:hint="eastAsia"/>
        </w:rPr>
        <w:br w:type="page"/>
      </w:r>
    </w:p>
    <w:p>
      <w:pPr>
        <w:pStyle w:val="2"/>
        <w:jc w:val="both"/>
        <w:rPr>
          <w:rFonts w:hAnsi="宋体" w:cs="仿宋"/>
          <w:b/>
          <w:sz w:val="32"/>
          <w:szCs w:val="32"/>
        </w:rPr>
      </w:pPr>
      <w:r>
        <w:rPr>
          <w:rFonts w:hint="eastAsia" w:hAnsi="宋体" w:cs="仿宋"/>
          <w:b/>
          <w:sz w:val="32"/>
          <w:szCs w:val="32"/>
        </w:rPr>
        <w:t>附件2</w:t>
      </w:r>
    </w:p>
    <w:p>
      <w:pPr>
        <w:jc w:val="center"/>
        <w:rPr>
          <w:rFonts w:ascii="仿宋" w:hAnsi="仿宋" w:eastAsia="仿宋" w:cs="仿宋"/>
          <w:sz w:val="28"/>
          <w:szCs w:val="28"/>
        </w:rPr>
      </w:pPr>
      <w:r>
        <w:rPr>
          <w:rFonts w:hint="eastAsia"/>
          <w:b/>
          <w:bCs/>
          <w:sz w:val="32"/>
          <w:szCs w:val="40"/>
        </w:rPr>
        <w:t>法定代表人（负责人）证明书格式</w:t>
      </w:r>
    </w:p>
    <w:p>
      <w:pPr>
        <w:ind w:firstLine="560" w:firstLineChars="200"/>
        <w:rPr>
          <w:rFonts w:ascii="仿宋" w:hAnsi="仿宋" w:eastAsia="仿宋" w:cs="仿宋"/>
          <w:sz w:val="28"/>
          <w:szCs w:val="28"/>
        </w:rPr>
      </w:pPr>
      <w:r>
        <w:rPr>
          <w:rFonts w:hint="eastAsia" w:ascii="仿宋" w:hAnsi="仿宋" w:eastAsia="仿宋" w:cs="仿宋"/>
          <w:sz w:val="28"/>
          <w:szCs w:val="28"/>
        </w:rPr>
        <w:t xml:space="preserve">            同志，现任我单位         职务，为法定代表人（负责人），特此证明。</w:t>
      </w:r>
    </w:p>
    <w:p>
      <w:pPr>
        <w:ind w:firstLine="560" w:firstLineChars="200"/>
        <w:rPr>
          <w:rFonts w:ascii="仿宋" w:hAnsi="仿宋" w:eastAsia="仿宋" w:cs="仿宋"/>
          <w:sz w:val="28"/>
          <w:szCs w:val="28"/>
        </w:rPr>
      </w:pPr>
      <w:r>
        <w:rPr>
          <w:rFonts w:hint="eastAsia" w:ascii="仿宋" w:hAnsi="仿宋" w:eastAsia="仿宋" w:cs="仿宋"/>
          <w:sz w:val="28"/>
          <w:szCs w:val="28"/>
        </w:rPr>
        <w:t>有效日期：         签发日期：         单位盖章：</w:t>
      </w:r>
    </w:p>
    <w:p>
      <w:pPr>
        <w:ind w:firstLine="560" w:firstLineChars="200"/>
        <w:rPr>
          <w:rFonts w:ascii="仿宋" w:hAnsi="仿宋" w:eastAsia="仿宋" w:cs="仿宋"/>
          <w:sz w:val="28"/>
          <w:szCs w:val="28"/>
        </w:rPr>
      </w:pPr>
      <w:r>
        <w:rPr>
          <w:rFonts w:hint="eastAsia" w:ascii="仿宋" w:hAnsi="仿宋" w:eastAsia="仿宋" w:cs="仿宋"/>
          <w:sz w:val="28"/>
          <w:szCs w:val="28"/>
        </w:rPr>
        <w:t>附：</w:t>
      </w:r>
    </w:p>
    <w:p>
      <w:pPr>
        <w:ind w:firstLine="560" w:firstLineChars="200"/>
        <w:rPr>
          <w:rFonts w:ascii="仿宋" w:hAnsi="仿宋" w:eastAsia="仿宋" w:cs="仿宋"/>
          <w:sz w:val="28"/>
          <w:szCs w:val="28"/>
        </w:rPr>
      </w:pPr>
      <w:r>
        <w:rPr>
          <w:rFonts w:hint="eastAsia" w:ascii="仿宋" w:hAnsi="仿宋" w:eastAsia="仿宋" w:cs="仿宋"/>
          <w:sz w:val="28"/>
          <w:szCs w:val="28"/>
        </w:rPr>
        <w:t>营业执照号码：                 经济性质：</w:t>
      </w:r>
    </w:p>
    <w:p>
      <w:pPr>
        <w:ind w:firstLine="560" w:firstLineChars="200"/>
        <w:rPr>
          <w:rFonts w:ascii="仿宋" w:hAnsi="仿宋" w:eastAsia="仿宋" w:cs="仿宋"/>
          <w:sz w:val="28"/>
          <w:szCs w:val="28"/>
        </w:rPr>
      </w:pPr>
      <w:r>
        <w:rPr>
          <w:rFonts w:hint="eastAsia" w:ascii="仿宋" w:hAnsi="仿宋" w:eastAsia="仿宋" w:cs="仿宋"/>
          <w:sz w:val="28"/>
          <w:szCs w:val="28"/>
        </w:rPr>
        <w:t>主营：</w:t>
      </w:r>
    </w:p>
    <w:p>
      <w:pPr>
        <w:ind w:firstLine="560" w:firstLineChars="200"/>
        <w:rPr>
          <w:rFonts w:ascii="仿宋" w:hAnsi="仿宋" w:eastAsia="仿宋" w:cs="仿宋"/>
          <w:sz w:val="28"/>
          <w:szCs w:val="28"/>
        </w:rPr>
      </w:pPr>
      <w:r>
        <w:rPr>
          <w:rFonts w:hint="eastAsia" w:ascii="仿宋" w:hAnsi="仿宋" w:eastAsia="仿宋" w:cs="仿宋"/>
          <w:sz w:val="28"/>
          <w:szCs w:val="28"/>
        </w:rPr>
        <w:t>兼营：</w:t>
      </w:r>
    </w:p>
    <w:p>
      <w:pPr>
        <w:ind w:firstLine="560" w:firstLineChars="200"/>
        <w:rPr>
          <w:rFonts w:ascii="仿宋" w:hAnsi="仿宋" w:eastAsia="仿宋" w:cs="仿宋"/>
          <w:sz w:val="28"/>
          <w:szCs w:val="28"/>
        </w:rPr>
      </w:pPr>
      <w:r>
        <w:rPr>
          <w:rFonts w:hint="eastAsia" w:ascii="仿宋" w:hAnsi="仿宋" w:eastAsia="仿宋" w:cs="仿宋"/>
          <w:sz w:val="28"/>
          <w:szCs w:val="28"/>
        </w:rPr>
        <w:t>说明：</w:t>
      </w:r>
    </w:p>
    <w:p>
      <w:pPr>
        <w:ind w:firstLine="560" w:firstLineChars="200"/>
        <w:rPr>
          <w:rFonts w:ascii="仿宋" w:hAnsi="仿宋" w:eastAsia="仿宋" w:cs="仿宋"/>
          <w:sz w:val="28"/>
          <w:szCs w:val="28"/>
        </w:rPr>
      </w:pPr>
      <w:r>
        <w:rPr>
          <w:rFonts w:hint="eastAsia" w:ascii="仿宋" w:hAnsi="仿宋" w:eastAsia="仿宋" w:cs="仿宋"/>
          <w:sz w:val="28"/>
          <w:szCs w:val="28"/>
        </w:rPr>
        <w:t>1.法定代表人为企业事业单位、国家机关、社会团体的主要行政负责人。</w:t>
      </w:r>
    </w:p>
    <w:p>
      <w:pPr>
        <w:ind w:firstLine="560" w:firstLineChars="200"/>
        <w:jc w:val="left"/>
        <w:rPr>
          <w:b/>
          <w:bCs/>
          <w:sz w:val="32"/>
          <w:szCs w:val="40"/>
        </w:rPr>
      </w:pPr>
      <w:r>
        <w:rPr>
          <w:rFonts w:hint="eastAsia" w:ascii="仿宋" w:hAnsi="仿宋" w:eastAsia="仿宋" w:cs="仿宋"/>
          <w:sz w:val="28"/>
          <w:szCs w:val="28"/>
        </w:rPr>
        <mc:AlternateContent>
          <mc:Choice Requires="wps">
            <w:drawing>
              <wp:anchor distT="0" distB="0" distL="114300" distR="114300" simplePos="0" relativeHeight="251659264" behindDoc="0" locked="0" layoutInCell="1" allowOverlap="1">
                <wp:simplePos x="0" y="0"/>
                <wp:positionH relativeFrom="column">
                  <wp:posOffset>926465</wp:posOffset>
                </wp:positionH>
                <wp:positionV relativeFrom="paragraph">
                  <wp:posOffset>991235</wp:posOffset>
                </wp:positionV>
                <wp:extent cx="3237865" cy="1795780"/>
                <wp:effectExtent l="4445" t="4445" r="15240" b="9525"/>
                <wp:wrapNone/>
                <wp:docPr id="4" name="圆角矩形 4"/>
                <wp:cNvGraphicFramePr/>
                <a:graphic xmlns:a="http://schemas.openxmlformats.org/drawingml/2006/main">
                  <a:graphicData uri="http://schemas.microsoft.com/office/word/2010/wordprocessingShape">
                    <wps:wsp>
                      <wps:cNvSpPr/>
                      <wps:spPr>
                        <a:xfrm>
                          <a:off x="0" y="0"/>
                          <a:ext cx="3237865" cy="1795780"/>
                        </a:xfrm>
                        <a:prstGeom prst="roundRect">
                          <a:avLst>
                            <a:gd name="adj" fmla="val 16667"/>
                          </a:avLst>
                        </a:prstGeom>
                        <a:solidFill>
                          <a:srgbClr val="FFFFFF"/>
                        </a:solidFill>
                        <a:ln w="9525" cap="rnd" cmpd="sng">
                          <a:solidFill>
                            <a:srgbClr val="000000"/>
                          </a:solidFill>
                          <a:prstDash val="sysDot"/>
                          <a:headEnd type="none" w="med" len="med"/>
                          <a:tailEnd type="none" w="med" len="med"/>
                        </a:ln>
                      </wps:spPr>
                      <wps:txbx>
                        <w:txbxContent>
                          <w:p/>
                          <w:p/>
                          <w:p/>
                          <w:p/>
                          <w:p>
                            <w:pPr>
                              <w:jc w:val="center"/>
                            </w:pPr>
                            <w:r>
                              <w:rPr>
                                <w:rFonts w:hint="eastAsia"/>
                              </w:rPr>
                              <w:t>附：法定代表人</w:t>
                            </w:r>
                            <w:r>
                              <w:rPr>
                                <w:rFonts w:hint="eastAsia"/>
                                <w:szCs w:val="22"/>
                              </w:rPr>
                              <w:t>（负责人）</w:t>
                            </w:r>
                            <w:r>
                              <w:rPr>
                                <w:rFonts w:hint="eastAsia"/>
                              </w:rPr>
                              <w:t>身份证扫描件（正反面）</w:t>
                            </w:r>
                          </w:p>
                        </w:txbxContent>
                      </wps:txbx>
                      <wps:bodyPr upright="true"/>
                    </wps:wsp>
                  </a:graphicData>
                </a:graphic>
              </wp:anchor>
            </w:drawing>
          </mc:Choice>
          <mc:Fallback>
            <w:pict>
              <v:roundrect id="_x0000_s1026" o:spid="_x0000_s1026" o:spt="2" style="position:absolute;left:0pt;margin-left:72.95pt;margin-top:78.05pt;height:141.4pt;width:254.95pt;z-index:251659264;mso-width-relative:page;mso-height-relative:page;" fillcolor="#FFFFFF" filled="t" stroked="t" coordsize="21600,21600" arcsize="0.166666666666667" o:gfxdata="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yYVXjaAAAACwEAAA8AAAAAAAAAAQAgAAAAOAAAAGRycy9kb3ducmV2LnhtbFBLAQIUABQAAAAI&#10;AIdO4kApkE7UDgIAAAwEAAAOAAAAAAAAAAEAIAAAAD8BAABkcnMvZTJvRG9jLnhtbFBLBQYAAAAA&#10;BgAGAFkBAAC/BQAAAAA=&#10;">
                <v:fill on="t" focussize="0,0"/>
                <v:stroke color="#000000" joinstyle="round" dashstyle="1 1" endcap="round"/>
                <v:imagedata o:title=""/>
                <o:lock v:ext="edit" aspectratio="f"/>
                <v:textbox>
                  <w:txbxContent>
                    <w:p/>
                    <w:p/>
                    <w:p/>
                    <w:p/>
                    <w:p>
                      <w:pPr>
                        <w:jc w:val="center"/>
                      </w:pPr>
                      <w:r>
                        <w:rPr>
                          <w:rFonts w:hint="eastAsia"/>
                        </w:rPr>
                        <w:t>附：法定代表人</w:t>
                      </w:r>
                      <w:r>
                        <w:rPr>
                          <w:rFonts w:hint="eastAsia"/>
                          <w:szCs w:val="22"/>
                        </w:rPr>
                        <w:t>（负责人）</w:t>
                      </w:r>
                      <w:r>
                        <w:rPr>
                          <w:rFonts w:hint="eastAsia"/>
                        </w:rPr>
                        <w:t>身份证扫描件（正反面）</w:t>
                      </w:r>
                    </w:p>
                  </w:txbxContent>
                </v:textbox>
              </v:roundrect>
            </w:pict>
          </mc:Fallback>
        </mc:AlternateContent>
      </w:r>
      <w:r>
        <w:rPr>
          <w:rFonts w:hint="eastAsia" w:ascii="仿宋" w:hAnsi="仿宋" w:eastAsia="仿宋" w:cs="仿宋"/>
          <w:sz w:val="28"/>
          <w:szCs w:val="28"/>
        </w:rPr>
        <w:t>2.内容必须填写真实、清楚，涂改无效，不得转让、买卖。</w:t>
      </w:r>
      <w:r>
        <w:rPr>
          <w:rFonts w:hint="eastAsia" w:ascii="仿宋" w:hAnsi="仿宋" w:eastAsia="仿宋" w:cs="仿宋"/>
          <w:sz w:val="28"/>
          <w:szCs w:val="28"/>
        </w:rPr>
        <w:br w:type="page"/>
      </w:r>
      <w:r>
        <w:rPr>
          <w:rFonts w:hint="eastAsia" w:ascii="宋体" w:hAnsi="宋体" w:eastAsia="宋体" w:cs="宋体"/>
          <w:b/>
          <w:bCs/>
          <w:sz w:val="32"/>
          <w:szCs w:val="40"/>
        </w:rPr>
        <w:t>附件3</w:t>
      </w:r>
    </w:p>
    <w:p>
      <w:pPr>
        <w:jc w:val="center"/>
        <w:rPr>
          <w:rFonts w:ascii="仿宋" w:hAnsi="仿宋" w:eastAsia="仿宋" w:cs="仿宋"/>
        </w:rPr>
      </w:pPr>
      <w:r>
        <w:rPr>
          <w:rFonts w:hint="eastAsia"/>
          <w:b/>
          <w:bCs/>
          <w:sz w:val="32"/>
          <w:szCs w:val="40"/>
        </w:rPr>
        <w:t>投标文件签署授权委托书格式</w:t>
      </w:r>
    </w:p>
    <w:p>
      <w:pPr>
        <w:ind w:firstLine="480" w:firstLineChars="200"/>
        <w:rPr>
          <w:rFonts w:ascii="仿宋" w:hAnsi="仿宋" w:eastAsia="仿宋" w:cs="仿宋"/>
          <w:sz w:val="24"/>
          <w:szCs w:val="28"/>
        </w:rPr>
      </w:pPr>
      <w:r>
        <w:rPr>
          <w:rFonts w:hint="eastAsia" w:ascii="仿宋" w:hAnsi="仿宋" w:eastAsia="仿宋" w:cs="仿宋"/>
          <w:sz w:val="24"/>
          <w:szCs w:val="28"/>
        </w:rPr>
        <w:t>本授权委托书声明：我</w:t>
      </w:r>
      <w:r>
        <w:rPr>
          <w:rFonts w:hint="eastAsia" w:ascii="仿宋" w:hAnsi="仿宋" w:eastAsia="仿宋" w:cs="仿宋"/>
          <w:sz w:val="24"/>
          <w:szCs w:val="28"/>
          <w:u w:val="single"/>
        </w:rPr>
        <w:t xml:space="preserve">           </w:t>
      </w:r>
      <w:r>
        <w:rPr>
          <w:rFonts w:hint="eastAsia" w:ascii="仿宋" w:hAnsi="仿宋" w:eastAsia="仿宋" w:cs="仿宋"/>
          <w:sz w:val="24"/>
          <w:szCs w:val="28"/>
        </w:rPr>
        <w:t>（姓名）系</w:t>
      </w:r>
      <w:r>
        <w:rPr>
          <w:rFonts w:hint="eastAsia" w:ascii="仿宋" w:hAnsi="仿宋" w:eastAsia="仿宋" w:cs="仿宋"/>
          <w:sz w:val="24"/>
          <w:szCs w:val="28"/>
          <w:u w:val="single"/>
        </w:rPr>
        <w:t xml:space="preserve">             </w:t>
      </w:r>
      <w:r>
        <w:rPr>
          <w:rFonts w:hint="eastAsia" w:ascii="仿宋" w:hAnsi="仿宋" w:eastAsia="仿宋" w:cs="仿宋"/>
          <w:sz w:val="24"/>
          <w:szCs w:val="28"/>
        </w:rPr>
        <w:t>（投标人名称）的法定代表人（负责人），现授权委托的</w:t>
      </w:r>
      <w:r>
        <w:rPr>
          <w:rFonts w:hint="eastAsia" w:ascii="仿宋" w:hAnsi="仿宋" w:eastAsia="仿宋" w:cs="仿宋"/>
          <w:sz w:val="24"/>
          <w:szCs w:val="28"/>
          <w:u w:val="single"/>
        </w:rPr>
        <w:t xml:space="preserve">            </w:t>
      </w:r>
      <w:r>
        <w:rPr>
          <w:rFonts w:hint="eastAsia" w:ascii="仿宋" w:hAnsi="仿宋" w:eastAsia="仿宋" w:cs="仿宋"/>
          <w:sz w:val="24"/>
          <w:szCs w:val="28"/>
        </w:rPr>
        <w:t>（姓名）为我公司签署本项目已递交的投标文件的法定代表人（负责人）的授权委托代理人，代理人全权代表我所签署的本项目已递交的投标文件内容我均承认。</w:t>
      </w:r>
    </w:p>
    <w:p>
      <w:pPr>
        <w:ind w:firstLine="480" w:firstLineChars="200"/>
        <w:rPr>
          <w:rFonts w:ascii="仿宋" w:hAnsi="仿宋" w:eastAsia="仿宋" w:cs="仿宋"/>
          <w:sz w:val="24"/>
          <w:szCs w:val="28"/>
        </w:rPr>
      </w:pPr>
      <w:r>
        <w:rPr>
          <w:rFonts w:hint="eastAsia" w:ascii="仿宋" w:hAnsi="仿宋" w:eastAsia="仿宋" w:cs="仿宋"/>
          <w:sz w:val="24"/>
          <w:szCs w:val="28"/>
        </w:rPr>
        <w:t>代理人无转委托权，特此委托。</w:t>
      </w:r>
    </w:p>
    <w:p>
      <w:pPr>
        <w:rPr>
          <w:rFonts w:ascii="仿宋" w:hAnsi="仿宋" w:eastAsia="仿宋" w:cs="仿宋"/>
          <w:sz w:val="24"/>
          <w:szCs w:val="28"/>
        </w:rPr>
      </w:pPr>
    </w:p>
    <w:p>
      <w:pPr>
        <w:ind w:firstLine="480" w:firstLineChars="200"/>
        <w:rPr>
          <w:rFonts w:ascii="仿宋" w:hAnsi="仿宋" w:eastAsia="仿宋" w:cs="仿宋"/>
          <w:sz w:val="24"/>
          <w:szCs w:val="32"/>
        </w:rPr>
      </w:pPr>
      <w:r>
        <w:rPr>
          <w:rFonts w:hint="eastAsia" w:ascii="仿宋" w:hAnsi="仿宋" w:eastAsia="仿宋" w:cs="仿宋"/>
          <w:sz w:val="24"/>
          <w:szCs w:val="32"/>
        </w:rPr>
        <w:t>代理人：</w:t>
      </w:r>
    </w:p>
    <w:p>
      <w:pPr>
        <w:ind w:firstLine="480" w:firstLineChars="200"/>
        <w:rPr>
          <w:rFonts w:ascii="仿宋" w:hAnsi="仿宋" w:eastAsia="仿宋" w:cs="仿宋"/>
          <w:sz w:val="24"/>
          <w:szCs w:val="32"/>
        </w:rPr>
      </w:pPr>
      <w:r>
        <w:rPr>
          <w:rFonts w:hint="eastAsia" w:ascii="仿宋" w:hAnsi="仿宋" w:eastAsia="仿宋" w:cs="仿宋"/>
          <w:sz w:val="24"/>
          <w:szCs w:val="32"/>
        </w:rPr>
        <w:t>职务：</w:t>
      </w:r>
    </w:p>
    <w:p>
      <w:pPr>
        <w:ind w:firstLine="480" w:firstLineChars="200"/>
        <w:rPr>
          <w:rFonts w:ascii="仿宋" w:hAnsi="仿宋" w:eastAsia="仿宋" w:cs="仿宋"/>
          <w:sz w:val="24"/>
          <w:szCs w:val="32"/>
        </w:rPr>
      </w:pPr>
      <w:r>
        <w:rPr>
          <w:rFonts w:hint="eastAsia" w:ascii="仿宋" w:hAnsi="仿宋" w:eastAsia="仿宋" w:cs="仿宋"/>
          <w:sz w:val="24"/>
          <w:szCs w:val="32"/>
        </w:rPr>
        <w:t>详细通讯地址：</w:t>
      </w:r>
    </w:p>
    <w:p>
      <w:pPr>
        <w:ind w:firstLine="480" w:firstLineChars="200"/>
        <w:rPr>
          <w:rFonts w:ascii="仿宋" w:hAnsi="仿宋" w:eastAsia="仿宋" w:cs="仿宋"/>
          <w:sz w:val="24"/>
          <w:szCs w:val="32"/>
        </w:rPr>
      </w:pPr>
      <w:r>
        <w:rPr>
          <w:rFonts w:hint="eastAsia" w:ascii="仿宋" w:hAnsi="仿宋" w:eastAsia="仿宋" w:cs="仿宋"/>
          <w:sz w:val="24"/>
          <w:szCs w:val="32"/>
        </w:rPr>
        <w:t>邮政编码：</w:t>
      </w:r>
    </w:p>
    <w:p>
      <w:pPr>
        <w:ind w:firstLine="480" w:firstLineChars="200"/>
        <w:rPr>
          <w:rFonts w:ascii="仿宋" w:hAnsi="仿宋" w:eastAsia="仿宋" w:cs="仿宋"/>
          <w:sz w:val="24"/>
          <w:szCs w:val="32"/>
        </w:rPr>
      </w:pPr>
      <w:r>
        <w:rPr>
          <w:rFonts w:hint="eastAsia" w:ascii="仿宋" w:hAnsi="仿宋" w:eastAsia="仿宋" w:cs="仿宋"/>
          <w:sz w:val="24"/>
          <w:szCs w:val="32"/>
        </w:rPr>
        <w:t>电话：</w:t>
      </w:r>
    </w:p>
    <w:p>
      <w:pPr>
        <w:ind w:firstLine="480" w:firstLineChars="200"/>
        <w:rPr>
          <w:rFonts w:ascii="仿宋" w:hAnsi="仿宋" w:eastAsia="仿宋" w:cs="仿宋"/>
          <w:sz w:val="24"/>
          <w:szCs w:val="32"/>
        </w:rPr>
      </w:pPr>
      <w:r>
        <w:rPr>
          <w:rFonts w:hint="eastAsia" w:ascii="仿宋" w:hAnsi="仿宋" w:eastAsia="仿宋" w:cs="仿宋"/>
          <w:sz w:val="24"/>
          <w:szCs w:val="32"/>
        </w:rPr>
        <w:t>移动电话：</w:t>
      </w:r>
    </w:p>
    <w:p>
      <w:pPr>
        <w:ind w:firstLine="480" w:firstLineChars="200"/>
        <w:rPr>
          <w:rFonts w:ascii="仿宋" w:hAnsi="仿宋" w:eastAsia="仿宋" w:cs="仿宋"/>
          <w:sz w:val="24"/>
          <w:szCs w:val="32"/>
        </w:rPr>
      </w:pPr>
      <w:r>
        <w:rPr>
          <w:rFonts w:hint="eastAsia" w:ascii="仿宋" w:hAnsi="仿宋" w:eastAsia="仿宋" w:cs="仿宋"/>
          <w:sz w:val="24"/>
          <w:szCs w:val="32"/>
        </w:rPr>
        <w:t>传真：</w:t>
      </w:r>
    </w:p>
    <w:p>
      <w:pPr>
        <w:ind w:firstLine="480" w:firstLineChars="200"/>
        <w:rPr>
          <w:rFonts w:ascii="仿宋" w:hAnsi="仿宋" w:eastAsia="仿宋" w:cs="仿宋"/>
          <w:sz w:val="24"/>
          <w:szCs w:val="32"/>
        </w:rPr>
      </w:pPr>
      <w:r>
        <w:rPr>
          <w:rFonts w:hint="eastAsia" w:ascii="仿宋" w:hAnsi="仿宋" w:eastAsia="仿宋" w:cs="仿宋"/>
          <w:sz w:val="24"/>
          <w:szCs w:val="32"/>
        </w:rPr>
        <w:t>投标人：</w:t>
      </w:r>
    </w:p>
    <w:p>
      <w:pPr>
        <w:ind w:firstLine="480" w:firstLineChars="200"/>
        <w:rPr>
          <w:rFonts w:ascii="仿宋" w:hAnsi="仿宋" w:eastAsia="仿宋" w:cs="仿宋"/>
          <w:sz w:val="24"/>
          <w:szCs w:val="32"/>
        </w:rPr>
      </w:pPr>
      <w:r>
        <w:rPr>
          <w:rFonts w:hint="eastAsia" w:ascii="仿宋" w:hAnsi="仿宋" w:eastAsia="仿宋" w:cs="仿宋"/>
          <w:sz w:val="24"/>
          <w:szCs w:val="32"/>
        </w:rPr>
        <w:t>法定代表人</w:t>
      </w:r>
      <w:r>
        <w:rPr>
          <w:rFonts w:hint="eastAsia" w:ascii="仿宋" w:hAnsi="仿宋" w:eastAsia="仿宋" w:cs="仿宋"/>
          <w:sz w:val="24"/>
          <w:szCs w:val="28"/>
        </w:rPr>
        <w:t>（负责人）</w:t>
      </w:r>
      <w:r>
        <w:rPr>
          <w:rFonts w:hint="eastAsia" w:ascii="仿宋" w:hAnsi="仿宋" w:eastAsia="仿宋" w:cs="仿宋"/>
          <w:sz w:val="24"/>
          <w:szCs w:val="32"/>
        </w:rPr>
        <w:t>：</w:t>
      </w:r>
    </w:p>
    <w:p>
      <w:pPr>
        <w:ind w:firstLine="480" w:firstLineChars="200"/>
        <w:rPr>
          <w:rFonts w:ascii="仿宋" w:hAnsi="仿宋" w:eastAsia="仿宋" w:cs="仿宋"/>
          <w:sz w:val="24"/>
          <w:szCs w:val="32"/>
        </w:rPr>
      </w:pPr>
      <w:r>
        <w:rPr>
          <w:rFonts w:hint="eastAsia" w:ascii="仿宋" w:hAnsi="仿宋" w:eastAsia="仿宋" w:cs="仿宋"/>
          <w:sz w:val="24"/>
          <w:szCs w:val="32"/>
        </w:rPr>
        <w:t>授权委托日期：         年     月       日</w:t>
      </w:r>
    </w:p>
    <w:p>
      <w:pPr>
        <w:rPr>
          <w:rFonts w:ascii="仿宋" w:hAnsi="仿宋" w:eastAsia="仿宋" w:cs="仿宋"/>
          <w:b/>
          <w:bCs/>
          <w:sz w:val="40"/>
          <w:szCs w:val="48"/>
        </w:rPr>
      </w:pPr>
      <w:r>
        <w:rPr>
          <w:rFonts w:hint="eastAsia" w:ascii="仿宋" w:hAnsi="仿宋" w:eastAsia="仿宋" w:cs="仿宋"/>
          <w:sz w:val="24"/>
          <w:szCs w:val="32"/>
        </w:rPr>
        <mc:AlternateContent>
          <mc:Choice Requires="wps">
            <w:drawing>
              <wp:anchor distT="0" distB="0" distL="114300" distR="114300" simplePos="0" relativeHeight="251660288" behindDoc="0" locked="0" layoutInCell="1" allowOverlap="1">
                <wp:simplePos x="0" y="0"/>
                <wp:positionH relativeFrom="column">
                  <wp:posOffset>979805</wp:posOffset>
                </wp:positionH>
                <wp:positionV relativeFrom="paragraph">
                  <wp:posOffset>708660</wp:posOffset>
                </wp:positionV>
                <wp:extent cx="3237865" cy="1795780"/>
                <wp:effectExtent l="4445" t="4445" r="15240" b="9525"/>
                <wp:wrapNone/>
                <wp:docPr id="1" name="圆角矩形 1"/>
                <wp:cNvGraphicFramePr/>
                <a:graphic xmlns:a="http://schemas.openxmlformats.org/drawingml/2006/main">
                  <a:graphicData uri="http://schemas.microsoft.com/office/word/2010/wordprocessingShape">
                    <wps:wsp>
                      <wps:cNvSpPr/>
                      <wps:spPr>
                        <a:xfrm>
                          <a:off x="0" y="0"/>
                          <a:ext cx="3237865" cy="1795780"/>
                        </a:xfrm>
                        <a:prstGeom prst="roundRect">
                          <a:avLst>
                            <a:gd name="adj" fmla="val 16667"/>
                          </a:avLst>
                        </a:prstGeom>
                        <a:solidFill>
                          <a:srgbClr val="FFFFFF"/>
                        </a:solidFill>
                        <a:ln w="9525" cap="rnd" cmpd="sng">
                          <a:solidFill>
                            <a:srgbClr val="000000"/>
                          </a:solidFill>
                          <a:prstDash val="sysDot"/>
                          <a:headEnd type="none" w="med" len="med"/>
                          <a:tailEnd type="none" w="med" len="med"/>
                        </a:ln>
                      </wps:spPr>
                      <wps:txbx>
                        <w:txbxContent>
                          <w:p/>
                          <w:p/>
                          <w:p/>
                          <w:p/>
                          <w:p>
                            <w:pPr>
                              <w:jc w:val="center"/>
                            </w:pPr>
                            <w:r>
                              <w:rPr>
                                <w:rFonts w:hint="eastAsia"/>
                              </w:rPr>
                              <w:t>附：代理人身份证扫描件（正反面）</w:t>
                            </w:r>
                          </w:p>
                        </w:txbxContent>
                      </wps:txbx>
                      <wps:bodyPr upright="true"/>
                    </wps:wsp>
                  </a:graphicData>
                </a:graphic>
              </wp:anchor>
            </w:drawing>
          </mc:Choice>
          <mc:Fallback>
            <w:pict>
              <v:roundrect id="_x0000_s1026" o:spid="_x0000_s1026" o:spt="2" style="position:absolute;left:0pt;margin-left:77.15pt;margin-top:55.8pt;height:141.4pt;width:254.95pt;z-index:251660288;mso-width-relative:page;mso-height-relative:page;" fillcolor="#FFFFFF" filled="t" stroked="t" coordsize="21600,21600" arcsize="0.166666666666667" o:gfxdata="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e&#10;UQ8x2gAAAAsBAAAPAAAAAAAAAAEAIAAAADgAAABkcnMvZG93bnJldi54bWxQSwECFAAUAAAACACH&#10;TuJAeTYcSAwCAAAMBAAADgAAAAAAAAABACAAAAA/AQAAZHJzL2Uyb0RvYy54bWxQSwUGAAAAAAYA&#10;BgBZAQAAvQUAAAAA&#10;">
                <v:fill on="t" focussize="0,0"/>
                <v:stroke color="#000000" joinstyle="round" dashstyle="1 1" endcap="round"/>
                <v:imagedata o:title=""/>
                <o:lock v:ext="edit" aspectratio="f"/>
                <v:textbox>
                  <w:txbxContent>
                    <w:p/>
                    <w:p/>
                    <w:p/>
                    <w:p/>
                    <w:p>
                      <w:pPr>
                        <w:jc w:val="center"/>
                      </w:pPr>
                      <w:r>
                        <w:rPr>
                          <w:rFonts w:hint="eastAsia"/>
                        </w:rPr>
                        <w:t>附：代理人身份证扫描件（正反面）</w:t>
                      </w:r>
                    </w:p>
                  </w:txbxContent>
                </v:textbox>
              </v:roundrect>
            </w:pict>
          </mc:Fallback>
        </mc:AlternateContent>
      </w:r>
      <w:r>
        <w:rPr>
          <w:rFonts w:hint="eastAsia" w:ascii="仿宋" w:hAnsi="仿宋" w:eastAsia="仿宋" w:cs="仿宋"/>
          <w:sz w:val="24"/>
          <w:szCs w:val="32"/>
        </w:rPr>
        <w:br w:type="page"/>
      </w:r>
    </w:p>
    <w:p>
      <w:pPr>
        <w:jc w:val="left"/>
        <w:rPr>
          <w:rFonts w:ascii="宋体" w:hAnsi="宋体" w:eastAsia="宋体" w:cs="宋体"/>
          <w:b/>
          <w:bCs/>
          <w:color w:val="000000" w:themeColor="text1"/>
          <w:sz w:val="32"/>
          <w:szCs w:val="40"/>
          <w14:textFill>
            <w14:solidFill>
              <w14:schemeClr w14:val="tx1"/>
            </w14:solidFill>
          </w14:textFill>
        </w:rPr>
      </w:pPr>
      <w:r>
        <w:rPr>
          <w:rFonts w:hint="eastAsia" w:ascii="宋体" w:hAnsi="宋体" w:eastAsia="宋体" w:cs="宋体"/>
          <w:b/>
          <w:bCs/>
          <w:color w:val="000000" w:themeColor="text1"/>
          <w:sz w:val="32"/>
          <w:szCs w:val="40"/>
          <w14:textFill>
            <w14:solidFill>
              <w14:schemeClr w14:val="tx1"/>
            </w14:solidFill>
          </w14:textFill>
        </w:rPr>
        <w:t>附件</w:t>
      </w:r>
      <w:r>
        <w:rPr>
          <w:rFonts w:ascii="宋体" w:hAnsi="宋体" w:eastAsia="宋体" w:cs="宋体"/>
          <w:b/>
          <w:bCs/>
          <w:color w:val="000000" w:themeColor="text1"/>
          <w:sz w:val="32"/>
          <w:szCs w:val="40"/>
          <w14:textFill>
            <w14:solidFill>
              <w14:schemeClr w14:val="tx1"/>
            </w14:solidFill>
          </w14:textFill>
        </w:rPr>
        <w:t>4</w:t>
      </w:r>
    </w:p>
    <w:p>
      <w:pPr>
        <w:jc w:val="center"/>
        <w:rPr>
          <w:rFonts w:ascii="仿宋" w:hAnsi="仿宋" w:eastAsia="仿宋" w:cs="仿宋"/>
          <w:highlight w:val="none"/>
        </w:rPr>
      </w:pPr>
      <w:r>
        <w:rPr>
          <w:rFonts w:hint="eastAsia"/>
          <w:b/>
          <w:bCs/>
          <w:sz w:val="32"/>
          <w:szCs w:val="40"/>
          <w:highlight w:val="none"/>
        </w:rPr>
        <w:t>中小企业声明函、残疾人福利性单位声明函、监狱企业声明函格式（根据实际情况进行填写）</w:t>
      </w:r>
    </w:p>
    <w:p>
      <w:pPr>
        <w:ind w:left="602"/>
        <w:jc w:val="center"/>
        <w:rPr>
          <w:rFonts w:ascii="仿宋" w:hAnsi="仿宋" w:eastAsia="仿宋" w:cs="仿宋"/>
          <w:b/>
          <w:sz w:val="30"/>
          <w:szCs w:val="30"/>
          <w:highlight w:val="none"/>
        </w:rPr>
      </w:pPr>
      <w:r>
        <w:rPr>
          <w:rFonts w:hint="eastAsia" w:ascii="仿宋" w:hAnsi="仿宋" w:eastAsia="仿宋" w:cs="仿宋"/>
          <w:b/>
          <w:sz w:val="30"/>
          <w:szCs w:val="30"/>
          <w:highlight w:val="none"/>
        </w:rPr>
        <w:t>一、中小企业声明函（仅限小型企业、微型企业）</w:t>
      </w:r>
    </w:p>
    <w:p>
      <w:pPr>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本公司郑重声明，根据《政府采购促进中小企业发展暂行办法》（财库〔</w:t>
      </w:r>
      <w:r>
        <w:rPr>
          <w:rFonts w:ascii="仿宋" w:hAnsi="仿宋" w:eastAsia="仿宋" w:cs="仿宋"/>
          <w:sz w:val="28"/>
          <w:szCs w:val="28"/>
          <w:highlight w:val="none"/>
        </w:rPr>
        <w:t>2011〕181号）</w:t>
      </w:r>
      <w:r>
        <w:rPr>
          <w:rFonts w:hint="eastAsia" w:ascii="仿宋" w:hAnsi="仿宋" w:eastAsia="仿宋" w:cs="仿宋"/>
          <w:sz w:val="28"/>
          <w:szCs w:val="28"/>
          <w:highlight w:val="none"/>
        </w:rPr>
        <w:t>的规定，本公司为</w:t>
      </w:r>
      <w:r>
        <w:rPr>
          <w:rFonts w:ascii="仿宋" w:hAnsi="仿宋" w:eastAsia="仿宋" w:cs="仿宋"/>
          <w:sz w:val="28"/>
          <w:szCs w:val="28"/>
          <w:highlight w:val="none"/>
        </w:rPr>
        <w:t>______（请填写：中型、小型、微型）企业。即本公司同时满足以下条件：</w:t>
      </w:r>
    </w:p>
    <w:p>
      <w:pPr>
        <w:ind w:firstLine="560" w:firstLineChars="200"/>
        <w:jc w:val="left"/>
        <w:rPr>
          <w:rFonts w:ascii="仿宋" w:hAnsi="仿宋" w:eastAsia="仿宋" w:cs="仿宋"/>
          <w:sz w:val="28"/>
          <w:szCs w:val="28"/>
          <w:highlight w:val="none"/>
        </w:rPr>
      </w:pPr>
      <w:r>
        <w:rPr>
          <w:rFonts w:ascii="仿宋" w:hAnsi="仿宋" w:eastAsia="仿宋" w:cs="仿宋"/>
          <w:sz w:val="28"/>
          <w:szCs w:val="28"/>
          <w:highlight w:val="none"/>
        </w:rPr>
        <w:t>1.根据《工业和信息化部、国家统计局、国家发展和改革委员会、财政部关于印发中小企业划型标准规定的通知》（工信部联企业〔2011〕300号）规定的划分标准，本公司为______（请填写：中型、小型、微型）企业。</w:t>
      </w:r>
    </w:p>
    <w:p>
      <w:pPr>
        <w:ind w:firstLine="560" w:firstLineChars="200"/>
        <w:jc w:val="left"/>
        <w:rPr>
          <w:rFonts w:ascii="仿宋" w:hAnsi="仿宋" w:eastAsia="仿宋" w:cs="仿宋"/>
          <w:sz w:val="28"/>
          <w:szCs w:val="28"/>
          <w:highlight w:val="none"/>
        </w:rPr>
      </w:pPr>
      <w:r>
        <w:rPr>
          <w:rFonts w:ascii="仿宋" w:hAnsi="仿宋" w:eastAsia="仿宋" w:cs="仿宋"/>
          <w:sz w:val="28"/>
          <w:szCs w:val="28"/>
          <w:highlight w:val="none"/>
        </w:rPr>
        <w:t>2.本公司参加</w:t>
      </w:r>
      <w:r>
        <w:rPr>
          <w:rFonts w:hint="eastAsia" w:ascii="仿宋" w:hAnsi="仿宋" w:eastAsia="仿宋" w:cs="仿宋"/>
          <w:sz w:val="28"/>
          <w:szCs w:val="28"/>
          <w:highlight w:val="none"/>
          <w:u w:val="single"/>
        </w:rPr>
        <w:t>（采购单位名称）</w:t>
      </w:r>
      <w:r>
        <w:rPr>
          <w:rFonts w:ascii="仿宋" w:hAnsi="仿宋" w:eastAsia="仿宋" w:cs="仿宋"/>
          <w:sz w:val="28"/>
          <w:szCs w:val="28"/>
          <w:highlight w:val="none"/>
          <w:u w:val="single"/>
        </w:rPr>
        <w:t xml:space="preserve"> </w:t>
      </w:r>
      <w:r>
        <w:rPr>
          <w:rFonts w:hint="eastAsia" w:ascii="仿宋" w:hAnsi="仿宋" w:eastAsia="仿宋" w:cs="仿宋"/>
          <w:sz w:val="28"/>
          <w:szCs w:val="28"/>
          <w:highlight w:val="none"/>
        </w:rPr>
        <w:t>单位的</w:t>
      </w:r>
      <w:r>
        <w:rPr>
          <w:rFonts w:ascii="仿宋" w:hAnsi="仿宋" w:eastAsia="仿宋" w:cs="仿宋"/>
          <w:sz w:val="28"/>
          <w:szCs w:val="28"/>
          <w:highlight w:val="none"/>
          <w:u w:val="single"/>
        </w:rPr>
        <w:t xml:space="preserve"> （采购项目名称） </w:t>
      </w:r>
      <w:r>
        <w:rPr>
          <w:rFonts w:hint="eastAsia" w:ascii="仿宋" w:hAnsi="仿宋" w:eastAsia="仿宋" w:cs="仿宋"/>
          <w:sz w:val="28"/>
          <w:szCs w:val="28"/>
          <w:highlight w:val="none"/>
        </w:rPr>
        <w:t>项目采购活动</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并提供</w:t>
      </w:r>
      <w:r>
        <w:rPr>
          <w:rFonts w:ascii="仿宋" w:hAnsi="仿宋" w:eastAsia="仿宋" w:cs="仿宋"/>
          <w:sz w:val="28"/>
          <w:szCs w:val="28"/>
          <w:highlight w:val="none"/>
        </w:rPr>
        <w:t xml:space="preserve">:□本企业制造的货物;□由本企业承担工程、 </w:t>
      </w:r>
      <w:r>
        <w:rPr>
          <w:rFonts w:hint="eastAsia" w:ascii="仿宋" w:hAnsi="仿宋" w:eastAsia="仿宋" w:cs="仿宋"/>
          <w:sz w:val="28"/>
          <w:szCs w:val="28"/>
          <w:highlight w:val="none"/>
        </w:rPr>
        <w:t>提供服务</w:t>
      </w:r>
      <w:r>
        <w:rPr>
          <w:rFonts w:ascii="仿宋" w:hAnsi="仿宋" w:eastAsia="仿宋" w:cs="仿宋"/>
          <w:sz w:val="28"/>
          <w:szCs w:val="28"/>
          <w:highlight w:val="none"/>
        </w:rPr>
        <w:t>;□提供其他______企业（请填写：中型、小型、微型）制造的货物（承诺人在□处打√）。本条所称货物是指单一产品采购项目中的货物，或者非单一产品采购项目中的核心产品（货物），不包括使用大型企业注册商标的货物。</w:t>
      </w:r>
    </w:p>
    <w:p>
      <w:pPr>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本公司对上述声明的真实性负责。若有虚假承诺，视同提供虚假资料，将依法承担相应法律责任。</w:t>
      </w:r>
    </w:p>
    <w:p>
      <w:pPr>
        <w:adjustRightInd w:val="0"/>
        <w:snapToGrid w:val="0"/>
        <w:spacing w:line="500" w:lineRule="exact"/>
        <w:ind w:firstLine="560" w:firstLineChars="200"/>
        <w:jc w:val="center"/>
        <w:rPr>
          <w:rFonts w:ascii="仿宋" w:hAnsi="仿宋" w:eastAsia="仿宋" w:cs="仿宋"/>
          <w:sz w:val="28"/>
          <w:szCs w:val="28"/>
          <w:highlight w:val="none"/>
        </w:rPr>
      </w:pPr>
      <w:r>
        <w:rPr>
          <w:rFonts w:ascii="仿宋" w:hAnsi="仿宋" w:eastAsia="仿宋" w:cs="仿宋"/>
          <w:sz w:val="28"/>
          <w:szCs w:val="28"/>
          <w:highlight w:val="none"/>
        </w:rPr>
        <w:t xml:space="preserve">                           投标人（公章）： </w:t>
      </w:r>
    </w:p>
    <w:p>
      <w:pPr>
        <w:adjustRightInd w:val="0"/>
        <w:snapToGrid w:val="0"/>
        <w:spacing w:line="500" w:lineRule="exact"/>
        <w:ind w:firstLine="560" w:firstLineChars="200"/>
        <w:jc w:val="right"/>
        <w:rPr>
          <w:rFonts w:ascii="仿宋" w:hAnsi="仿宋" w:eastAsia="仿宋" w:cs="仿宋"/>
          <w:sz w:val="28"/>
          <w:szCs w:val="28"/>
          <w:highlight w:val="none"/>
        </w:rPr>
      </w:pPr>
      <w:r>
        <w:rPr>
          <w:rFonts w:hint="eastAsia" w:ascii="仿宋" w:hAnsi="仿宋" w:eastAsia="仿宋" w:cs="仿宋"/>
          <w:sz w:val="28"/>
          <w:szCs w:val="28"/>
          <w:highlight w:val="none"/>
        </w:rPr>
        <w:t>法定代表人或授权代表签名：</w:t>
      </w:r>
    </w:p>
    <w:p>
      <w:pPr>
        <w:adjustRightInd w:val="0"/>
        <w:snapToGrid w:val="0"/>
        <w:spacing w:line="500" w:lineRule="exact"/>
        <w:ind w:firstLine="560" w:firstLineChars="200"/>
        <w:jc w:val="center"/>
        <w:rPr>
          <w:rFonts w:ascii="仿宋" w:hAnsi="仿宋" w:eastAsia="仿宋" w:cs="仿宋"/>
          <w:sz w:val="28"/>
          <w:szCs w:val="28"/>
        </w:rPr>
      </w:pPr>
      <w:r>
        <w:rPr>
          <w:rFonts w:ascii="仿宋" w:hAnsi="仿宋" w:eastAsia="仿宋" w:cs="仿宋"/>
          <w:sz w:val="28"/>
          <w:szCs w:val="28"/>
          <w:highlight w:val="none"/>
        </w:rPr>
        <w:t xml:space="preserve">                           日期：    年  月  日</w:t>
      </w:r>
    </w:p>
    <w:p>
      <w:pPr>
        <w:adjustRightInd w:val="0"/>
        <w:snapToGrid w:val="0"/>
        <w:spacing w:line="500" w:lineRule="exact"/>
        <w:ind w:firstLine="560" w:firstLineChars="200"/>
        <w:jc w:val="center"/>
      </w:pPr>
      <w:r>
        <w:rPr>
          <w:rFonts w:hint="eastAsia" w:ascii="仿宋" w:hAnsi="仿宋" w:eastAsia="仿宋" w:cs="仿宋"/>
          <w:sz w:val="28"/>
          <w:szCs w:val="28"/>
        </w:rPr>
        <w:br w:type="page"/>
      </w:r>
    </w:p>
    <w:p>
      <w:pPr>
        <w:ind w:firstLine="560" w:firstLineChars="200"/>
        <w:jc w:val="right"/>
        <w:rPr>
          <w:rFonts w:ascii="仿宋" w:hAnsi="仿宋" w:eastAsia="仿宋" w:cs="仿宋"/>
          <w:sz w:val="28"/>
          <w:szCs w:val="28"/>
        </w:rPr>
      </w:pPr>
    </w:p>
    <w:p>
      <w:pPr>
        <w:jc w:val="center"/>
        <w:rPr>
          <w:rFonts w:ascii="仿宋" w:hAnsi="仿宋" w:eastAsia="仿宋" w:cs="仿宋"/>
          <w:b/>
          <w:sz w:val="28"/>
          <w:szCs w:val="28"/>
          <w:highlight w:val="none"/>
        </w:rPr>
      </w:pPr>
      <w:r>
        <w:rPr>
          <w:rFonts w:hint="eastAsia" w:ascii="仿宋" w:hAnsi="仿宋" w:eastAsia="仿宋" w:cs="仿宋"/>
          <w:b/>
          <w:sz w:val="28"/>
          <w:szCs w:val="28"/>
          <w:highlight w:val="none"/>
        </w:rPr>
        <w:t>二、残疾人福利性单位声明函</w:t>
      </w:r>
    </w:p>
    <w:p>
      <w:pPr>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本单位郑重声明，根据《财政部</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民政部</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中国残疾人联合会关于促进残疾人就业政府采购政策的通知》（财库〔</w:t>
      </w:r>
      <w:r>
        <w:rPr>
          <w:rFonts w:ascii="仿宋" w:hAnsi="仿宋" w:eastAsia="仿宋" w:cs="仿宋"/>
          <w:sz w:val="28"/>
          <w:szCs w:val="28"/>
          <w:highlight w:val="none"/>
        </w:rPr>
        <w:t>2017〕141号）的规定，本单位为符合条件的残疾人福利性单位，且本单位参加</w:t>
      </w:r>
      <w:r>
        <w:rPr>
          <w:rFonts w:ascii="仿宋" w:hAnsi="仿宋" w:eastAsia="仿宋" w:cs="仿宋"/>
          <w:sz w:val="28"/>
          <w:szCs w:val="28"/>
          <w:highlight w:val="none"/>
          <w:u w:val="single"/>
        </w:rPr>
        <w:t xml:space="preserve">  （采购单位名称）  </w:t>
      </w:r>
      <w:r>
        <w:rPr>
          <w:rFonts w:hint="eastAsia" w:ascii="仿宋" w:hAnsi="仿宋" w:eastAsia="仿宋" w:cs="仿宋"/>
          <w:sz w:val="28"/>
          <w:szCs w:val="28"/>
          <w:highlight w:val="none"/>
        </w:rPr>
        <w:t>单位的</w:t>
      </w:r>
      <w:r>
        <w:rPr>
          <w:rFonts w:ascii="仿宋" w:hAnsi="仿宋" w:eastAsia="仿宋" w:cs="仿宋"/>
          <w:sz w:val="28"/>
          <w:szCs w:val="28"/>
          <w:highlight w:val="none"/>
          <w:u w:val="single"/>
        </w:rPr>
        <w:t xml:space="preserve"> （采购项目名称） </w:t>
      </w:r>
      <w:r>
        <w:rPr>
          <w:rFonts w:hint="eastAsia" w:ascii="仿宋" w:hAnsi="仿宋" w:eastAsia="仿宋" w:cs="仿宋"/>
          <w:sz w:val="28"/>
          <w:szCs w:val="28"/>
          <w:highlight w:val="none"/>
        </w:rPr>
        <w:t>项目采购活动，并提供</w:t>
      </w:r>
      <w:r>
        <w:rPr>
          <w:rFonts w:ascii="仿宋" w:hAnsi="仿宋" w:eastAsia="仿宋" w:cs="仿宋"/>
          <w:sz w:val="28"/>
          <w:szCs w:val="28"/>
          <w:highlight w:val="none"/>
        </w:rPr>
        <w:t xml:space="preserve">:□本单位制造的货物;□由本单位承担的工程、提供服务;□提供其他残疾人福利性单位制造的货物（承诺人在□处打√）。 </w:t>
      </w:r>
      <w:r>
        <w:rPr>
          <w:rFonts w:hint="eastAsia" w:ascii="仿宋" w:hAnsi="仿宋" w:eastAsia="仿宋" w:cs="仿宋"/>
          <w:sz w:val="28"/>
          <w:szCs w:val="28"/>
          <w:highlight w:val="none"/>
        </w:rPr>
        <w:t>本条所称货物是指单一产品采购项目中的货物，或者非单一产品采购项目中的核心产品（货物），</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不包括使用非残疾人福利性单位注册商标的货物。本单位对上述声明的真实性负责。如有虚假，将依法承担相应责任。</w:t>
      </w:r>
    </w:p>
    <w:p>
      <w:pPr>
        <w:ind w:firstLine="560" w:firstLineChars="200"/>
        <w:jc w:val="left"/>
        <w:rPr>
          <w:rFonts w:ascii="仿宋" w:hAnsi="仿宋" w:eastAsia="仿宋" w:cs="仿宋"/>
          <w:sz w:val="28"/>
          <w:szCs w:val="28"/>
          <w:highlight w:val="none"/>
        </w:rPr>
      </w:pPr>
    </w:p>
    <w:p>
      <w:pPr>
        <w:ind w:firstLine="560" w:firstLineChars="200"/>
        <w:jc w:val="left"/>
        <w:rPr>
          <w:rFonts w:ascii="仿宋" w:hAnsi="仿宋" w:eastAsia="仿宋" w:cs="仿宋"/>
          <w:sz w:val="28"/>
          <w:szCs w:val="28"/>
          <w:highlight w:val="none"/>
        </w:rPr>
      </w:pPr>
    </w:p>
    <w:p>
      <w:pPr>
        <w:adjustRightInd w:val="0"/>
        <w:snapToGrid w:val="0"/>
        <w:spacing w:line="500" w:lineRule="exact"/>
        <w:ind w:firstLine="560" w:firstLineChars="200"/>
        <w:jc w:val="center"/>
        <w:rPr>
          <w:rFonts w:ascii="仿宋" w:hAnsi="仿宋" w:eastAsia="仿宋" w:cs="仿宋"/>
          <w:sz w:val="28"/>
          <w:szCs w:val="28"/>
          <w:highlight w:val="none"/>
        </w:rPr>
      </w:pPr>
      <w:r>
        <w:rPr>
          <w:rFonts w:ascii="仿宋" w:hAnsi="仿宋" w:eastAsia="仿宋" w:cs="仿宋"/>
          <w:sz w:val="28"/>
          <w:szCs w:val="28"/>
          <w:highlight w:val="none"/>
        </w:rPr>
        <w:t xml:space="preserve">                           投标人（公章）： </w:t>
      </w:r>
    </w:p>
    <w:p>
      <w:pPr>
        <w:adjustRightInd w:val="0"/>
        <w:snapToGrid w:val="0"/>
        <w:spacing w:line="500" w:lineRule="exact"/>
        <w:ind w:firstLine="560" w:firstLineChars="200"/>
        <w:jc w:val="right"/>
        <w:rPr>
          <w:rFonts w:ascii="仿宋" w:hAnsi="仿宋" w:eastAsia="仿宋" w:cs="仿宋"/>
          <w:sz w:val="28"/>
          <w:szCs w:val="28"/>
          <w:highlight w:val="none"/>
        </w:rPr>
      </w:pPr>
      <w:r>
        <w:rPr>
          <w:rFonts w:hint="eastAsia" w:ascii="仿宋" w:hAnsi="仿宋" w:eastAsia="仿宋" w:cs="仿宋"/>
          <w:sz w:val="28"/>
          <w:szCs w:val="28"/>
          <w:highlight w:val="none"/>
        </w:rPr>
        <w:t>法定代表人或授权代表签名：</w:t>
      </w:r>
    </w:p>
    <w:p>
      <w:pPr>
        <w:adjustRightInd w:val="0"/>
        <w:snapToGrid w:val="0"/>
        <w:spacing w:line="500" w:lineRule="exact"/>
        <w:ind w:firstLine="560" w:firstLineChars="200"/>
        <w:jc w:val="center"/>
        <w:rPr>
          <w:rFonts w:ascii="仿宋" w:hAnsi="仿宋" w:eastAsia="仿宋" w:cs="仿宋"/>
          <w:sz w:val="28"/>
          <w:szCs w:val="28"/>
        </w:rPr>
      </w:pPr>
      <w:r>
        <w:rPr>
          <w:rFonts w:ascii="仿宋" w:hAnsi="仿宋" w:eastAsia="仿宋" w:cs="仿宋"/>
          <w:sz w:val="28"/>
          <w:szCs w:val="28"/>
          <w:highlight w:val="none"/>
        </w:rPr>
        <w:t xml:space="preserve">                           日期：    年  月  日</w:t>
      </w:r>
    </w:p>
    <w:p>
      <w:pPr>
        <w:numPr>
          <w:ilvl w:val="0"/>
          <w:numId w:val="2"/>
        </w:numPr>
        <w:jc w:val="center"/>
        <w:rPr>
          <w:rFonts w:ascii="仿宋" w:hAnsi="仿宋" w:eastAsia="仿宋" w:cs="仿宋"/>
          <w:b/>
          <w:sz w:val="28"/>
          <w:szCs w:val="28"/>
        </w:rPr>
      </w:pPr>
      <w:r>
        <w:rPr>
          <w:rFonts w:ascii="仿宋" w:hAnsi="仿宋" w:eastAsia="仿宋" w:cs="仿宋"/>
          <w:b/>
          <w:sz w:val="28"/>
          <w:szCs w:val="28"/>
        </w:rPr>
        <w:br w:type="page"/>
      </w:r>
    </w:p>
    <w:p>
      <w:pPr>
        <w:jc w:val="center"/>
        <w:rPr>
          <w:rFonts w:ascii="仿宋" w:hAnsi="仿宋" w:eastAsia="仿宋" w:cs="仿宋"/>
          <w:b/>
          <w:sz w:val="28"/>
          <w:szCs w:val="28"/>
          <w:highlight w:val="none"/>
        </w:rPr>
      </w:pPr>
      <w:r>
        <w:rPr>
          <w:rFonts w:hint="eastAsia" w:ascii="仿宋" w:hAnsi="仿宋" w:eastAsia="仿宋" w:cs="仿宋"/>
          <w:b/>
          <w:sz w:val="28"/>
          <w:szCs w:val="28"/>
          <w:highlight w:val="none"/>
        </w:rPr>
        <w:t>三、监狱企业声明函</w:t>
      </w:r>
    </w:p>
    <w:p>
      <w:pPr>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本单位郑重声明，根据《财政部</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司法部关于政府采购支持监狱企业发展有关问题的通知》（财库〔</w:t>
      </w:r>
      <w:r>
        <w:rPr>
          <w:rFonts w:ascii="仿宋" w:hAnsi="仿宋" w:eastAsia="仿宋" w:cs="仿宋"/>
          <w:sz w:val="28"/>
          <w:szCs w:val="28"/>
          <w:highlight w:val="none"/>
        </w:rPr>
        <w:t>2014〕68号）的规定，本单位为符合条件的监狱企业，且本单位参加</w:t>
      </w:r>
      <w:r>
        <w:rPr>
          <w:rFonts w:ascii="仿宋" w:hAnsi="仿宋" w:eastAsia="仿宋" w:cs="仿宋"/>
          <w:sz w:val="28"/>
          <w:szCs w:val="28"/>
          <w:highlight w:val="none"/>
          <w:u w:val="single"/>
        </w:rPr>
        <w:t xml:space="preserve"> （采购单位名称） </w:t>
      </w:r>
      <w:r>
        <w:rPr>
          <w:rFonts w:hint="eastAsia" w:ascii="仿宋" w:hAnsi="仿宋" w:eastAsia="仿宋" w:cs="仿宋"/>
          <w:sz w:val="28"/>
          <w:szCs w:val="28"/>
          <w:highlight w:val="none"/>
        </w:rPr>
        <w:t>单位的</w:t>
      </w:r>
      <w:r>
        <w:rPr>
          <w:rFonts w:ascii="仿宋" w:hAnsi="仿宋" w:eastAsia="仿宋" w:cs="仿宋"/>
          <w:sz w:val="28"/>
          <w:szCs w:val="28"/>
          <w:highlight w:val="none"/>
          <w:u w:val="single"/>
        </w:rPr>
        <w:t xml:space="preserve"> （采购项目名称） </w:t>
      </w:r>
      <w:r>
        <w:rPr>
          <w:rFonts w:hint="eastAsia" w:ascii="仿宋" w:hAnsi="仿宋" w:eastAsia="仿宋" w:cs="仿宋"/>
          <w:sz w:val="28"/>
          <w:szCs w:val="28"/>
          <w:highlight w:val="none"/>
        </w:rPr>
        <w:t>项目采购活动，并提供</w:t>
      </w:r>
      <w:r>
        <w:rPr>
          <w:rFonts w:ascii="仿宋" w:hAnsi="仿宋" w:eastAsia="仿宋" w:cs="仿宋"/>
          <w:sz w:val="28"/>
          <w:szCs w:val="28"/>
          <w:highlight w:val="none"/>
        </w:rPr>
        <w:t>:□本单位制造的货物;□由本单位承担的工程、提供服务;□提供其他监狱企业制造的货物（承诺人在□处打√）。本条所称货物是指单一产品采购项目中的货物，或者非单一产品采购项目中的核心产品（货物）。</w:t>
      </w:r>
    </w:p>
    <w:p>
      <w:pPr>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本单位对上述声明的真实性负责。如有虚假，将依法承担相应责任。</w:t>
      </w:r>
    </w:p>
    <w:p>
      <w:pPr>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附：省级以上监狱管理局、戒毒管理局（含新疆生产建设兵团）出具的监狱企业证明文件。</w:t>
      </w:r>
    </w:p>
    <w:p>
      <w:pPr>
        <w:ind w:firstLine="560" w:firstLineChars="200"/>
        <w:jc w:val="left"/>
        <w:rPr>
          <w:rFonts w:ascii="仿宋" w:hAnsi="仿宋" w:eastAsia="仿宋" w:cs="仿宋"/>
          <w:sz w:val="28"/>
          <w:szCs w:val="28"/>
          <w:highlight w:val="none"/>
        </w:rPr>
      </w:pPr>
    </w:p>
    <w:p>
      <w:pPr>
        <w:adjustRightInd w:val="0"/>
        <w:snapToGrid w:val="0"/>
        <w:spacing w:line="500" w:lineRule="exact"/>
        <w:ind w:firstLine="560" w:firstLineChars="200"/>
        <w:jc w:val="center"/>
        <w:rPr>
          <w:rFonts w:ascii="仿宋" w:hAnsi="仿宋" w:eastAsia="仿宋" w:cs="仿宋"/>
          <w:sz w:val="28"/>
          <w:szCs w:val="28"/>
          <w:highlight w:val="none"/>
        </w:rPr>
      </w:pPr>
      <w:r>
        <w:rPr>
          <w:rFonts w:ascii="仿宋" w:hAnsi="仿宋" w:eastAsia="仿宋" w:cs="仿宋"/>
          <w:sz w:val="28"/>
          <w:szCs w:val="28"/>
          <w:highlight w:val="none"/>
        </w:rPr>
        <w:t xml:space="preserve">                         投标人（公章）： </w:t>
      </w:r>
    </w:p>
    <w:p>
      <w:pPr>
        <w:adjustRightInd w:val="0"/>
        <w:snapToGrid w:val="0"/>
        <w:spacing w:line="500" w:lineRule="exact"/>
        <w:ind w:firstLine="560" w:firstLineChars="200"/>
        <w:jc w:val="right"/>
        <w:rPr>
          <w:rFonts w:ascii="仿宋" w:hAnsi="仿宋" w:eastAsia="仿宋" w:cs="仿宋"/>
          <w:sz w:val="28"/>
          <w:szCs w:val="28"/>
          <w:highlight w:val="none"/>
        </w:rPr>
      </w:pPr>
      <w:r>
        <w:rPr>
          <w:rFonts w:hint="eastAsia" w:ascii="仿宋" w:hAnsi="仿宋" w:eastAsia="仿宋" w:cs="仿宋"/>
          <w:sz w:val="28"/>
          <w:szCs w:val="28"/>
          <w:highlight w:val="none"/>
        </w:rPr>
        <w:t>法定代表人或授权代表签名：</w:t>
      </w:r>
    </w:p>
    <w:p>
      <w:pPr>
        <w:adjustRightInd w:val="0"/>
        <w:snapToGrid w:val="0"/>
        <w:spacing w:line="500" w:lineRule="exact"/>
        <w:ind w:firstLine="560" w:firstLineChars="200"/>
        <w:jc w:val="center"/>
        <w:rPr>
          <w:rFonts w:ascii="仿宋" w:hAnsi="仿宋" w:eastAsia="仿宋" w:cs="仿宋"/>
          <w:sz w:val="28"/>
          <w:szCs w:val="28"/>
        </w:rPr>
      </w:pPr>
      <w:r>
        <w:rPr>
          <w:rFonts w:ascii="仿宋" w:hAnsi="仿宋" w:eastAsia="仿宋" w:cs="仿宋"/>
          <w:sz w:val="28"/>
          <w:szCs w:val="28"/>
          <w:highlight w:val="none"/>
        </w:rPr>
        <w:t xml:space="preserve">                           日期：    年  月  日</w:t>
      </w: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br w:type="page"/>
      </w:r>
    </w:p>
    <w:p>
      <w:pPr>
        <w:jc w:val="left"/>
        <w:rPr>
          <w:rFonts w:ascii="宋体" w:hAnsi="宋体" w:eastAsia="宋体" w:cs="宋体"/>
          <w:b/>
          <w:bCs/>
          <w:sz w:val="32"/>
          <w:szCs w:val="40"/>
        </w:rPr>
      </w:pPr>
      <w:r>
        <w:rPr>
          <w:rFonts w:hint="eastAsia" w:ascii="宋体" w:hAnsi="宋体" w:eastAsia="宋体" w:cs="宋体"/>
          <w:b/>
          <w:bCs/>
          <w:sz w:val="32"/>
          <w:szCs w:val="40"/>
        </w:rPr>
        <w:t>附件5</w:t>
      </w: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开标一览表</w:t>
      </w:r>
    </w:p>
    <w:p>
      <w:pPr>
        <w:ind w:right="840"/>
        <w:rPr>
          <w:rFonts w:ascii="仿宋" w:hAnsi="仿宋" w:eastAsia="仿宋" w:cs="仿宋"/>
          <w:sz w:val="28"/>
          <w:szCs w:val="28"/>
        </w:rPr>
      </w:pPr>
    </w:p>
    <w:p>
      <w:pPr>
        <w:spacing w:line="360" w:lineRule="auto"/>
        <w:rPr>
          <w:rFonts w:ascii="仿宋" w:hAnsi="仿宋" w:eastAsia="仿宋" w:cs="仿宋"/>
          <w:sz w:val="28"/>
          <w:szCs w:val="28"/>
        </w:rPr>
      </w:pPr>
      <w:r>
        <w:rPr>
          <w:rFonts w:hint="eastAsia" w:ascii="仿宋" w:hAnsi="仿宋" w:eastAsia="仿宋" w:cs="仿宋"/>
          <w:sz w:val="28"/>
          <w:szCs w:val="28"/>
        </w:rPr>
        <w:t>招标编号：</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投标人名称：</w:t>
      </w:r>
      <w:r>
        <w:rPr>
          <w:rFonts w:hint="eastAsia" w:ascii="仿宋" w:hAnsi="仿宋" w:eastAsia="仿宋" w:cs="仿宋"/>
          <w:sz w:val="28"/>
          <w:szCs w:val="28"/>
          <w:u w:val="single"/>
        </w:rPr>
        <w:t xml:space="preserve">      </w:t>
      </w:r>
    </w:p>
    <w:tbl>
      <w:tblPr>
        <w:tblStyle w:val="13"/>
        <w:tblW w:w="8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2"/>
        <w:gridCol w:w="2309"/>
        <w:gridCol w:w="1373"/>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12" w:type="dxa"/>
            <w:tcBorders>
              <w:top w:val="single" w:color="auto" w:sz="4" w:space="0"/>
              <w:left w:val="single" w:color="auto" w:sz="4" w:space="0"/>
              <w:bottom w:val="single" w:color="auto" w:sz="4" w:space="0"/>
              <w:right w:val="single" w:color="auto" w:sz="4" w:space="0"/>
            </w:tcBorders>
            <w:vAlign w:val="bottom"/>
          </w:tcPr>
          <w:p>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ascii="仿宋" w:hAnsi="仿宋" w:eastAsia="仿宋" w:cs="仿宋"/>
                <w:sz w:val="28"/>
                <w:szCs w:val="28"/>
              </w:rPr>
            </w:pPr>
            <w:r>
              <w:rPr>
                <w:rFonts w:hint="eastAsia" w:ascii="仿宋" w:hAnsi="仿宋" w:eastAsia="仿宋" w:cs="仿宋"/>
                <w:sz w:val="28"/>
                <w:szCs w:val="28"/>
              </w:rPr>
              <w:t>项目名称</w:t>
            </w:r>
          </w:p>
        </w:tc>
        <w:tc>
          <w:tcPr>
            <w:tcW w:w="2309" w:type="dxa"/>
            <w:tcBorders>
              <w:top w:val="single" w:color="auto" w:sz="4" w:space="0"/>
              <w:left w:val="single" w:color="auto" w:sz="4" w:space="0"/>
              <w:bottom w:val="single" w:color="auto" w:sz="4" w:space="0"/>
              <w:right w:val="single" w:color="auto" w:sz="4" w:space="0"/>
            </w:tcBorders>
            <w:vAlign w:val="bottom"/>
          </w:tcPr>
          <w:p>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ascii="仿宋" w:hAnsi="仿宋" w:eastAsia="仿宋" w:cs="仿宋"/>
                <w:sz w:val="28"/>
                <w:szCs w:val="28"/>
              </w:rPr>
            </w:pPr>
            <w:r>
              <w:rPr>
                <w:rFonts w:hint="eastAsia" w:ascii="仿宋" w:hAnsi="仿宋" w:eastAsia="仿宋" w:cs="仿宋"/>
                <w:sz w:val="28"/>
                <w:szCs w:val="28"/>
              </w:rPr>
              <w:t>投标总价</w:t>
            </w:r>
          </w:p>
        </w:tc>
        <w:tc>
          <w:tcPr>
            <w:tcW w:w="1373" w:type="dxa"/>
            <w:tcBorders>
              <w:top w:val="single" w:color="auto" w:sz="4" w:space="0"/>
              <w:left w:val="single" w:color="auto" w:sz="4" w:space="0"/>
              <w:bottom w:val="single" w:color="auto" w:sz="4" w:space="0"/>
              <w:right w:val="single" w:color="auto" w:sz="4" w:space="0"/>
            </w:tcBorders>
          </w:tcPr>
          <w:p>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ascii="仿宋" w:hAnsi="仿宋" w:eastAsia="仿宋" w:cs="仿宋"/>
                <w:sz w:val="28"/>
                <w:szCs w:val="28"/>
              </w:rPr>
            </w:pPr>
            <w:r>
              <w:rPr>
                <w:rFonts w:hint="eastAsia" w:ascii="仿宋" w:hAnsi="仿宋" w:eastAsia="仿宋" w:cs="仿宋"/>
                <w:sz w:val="28"/>
                <w:szCs w:val="28"/>
              </w:rPr>
              <w:t>服务期</w:t>
            </w:r>
          </w:p>
        </w:tc>
        <w:tc>
          <w:tcPr>
            <w:tcW w:w="1849" w:type="dxa"/>
            <w:tcBorders>
              <w:top w:val="single" w:color="auto" w:sz="4" w:space="0"/>
              <w:left w:val="single" w:color="auto" w:sz="4" w:space="0"/>
              <w:bottom w:val="single" w:color="auto" w:sz="4" w:space="0"/>
              <w:right w:val="single" w:color="auto" w:sz="4" w:space="0"/>
            </w:tcBorders>
            <w:vAlign w:val="bottom"/>
          </w:tcPr>
          <w:p>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ascii="仿宋" w:hAnsi="仿宋" w:eastAsia="仿宋" w:cs="仿宋"/>
                <w:sz w:val="28"/>
                <w:szCs w:val="28"/>
              </w:rPr>
            </w:pPr>
            <w:r>
              <w:rPr>
                <w:rFonts w:hint="eastAsia" w:ascii="仿宋" w:hAnsi="仿宋" w:eastAsia="仿宋" w:cs="仿宋"/>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12" w:type="dxa"/>
            <w:tcBorders>
              <w:top w:val="single" w:color="auto" w:sz="4" w:space="0"/>
              <w:left w:val="single" w:color="auto" w:sz="4" w:space="0"/>
              <w:bottom w:val="single" w:color="auto" w:sz="4" w:space="0"/>
              <w:right w:val="single" w:color="auto" w:sz="4" w:space="0"/>
            </w:tcBorders>
          </w:tcPr>
          <w:p>
            <w:pPr>
              <w:tabs>
                <w:tab w:val="left" w:pos="654"/>
                <w:tab w:val="left" w:pos="1734"/>
                <w:tab w:val="left" w:pos="2814"/>
                <w:tab w:val="left" w:pos="3894"/>
                <w:tab w:val="left" w:pos="5334"/>
                <w:tab w:val="left" w:pos="6414"/>
                <w:tab w:val="left" w:pos="7254"/>
                <w:tab w:val="left" w:pos="8574"/>
                <w:tab w:val="left" w:pos="9654"/>
              </w:tabs>
              <w:spacing w:line="360" w:lineRule="auto"/>
              <w:rPr>
                <w:rFonts w:ascii="仿宋" w:hAnsi="仿宋" w:eastAsia="仿宋" w:cs="仿宋"/>
                <w:sz w:val="28"/>
                <w:szCs w:val="28"/>
              </w:rPr>
            </w:pPr>
          </w:p>
        </w:tc>
        <w:tc>
          <w:tcPr>
            <w:tcW w:w="2309" w:type="dxa"/>
            <w:tcBorders>
              <w:top w:val="single" w:color="auto" w:sz="4" w:space="0"/>
              <w:left w:val="single" w:color="auto" w:sz="4" w:space="0"/>
              <w:bottom w:val="single" w:color="auto" w:sz="4" w:space="0"/>
              <w:right w:val="single" w:color="auto" w:sz="4" w:space="0"/>
            </w:tcBorders>
          </w:tcPr>
          <w:p>
            <w:pPr>
              <w:tabs>
                <w:tab w:val="left" w:pos="654"/>
                <w:tab w:val="left" w:pos="1734"/>
                <w:tab w:val="left" w:pos="2814"/>
                <w:tab w:val="left" w:pos="3894"/>
                <w:tab w:val="left" w:pos="5334"/>
                <w:tab w:val="left" w:pos="6414"/>
                <w:tab w:val="left" w:pos="7254"/>
                <w:tab w:val="left" w:pos="8574"/>
                <w:tab w:val="left" w:pos="9654"/>
              </w:tabs>
              <w:spacing w:line="360" w:lineRule="auto"/>
              <w:rPr>
                <w:rFonts w:ascii="仿宋" w:hAnsi="仿宋" w:eastAsia="仿宋" w:cs="仿宋"/>
                <w:sz w:val="28"/>
                <w:szCs w:val="28"/>
              </w:rPr>
            </w:pPr>
            <w:r>
              <w:rPr>
                <w:rFonts w:hint="eastAsia" w:ascii="仿宋" w:hAnsi="仿宋" w:eastAsia="仿宋" w:cs="仿宋"/>
                <w:sz w:val="28"/>
                <w:szCs w:val="28"/>
              </w:rPr>
              <w:t>大写：</w:t>
            </w:r>
          </w:p>
          <w:p>
            <w:pPr>
              <w:tabs>
                <w:tab w:val="left" w:pos="654"/>
                <w:tab w:val="left" w:pos="1734"/>
                <w:tab w:val="left" w:pos="2814"/>
                <w:tab w:val="left" w:pos="3894"/>
                <w:tab w:val="left" w:pos="5334"/>
                <w:tab w:val="left" w:pos="6414"/>
                <w:tab w:val="left" w:pos="7254"/>
                <w:tab w:val="left" w:pos="8574"/>
                <w:tab w:val="left" w:pos="9654"/>
              </w:tabs>
              <w:spacing w:line="360" w:lineRule="auto"/>
              <w:rPr>
                <w:rFonts w:ascii="仿宋" w:hAnsi="仿宋" w:eastAsia="仿宋" w:cs="仿宋"/>
                <w:sz w:val="28"/>
                <w:szCs w:val="28"/>
              </w:rPr>
            </w:pPr>
            <w:r>
              <w:rPr>
                <w:rFonts w:hint="eastAsia" w:ascii="仿宋" w:hAnsi="仿宋" w:eastAsia="仿宋" w:cs="仿宋"/>
                <w:sz w:val="28"/>
                <w:szCs w:val="28"/>
              </w:rPr>
              <w:t>小写：</w:t>
            </w:r>
          </w:p>
        </w:tc>
        <w:tc>
          <w:tcPr>
            <w:tcW w:w="1373" w:type="dxa"/>
            <w:tcBorders>
              <w:top w:val="single" w:color="auto" w:sz="4" w:space="0"/>
              <w:left w:val="single" w:color="auto" w:sz="4" w:space="0"/>
              <w:bottom w:val="single" w:color="auto" w:sz="4" w:space="0"/>
              <w:right w:val="single" w:color="auto" w:sz="4" w:space="0"/>
            </w:tcBorders>
          </w:tcPr>
          <w:p>
            <w:pPr>
              <w:tabs>
                <w:tab w:val="left" w:pos="654"/>
                <w:tab w:val="left" w:pos="1734"/>
                <w:tab w:val="left" w:pos="2814"/>
                <w:tab w:val="left" w:pos="3894"/>
                <w:tab w:val="left" w:pos="5334"/>
                <w:tab w:val="left" w:pos="6414"/>
                <w:tab w:val="left" w:pos="7254"/>
                <w:tab w:val="left" w:pos="8574"/>
                <w:tab w:val="left" w:pos="9654"/>
              </w:tabs>
              <w:spacing w:line="360" w:lineRule="auto"/>
              <w:rPr>
                <w:rFonts w:ascii="仿宋" w:hAnsi="仿宋" w:eastAsia="仿宋" w:cs="仿宋"/>
                <w:sz w:val="28"/>
                <w:szCs w:val="28"/>
              </w:rPr>
            </w:pPr>
          </w:p>
        </w:tc>
        <w:tc>
          <w:tcPr>
            <w:tcW w:w="1849" w:type="dxa"/>
            <w:tcBorders>
              <w:top w:val="single" w:color="auto" w:sz="4" w:space="0"/>
              <w:left w:val="single" w:color="auto" w:sz="4" w:space="0"/>
              <w:bottom w:val="single" w:color="auto" w:sz="4" w:space="0"/>
              <w:right w:val="single" w:color="auto" w:sz="4" w:space="0"/>
            </w:tcBorders>
          </w:tcPr>
          <w:p>
            <w:pPr>
              <w:tabs>
                <w:tab w:val="left" w:pos="654"/>
                <w:tab w:val="left" w:pos="1734"/>
                <w:tab w:val="left" w:pos="2814"/>
                <w:tab w:val="left" w:pos="3894"/>
                <w:tab w:val="left" w:pos="5334"/>
                <w:tab w:val="left" w:pos="6414"/>
                <w:tab w:val="left" w:pos="7254"/>
                <w:tab w:val="left" w:pos="8574"/>
                <w:tab w:val="left" w:pos="9654"/>
              </w:tabs>
              <w:spacing w:line="360" w:lineRule="auto"/>
              <w:rPr>
                <w:rFonts w:ascii="仿宋" w:hAnsi="仿宋" w:eastAsia="仿宋" w:cs="仿宋"/>
                <w:sz w:val="28"/>
                <w:szCs w:val="28"/>
              </w:rPr>
            </w:pPr>
          </w:p>
        </w:tc>
      </w:tr>
    </w:tbl>
    <w:p>
      <w:pP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联系人：                         联系电话：</w:t>
      </w:r>
    </w:p>
    <w:p>
      <w:pPr>
        <w:rPr>
          <w:rFonts w:ascii="仿宋" w:hAnsi="仿宋" w:eastAsia="仿宋" w:cs="仿宋"/>
          <w:sz w:val="28"/>
          <w:szCs w:val="28"/>
        </w:rPr>
      </w:pPr>
    </w:p>
    <w:p>
      <w:pPr>
        <w:adjustRightInd w:val="0"/>
        <w:snapToGrid w:val="0"/>
        <w:spacing w:line="500" w:lineRule="exact"/>
        <w:ind w:firstLine="560" w:firstLineChars="200"/>
        <w:jc w:val="center"/>
        <w:rPr>
          <w:rFonts w:ascii="仿宋" w:hAnsi="仿宋" w:eastAsia="仿宋" w:cs="仿宋"/>
          <w:sz w:val="28"/>
          <w:szCs w:val="28"/>
        </w:rPr>
      </w:pPr>
      <w:r>
        <w:rPr>
          <w:rFonts w:hint="eastAsia" w:ascii="仿宋" w:hAnsi="仿宋" w:eastAsia="仿宋" w:cs="仿宋"/>
          <w:sz w:val="28"/>
          <w:szCs w:val="28"/>
        </w:rPr>
        <w:t xml:space="preserve">                            投标人（公章）： </w:t>
      </w:r>
    </w:p>
    <w:p>
      <w:pPr>
        <w:adjustRightInd w:val="0"/>
        <w:snapToGrid w:val="0"/>
        <w:spacing w:line="500" w:lineRule="exact"/>
        <w:ind w:firstLine="560" w:firstLineChars="200"/>
        <w:jc w:val="right"/>
        <w:rPr>
          <w:rFonts w:ascii="仿宋" w:hAnsi="仿宋" w:eastAsia="仿宋" w:cs="仿宋"/>
          <w:sz w:val="28"/>
          <w:szCs w:val="28"/>
        </w:rPr>
      </w:pPr>
      <w:r>
        <w:rPr>
          <w:rFonts w:hint="eastAsia" w:ascii="仿宋" w:hAnsi="仿宋" w:eastAsia="仿宋" w:cs="仿宋"/>
          <w:sz w:val="28"/>
          <w:szCs w:val="28"/>
        </w:rPr>
        <w:t>法定代表人或授权代表签名：</w:t>
      </w:r>
    </w:p>
    <w:p>
      <w:pPr>
        <w:adjustRightInd w:val="0"/>
        <w:snapToGrid w:val="0"/>
        <w:spacing w:line="500" w:lineRule="exact"/>
        <w:ind w:firstLine="560" w:firstLineChars="200"/>
        <w:jc w:val="center"/>
        <w:rPr>
          <w:rFonts w:ascii="仿宋" w:hAnsi="仿宋" w:eastAsia="仿宋" w:cs="仿宋"/>
          <w:sz w:val="28"/>
          <w:szCs w:val="28"/>
        </w:rPr>
      </w:pPr>
      <w:r>
        <w:rPr>
          <w:rFonts w:hint="eastAsia" w:ascii="仿宋" w:hAnsi="仿宋" w:eastAsia="仿宋" w:cs="仿宋"/>
          <w:sz w:val="28"/>
          <w:szCs w:val="28"/>
        </w:rPr>
        <w:t xml:space="preserve">                           日期：    年  月  日</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注：</w:t>
      </w:r>
    </w:p>
    <w:p>
      <w:pPr>
        <w:pStyle w:val="7"/>
        <w:rPr>
          <w:rFonts w:ascii="仿宋" w:hAnsi="仿宋" w:eastAsia="仿宋" w:cs="仿宋"/>
          <w:sz w:val="28"/>
          <w:szCs w:val="28"/>
        </w:rPr>
      </w:pPr>
      <w:r>
        <w:rPr>
          <w:rFonts w:hint="eastAsia" w:ascii="仿宋" w:hAnsi="仿宋" w:eastAsia="仿宋" w:cs="仿宋"/>
          <w:sz w:val="28"/>
          <w:szCs w:val="28"/>
        </w:rPr>
        <w:t>1.此表为投标文件的组成部分，须附在正、副本的投标文件中，并另封装一份于开标信封中（信封中须同时提供法定代表人证明书、法定代表人授权委托书、被授权人身份证复印件）。</w:t>
      </w:r>
    </w:p>
    <w:p>
      <w:pPr>
        <w:pStyle w:val="7"/>
        <w:rPr>
          <w:rFonts w:ascii="仿宋" w:hAnsi="仿宋" w:eastAsia="仿宋" w:cs="仿宋"/>
          <w:sz w:val="28"/>
          <w:szCs w:val="28"/>
        </w:rPr>
      </w:pPr>
      <w:r>
        <w:rPr>
          <w:rFonts w:hint="eastAsia" w:ascii="仿宋" w:hAnsi="仿宋" w:eastAsia="仿宋" w:cs="仿宋"/>
          <w:sz w:val="28"/>
          <w:szCs w:val="28"/>
        </w:rPr>
        <w:t>2.此表内投标报价为最终价，开标信封及投标文件内不得含有任何对本报价进行修改的其他说明或资料，否则为无效投标。</w:t>
      </w:r>
    </w:p>
    <w:p>
      <w:r>
        <w:rPr>
          <w:rFonts w:hint="eastAsia"/>
        </w:rPr>
        <w:br w:type="page"/>
      </w:r>
    </w:p>
    <w:p>
      <w:pPr>
        <w:jc w:val="left"/>
        <w:rPr>
          <w:rFonts w:ascii="宋体" w:hAnsi="宋体" w:eastAsia="宋体" w:cs="宋体"/>
          <w:b/>
          <w:bCs/>
          <w:sz w:val="32"/>
          <w:szCs w:val="40"/>
        </w:rPr>
      </w:pPr>
      <w:r>
        <w:rPr>
          <w:rFonts w:hint="eastAsia" w:ascii="宋体" w:hAnsi="宋体" w:eastAsia="宋体" w:cs="宋体"/>
          <w:b/>
          <w:bCs/>
          <w:sz w:val="32"/>
          <w:szCs w:val="40"/>
        </w:rPr>
        <w:t>附件6</w:t>
      </w:r>
    </w:p>
    <w:p>
      <w:pPr>
        <w:jc w:val="center"/>
        <w:rPr>
          <w:b/>
          <w:bCs/>
          <w:sz w:val="32"/>
          <w:szCs w:val="40"/>
        </w:rPr>
      </w:pPr>
      <w:r>
        <w:rPr>
          <w:rFonts w:hint="eastAsia"/>
          <w:b/>
          <w:bCs/>
          <w:sz w:val="32"/>
          <w:szCs w:val="40"/>
        </w:rPr>
        <w:t>参加政府采购活动近三年内，在经营活动中没有</w:t>
      </w:r>
    </w:p>
    <w:p>
      <w:pPr>
        <w:jc w:val="center"/>
        <w:rPr>
          <w:b/>
          <w:bCs/>
          <w:sz w:val="32"/>
          <w:szCs w:val="40"/>
        </w:rPr>
      </w:pPr>
      <w:r>
        <w:rPr>
          <w:rFonts w:hint="eastAsia"/>
          <w:b/>
          <w:bCs/>
          <w:sz w:val="32"/>
          <w:szCs w:val="40"/>
        </w:rPr>
        <w:t>重大违法记录的声明函</w:t>
      </w:r>
    </w:p>
    <w:p>
      <w:pPr>
        <w:spacing w:line="360" w:lineRule="auto"/>
        <w:rPr>
          <w:rFonts w:ascii="仿宋" w:hAnsi="仿宋" w:eastAsia="仿宋" w:cs="仿宋"/>
          <w:sz w:val="28"/>
          <w:szCs w:val="28"/>
        </w:rPr>
      </w:pPr>
      <w:r>
        <w:rPr>
          <w:rFonts w:hint="eastAsia" w:ascii="仿宋" w:hAnsi="仿宋" w:eastAsia="仿宋" w:cs="仿宋"/>
          <w:sz w:val="28"/>
          <w:szCs w:val="28"/>
        </w:rPr>
        <w:t>致深圳市坪山区碧岭街道办事处：</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我公司在参与贵单位组织的</w:t>
      </w:r>
      <w:r>
        <w:rPr>
          <w:rFonts w:hint="eastAsia" w:ascii="仿宋" w:hAnsi="仿宋" w:eastAsia="仿宋" w:cs="仿宋"/>
          <w:sz w:val="28"/>
          <w:szCs w:val="28"/>
          <w:u w:val="single"/>
        </w:rPr>
        <w:t xml:space="preserve">       （项目名称）        </w:t>
      </w:r>
      <w:r>
        <w:rPr>
          <w:rFonts w:hint="eastAsia" w:ascii="仿宋" w:hAnsi="仿宋" w:eastAsia="仿宋" w:cs="仿宋"/>
          <w:sz w:val="28"/>
          <w:szCs w:val="28"/>
        </w:rPr>
        <w:t>（项目编号：</w:t>
      </w:r>
      <w:r>
        <w:rPr>
          <w:rFonts w:hint="eastAsia" w:ascii="仿宋" w:hAnsi="仿宋" w:eastAsia="仿宋" w:cs="仿宋"/>
          <w:sz w:val="28"/>
          <w:szCs w:val="28"/>
          <w:u w:val="single"/>
        </w:rPr>
        <w:t xml:space="preserve">          </w:t>
      </w:r>
      <w:r>
        <w:rPr>
          <w:rFonts w:hint="eastAsia" w:ascii="仿宋" w:hAnsi="仿宋" w:eastAsia="仿宋" w:cs="仿宋"/>
          <w:sz w:val="28"/>
          <w:szCs w:val="28"/>
        </w:rPr>
        <w:t>） 政府采购活动近三年内，在经营活动中没有重大违法记录。</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我公司对该声明的真实性负责，如有不实，自愿接受法律制裁</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特此声明。</w:t>
      </w:r>
    </w:p>
    <w:p>
      <w:pPr>
        <w:ind w:left="420" w:leftChars="200"/>
        <w:jc w:val="left"/>
        <w:rPr>
          <w:rFonts w:ascii="仿宋" w:hAnsi="仿宋" w:eastAsia="仿宋" w:cs="仿宋"/>
          <w:sz w:val="28"/>
          <w:szCs w:val="28"/>
        </w:rPr>
      </w:pPr>
      <w:r>
        <w:rPr>
          <w:rFonts w:hint="eastAsia"/>
        </w:rPr>
        <w:t xml:space="preserve">                                   </w:t>
      </w:r>
    </w:p>
    <w:p>
      <w:pPr>
        <w:adjustRightInd w:val="0"/>
        <w:snapToGrid w:val="0"/>
        <w:spacing w:line="500" w:lineRule="exact"/>
        <w:ind w:firstLine="560" w:firstLineChars="200"/>
        <w:jc w:val="center"/>
        <w:rPr>
          <w:rFonts w:ascii="仿宋" w:hAnsi="仿宋" w:eastAsia="仿宋" w:cs="仿宋"/>
          <w:sz w:val="28"/>
          <w:szCs w:val="28"/>
        </w:rPr>
      </w:pPr>
      <w:r>
        <w:rPr>
          <w:rFonts w:hint="eastAsia" w:ascii="仿宋" w:hAnsi="仿宋" w:eastAsia="仿宋" w:cs="仿宋"/>
          <w:sz w:val="28"/>
          <w:szCs w:val="28"/>
        </w:rPr>
        <w:t xml:space="preserve">                           投标人（公章）： </w:t>
      </w:r>
    </w:p>
    <w:p>
      <w:pPr>
        <w:adjustRightInd w:val="0"/>
        <w:snapToGrid w:val="0"/>
        <w:spacing w:line="500" w:lineRule="exact"/>
        <w:ind w:firstLine="560" w:firstLineChars="200"/>
        <w:jc w:val="right"/>
        <w:rPr>
          <w:rFonts w:ascii="仿宋" w:hAnsi="仿宋" w:eastAsia="仿宋" w:cs="仿宋"/>
          <w:sz w:val="28"/>
          <w:szCs w:val="28"/>
        </w:rPr>
      </w:pPr>
      <w:r>
        <w:rPr>
          <w:rFonts w:hint="eastAsia" w:ascii="仿宋" w:hAnsi="仿宋" w:eastAsia="仿宋" w:cs="仿宋"/>
          <w:sz w:val="28"/>
          <w:szCs w:val="28"/>
        </w:rPr>
        <w:t>法定代表人或授权代表签名：</w:t>
      </w:r>
    </w:p>
    <w:p>
      <w:pPr>
        <w:adjustRightInd w:val="0"/>
        <w:snapToGrid w:val="0"/>
        <w:spacing w:line="500" w:lineRule="exact"/>
        <w:ind w:firstLine="560" w:firstLineChars="200"/>
        <w:jc w:val="center"/>
        <w:rPr>
          <w:rFonts w:ascii="仿宋" w:hAnsi="仿宋" w:eastAsia="仿宋" w:cs="仿宋"/>
          <w:sz w:val="28"/>
          <w:szCs w:val="28"/>
        </w:rPr>
      </w:pPr>
      <w:r>
        <w:rPr>
          <w:rFonts w:hint="eastAsia" w:ascii="仿宋" w:hAnsi="仿宋" w:eastAsia="仿宋" w:cs="仿宋"/>
          <w:sz w:val="28"/>
          <w:szCs w:val="28"/>
        </w:rPr>
        <w:t xml:space="preserve">                           日期：    年  月  日</w:t>
      </w:r>
    </w:p>
    <w:p>
      <w:pPr>
        <w:adjustRightInd w:val="0"/>
        <w:snapToGrid w:val="0"/>
        <w:spacing w:line="500" w:lineRule="exact"/>
        <w:ind w:firstLine="560" w:firstLineChars="200"/>
        <w:jc w:val="right"/>
        <w:rPr>
          <w:rFonts w:ascii="仿宋" w:hAnsi="仿宋" w:eastAsia="仿宋" w:cs="仿宋"/>
          <w:sz w:val="28"/>
          <w:szCs w:val="28"/>
        </w:rPr>
      </w:pPr>
    </w:p>
    <w:p>
      <w:r>
        <w:rPr>
          <w:rFonts w:hint="eastAsia" w:ascii="宋体" w:hAnsi="宋体"/>
        </w:rPr>
        <w:br w:type="page"/>
      </w:r>
    </w:p>
    <w:p>
      <w:pPr>
        <w:jc w:val="left"/>
        <w:rPr>
          <w:rFonts w:ascii="宋体" w:hAnsi="宋体" w:eastAsia="宋体" w:cs="宋体"/>
          <w:b/>
          <w:bCs/>
          <w:sz w:val="32"/>
          <w:szCs w:val="40"/>
        </w:rPr>
      </w:pPr>
      <w:r>
        <w:rPr>
          <w:rFonts w:hint="eastAsia" w:ascii="宋体" w:hAnsi="宋体" w:eastAsia="宋体" w:cs="宋体"/>
          <w:b/>
          <w:bCs/>
          <w:sz w:val="32"/>
          <w:szCs w:val="40"/>
        </w:rPr>
        <w:t>附件7</w:t>
      </w:r>
    </w:p>
    <w:p>
      <w:pPr>
        <w:jc w:val="center"/>
        <w:rPr>
          <w:b/>
          <w:bCs/>
          <w:sz w:val="32"/>
          <w:szCs w:val="40"/>
        </w:rPr>
      </w:pPr>
      <w:r>
        <w:rPr>
          <w:rFonts w:hint="eastAsia"/>
          <w:b/>
          <w:bCs/>
          <w:sz w:val="32"/>
          <w:szCs w:val="40"/>
        </w:rPr>
        <w:t xml:space="preserve">  关于不存在处于被禁止参与政府采购活动期限内情形的声明函</w:t>
      </w:r>
    </w:p>
    <w:p>
      <w:pPr>
        <w:spacing w:line="360" w:lineRule="auto"/>
        <w:rPr>
          <w:rFonts w:ascii="仿宋" w:hAnsi="仿宋" w:eastAsia="仿宋" w:cs="仿宋"/>
          <w:sz w:val="28"/>
          <w:szCs w:val="28"/>
        </w:rPr>
      </w:pPr>
      <w:r>
        <w:rPr>
          <w:rFonts w:hint="eastAsia" w:ascii="仿宋" w:hAnsi="仿宋" w:eastAsia="仿宋" w:cs="仿宋"/>
          <w:sz w:val="28"/>
          <w:szCs w:val="28"/>
        </w:rPr>
        <w:t>致深圳市坪山区碧岭街道办事处：</w:t>
      </w:r>
    </w:p>
    <w:p>
      <w:pPr>
        <w:ind w:firstLine="560" w:firstLineChars="200"/>
        <w:jc w:val="left"/>
        <w:rPr>
          <w:rFonts w:ascii="仿宋" w:hAnsi="仿宋" w:eastAsia="仿宋" w:cs="仿宋"/>
          <w:sz w:val="28"/>
          <w:szCs w:val="28"/>
        </w:rPr>
      </w:pPr>
      <w:r>
        <w:rPr>
          <w:rFonts w:hint="eastAsia" w:ascii="仿宋" w:hAnsi="仿宋" w:eastAsia="仿宋" w:cs="仿宋"/>
          <w:sz w:val="28"/>
          <w:szCs w:val="28"/>
        </w:rPr>
        <w:t>我公司在参与贵单位组织的</w:t>
      </w:r>
      <w:r>
        <w:rPr>
          <w:rFonts w:hint="eastAsia" w:ascii="仿宋" w:hAnsi="仿宋" w:eastAsia="仿宋" w:cs="仿宋"/>
          <w:sz w:val="28"/>
          <w:szCs w:val="28"/>
          <w:u w:val="single"/>
        </w:rPr>
        <w:t xml:space="preserve">       （项目名称）        </w:t>
      </w:r>
      <w:r>
        <w:rPr>
          <w:rFonts w:hint="eastAsia" w:ascii="仿宋" w:hAnsi="仿宋" w:eastAsia="仿宋" w:cs="仿宋"/>
          <w:sz w:val="28"/>
          <w:szCs w:val="28"/>
        </w:rPr>
        <w:t>（项目编号：</w:t>
      </w:r>
      <w:r>
        <w:rPr>
          <w:rFonts w:hint="eastAsia" w:ascii="仿宋" w:hAnsi="仿宋" w:eastAsia="仿宋" w:cs="仿宋"/>
          <w:sz w:val="28"/>
          <w:szCs w:val="28"/>
          <w:u w:val="single"/>
        </w:rPr>
        <w:t xml:space="preserve">          </w:t>
      </w:r>
      <w:r>
        <w:rPr>
          <w:rFonts w:hint="eastAsia" w:ascii="仿宋" w:hAnsi="仿宋" w:eastAsia="仿宋" w:cs="仿宋"/>
          <w:sz w:val="28"/>
          <w:szCs w:val="28"/>
        </w:rPr>
        <w:t>） 政府采购活动时，不存在处于被禁止参与政府采购活动期限内情形。</w:t>
      </w:r>
    </w:p>
    <w:p>
      <w:pPr>
        <w:ind w:firstLine="560" w:firstLineChars="200"/>
        <w:jc w:val="left"/>
        <w:rPr>
          <w:rFonts w:ascii="仿宋" w:hAnsi="仿宋" w:eastAsia="仿宋" w:cs="仿宋"/>
          <w:sz w:val="32"/>
          <w:szCs w:val="32"/>
        </w:rPr>
      </w:pPr>
      <w:r>
        <w:rPr>
          <w:rFonts w:hint="eastAsia" w:ascii="仿宋" w:hAnsi="仿宋" w:eastAsia="仿宋" w:cs="仿宋"/>
          <w:sz w:val="28"/>
          <w:szCs w:val="28"/>
        </w:rPr>
        <w:t>我公司对该声明的真实性负责，如有不实，自愿接受法律制裁</w:t>
      </w:r>
      <w:r>
        <w:rPr>
          <w:rFonts w:hint="eastAsia" w:ascii="仿宋" w:hAnsi="仿宋" w:eastAsia="仿宋" w:cs="仿宋"/>
          <w:sz w:val="32"/>
          <w:szCs w:val="32"/>
        </w:rPr>
        <w:t>。</w:t>
      </w:r>
    </w:p>
    <w:p>
      <w:pPr>
        <w:ind w:left="420" w:leftChars="200"/>
        <w:jc w:val="left"/>
        <w:rPr>
          <w:rFonts w:ascii="仿宋" w:hAnsi="仿宋" w:eastAsia="仿宋" w:cs="仿宋"/>
          <w:sz w:val="28"/>
          <w:szCs w:val="28"/>
        </w:rPr>
      </w:pPr>
    </w:p>
    <w:p>
      <w:pPr>
        <w:adjustRightInd w:val="0"/>
        <w:snapToGrid w:val="0"/>
        <w:spacing w:line="500" w:lineRule="exact"/>
        <w:ind w:firstLine="560" w:firstLineChars="200"/>
        <w:jc w:val="center"/>
        <w:rPr>
          <w:rFonts w:ascii="仿宋" w:hAnsi="仿宋" w:eastAsia="仿宋" w:cs="仿宋"/>
          <w:sz w:val="28"/>
          <w:szCs w:val="28"/>
        </w:rPr>
      </w:pPr>
      <w:r>
        <w:rPr>
          <w:rFonts w:hint="eastAsia" w:ascii="仿宋" w:hAnsi="仿宋" w:eastAsia="仿宋" w:cs="仿宋"/>
          <w:sz w:val="28"/>
          <w:szCs w:val="28"/>
        </w:rPr>
        <w:t xml:space="preserve">                         投标人（公章）： </w:t>
      </w:r>
    </w:p>
    <w:p>
      <w:pPr>
        <w:adjustRightInd w:val="0"/>
        <w:snapToGrid w:val="0"/>
        <w:spacing w:line="500" w:lineRule="exact"/>
        <w:ind w:firstLine="560" w:firstLineChars="200"/>
        <w:jc w:val="right"/>
        <w:rPr>
          <w:rFonts w:ascii="仿宋" w:hAnsi="仿宋" w:eastAsia="仿宋" w:cs="仿宋"/>
          <w:sz w:val="28"/>
          <w:szCs w:val="28"/>
        </w:rPr>
      </w:pPr>
      <w:r>
        <w:rPr>
          <w:rFonts w:hint="eastAsia" w:ascii="仿宋" w:hAnsi="仿宋" w:eastAsia="仿宋" w:cs="仿宋"/>
          <w:sz w:val="28"/>
          <w:szCs w:val="28"/>
        </w:rPr>
        <w:t>法定代表人或授权代表签名：</w:t>
      </w:r>
    </w:p>
    <w:p>
      <w:pPr>
        <w:adjustRightInd w:val="0"/>
        <w:snapToGrid w:val="0"/>
        <w:spacing w:line="500" w:lineRule="exact"/>
        <w:ind w:firstLine="560" w:firstLineChars="200"/>
        <w:jc w:val="center"/>
        <w:rPr>
          <w:rFonts w:ascii="仿宋" w:hAnsi="仿宋" w:eastAsia="仿宋" w:cs="仿宋"/>
          <w:sz w:val="28"/>
          <w:szCs w:val="28"/>
        </w:rPr>
      </w:pPr>
      <w:r>
        <w:rPr>
          <w:rFonts w:hint="eastAsia" w:ascii="仿宋" w:hAnsi="仿宋" w:eastAsia="仿宋" w:cs="仿宋"/>
          <w:sz w:val="28"/>
          <w:szCs w:val="28"/>
        </w:rPr>
        <w:t xml:space="preserve">                           日期：    年  月  日</w:t>
      </w:r>
    </w:p>
    <w:p>
      <w:pPr>
        <w:adjustRightInd w:val="0"/>
        <w:snapToGrid w:val="0"/>
        <w:spacing w:line="500" w:lineRule="exact"/>
        <w:ind w:firstLine="560" w:firstLineChars="200"/>
        <w:jc w:val="right"/>
        <w:rPr>
          <w:rFonts w:ascii="仿宋" w:hAnsi="仿宋" w:eastAsia="仿宋" w:cs="仿宋"/>
          <w:sz w:val="28"/>
          <w:szCs w:val="28"/>
        </w:rPr>
      </w:pPr>
    </w:p>
    <w:p>
      <w:pPr>
        <w:spacing w:line="360" w:lineRule="auto"/>
        <w:rPr>
          <w:rFonts w:ascii="仿宋" w:hAnsi="仿宋" w:eastAsia="仿宋" w:cs="仿宋"/>
          <w:b/>
          <w:sz w:val="24"/>
        </w:rPr>
      </w:pPr>
    </w:p>
    <w:p>
      <w:pPr>
        <w:widowControl/>
        <w:adjustRightInd w:val="0"/>
        <w:snapToGrid w:val="0"/>
        <w:spacing w:line="500" w:lineRule="exact"/>
        <w:ind w:firstLine="2871" w:firstLineChars="650"/>
        <w:rPr>
          <w:rFonts w:ascii="宋体" w:hAnsi="宋体" w:cs="仿宋"/>
          <w:b/>
          <w:bCs/>
          <w:sz w:val="44"/>
          <w:szCs w:val="44"/>
        </w:rPr>
      </w:pPr>
    </w:p>
    <w:p>
      <w:pPr>
        <w:widowControl/>
        <w:adjustRightInd w:val="0"/>
        <w:snapToGrid w:val="0"/>
        <w:spacing w:line="500" w:lineRule="exact"/>
        <w:ind w:firstLine="2871" w:firstLineChars="650"/>
        <w:rPr>
          <w:rFonts w:ascii="宋体" w:hAnsi="宋体" w:cs="仿宋"/>
          <w:b/>
          <w:bCs/>
          <w:sz w:val="44"/>
          <w:szCs w:val="44"/>
        </w:rPr>
      </w:pPr>
    </w:p>
    <w:p>
      <w:pPr>
        <w:rPr>
          <w:rFonts w:ascii="宋体" w:hAnsi="宋体" w:cs="仿宋"/>
          <w:b/>
          <w:bCs/>
          <w:sz w:val="44"/>
          <w:szCs w:val="44"/>
        </w:rPr>
      </w:pPr>
    </w:p>
    <w:p>
      <w:pPr>
        <w:spacing w:line="360" w:lineRule="auto"/>
        <w:rPr>
          <w:rFonts w:ascii="宋体" w:hAnsi="宋体" w:eastAsia="宋体" w:cs="仿宋"/>
          <w:b/>
          <w:bCs/>
          <w:kern w:val="0"/>
          <w:sz w:val="24"/>
        </w:rPr>
      </w:pPr>
    </w:p>
    <w:p>
      <w:pPr>
        <w:rPr>
          <w:rFonts w:ascii="宋体" w:hAnsi="宋体"/>
        </w:rPr>
      </w:pPr>
    </w:p>
    <w:p>
      <w:pPr>
        <w:widowControl/>
        <w:adjustRightInd w:val="0"/>
        <w:snapToGrid w:val="0"/>
        <w:spacing w:line="500" w:lineRule="exact"/>
        <w:ind w:firstLine="2871" w:firstLineChars="650"/>
        <w:rPr>
          <w:rFonts w:ascii="宋体" w:hAnsi="宋体" w:eastAsia="宋体" w:cs="仿宋"/>
          <w:b/>
          <w:bCs/>
          <w:sz w:val="44"/>
          <w:szCs w:val="44"/>
        </w:rPr>
      </w:pPr>
      <w:r>
        <w:rPr>
          <w:rFonts w:hint="eastAsia" w:ascii="宋体" w:hAnsi="宋体" w:eastAsia="宋体" w:cs="仿宋"/>
          <w:b/>
          <w:bCs/>
          <w:sz w:val="44"/>
          <w:szCs w:val="44"/>
        </w:rPr>
        <w:br w:type="page"/>
      </w:r>
    </w:p>
    <w:p>
      <w:pPr>
        <w:jc w:val="left"/>
        <w:rPr>
          <w:rFonts w:ascii="宋体" w:hAnsi="宋体" w:eastAsia="宋体" w:cs="宋体"/>
          <w:b/>
          <w:bCs/>
          <w:sz w:val="32"/>
          <w:szCs w:val="40"/>
        </w:rPr>
      </w:pPr>
      <w:r>
        <w:rPr>
          <w:rFonts w:hint="eastAsia" w:ascii="宋体" w:hAnsi="宋体" w:eastAsia="宋体" w:cs="宋体"/>
          <w:b/>
          <w:bCs/>
          <w:sz w:val="32"/>
          <w:szCs w:val="40"/>
        </w:rPr>
        <w:t>附件8</w:t>
      </w:r>
    </w:p>
    <w:p>
      <w:pPr>
        <w:widowControl/>
        <w:adjustRightInd w:val="0"/>
        <w:snapToGrid w:val="0"/>
        <w:spacing w:line="500" w:lineRule="exact"/>
        <w:jc w:val="center"/>
        <w:rPr>
          <w:rFonts w:ascii="宋体" w:hAnsi="宋体" w:cs="仿宋"/>
          <w:sz w:val="28"/>
          <w:szCs w:val="28"/>
        </w:rPr>
      </w:pPr>
      <w:r>
        <w:rPr>
          <w:rFonts w:hint="eastAsia" w:ascii="宋体" w:hAnsi="宋体" w:eastAsia="宋体" w:cs="仿宋"/>
          <w:b/>
          <w:bCs/>
          <w:sz w:val="32"/>
          <w:szCs w:val="32"/>
        </w:rPr>
        <w:t>投标承诺书</w:t>
      </w:r>
    </w:p>
    <w:p>
      <w:pPr>
        <w:adjustRightInd w:val="0"/>
        <w:snapToGrid w:val="0"/>
        <w:spacing w:line="500" w:lineRule="exact"/>
        <w:ind w:right="-218" w:rightChars="-104"/>
        <w:rPr>
          <w:rFonts w:ascii="仿宋" w:hAnsi="仿宋" w:eastAsia="仿宋" w:cs="仿宋"/>
          <w:sz w:val="28"/>
          <w:szCs w:val="28"/>
          <w:u w:val="single"/>
        </w:rPr>
      </w:pPr>
      <w:r>
        <w:rPr>
          <w:rFonts w:hint="eastAsia" w:ascii="仿宋" w:hAnsi="仿宋" w:eastAsia="仿宋" w:cs="仿宋"/>
          <w:sz w:val="28"/>
          <w:szCs w:val="28"/>
        </w:rPr>
        <w:t>致深圳市坪山区碧岭街道办事处：</w:t>
      </w:r>
    </w:p>
    <w:p>
      <w:pPr>
        <w:adjustRightInd w:val="0"/>
        <w:snapToGrid w:val="0"/>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我方决定参加贵方项目的竞标邀请，并完全接受贵方对该项目的具体要求和标准等所有内容。为此,我方作出如下承诺：</w:t>
      </w:r>
    </w:p>
    <w:p>
      <w:pPr>
        <w:adjustRightInd w:val="0"/>
        <w:snapToGrid w:val="0"/>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1.我方完全了解本项目的具体情况、费用、质量水平、标准和中标方式等，并保证严格按照相关标准实施。</w:t>
      </w:r>
    </w:p>
    <w:p>
      <w:pPr>
        <w:adjustRightInd w:val="0"/>
        <w:snapToGrid w:val="0"/>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2.我方同意参与竞标，并保证在规定时间内将密封的竞标资料送碧岭街道办事处采购单位。</w:t>
      </w:r>
    </w:p>
    <w:p>
      <w:pPr>
        <w:adjustRightInd w:val="0"/>
        <w:snapToGrid w:val="0"/>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3.我方同意本项目在符合采购需求、质量和服务且综合评分最高的情况下确定中标单位。</w:t>
      </w:r>
    </w:p>
    <w:p>
      <w:pPr>
        <w:adjustRightInd w:val="0"/>
        <w:snapToGrid w:val="0"/>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4.如我方中标，我方保证派出合格的项目管理班子及专业技术人员组织本项目的实施。</w:t>
      </w:r>
    </w:p>
    <w:p>
      <w:pPr>
        <w:adjustRightInd w:val="0"/>
        <w:snapToGrid w:val="0"/>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5.如我方中标后不能按采购单位要求提供货物或服务的，应在收到采购单位通知后10日（工作日）内予以答复处理，如10日内不予答复处理或在答复期限满后20日（工作日）内不予处理的，采购单位可以不予验收，并对相关项目重新进行采购。同时，三年内不参与碧岭街道办事处任何采购项目的报名投标。</w:t>
      </w:r>
    </w:p>
    <w:p>
      <w:pPr>
        <w:adjustRightInd w:val="0"/>
        <w:snapToGrid w:val="0"/>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6.我方保证严格执行有关法律、法规、规章、规范性文件的规定,未经招标人同意不自行挂靠、转包、分包第三方。</w:t>
      </w:r>
    </w:p>
    <w:p>
      <w:pPr>
        <w:adjustRightInd w:val="0"/>
        <w:snapToGrid w:val="0"/>
        <w:spacing w:line="500" w:lineRule="exact"/>
        <w:rPr>
          <w:rFonts w:ascii="仿宋" w:hAnsi="仿宋" w:eastAsia="仿宋" w:cs="仿宋"/>
          <w:sz w:val="28"/>
          <w:szCs w:val="28"/>
        </w:rPr>
      </w:pPr>
    </w:p>
    <w:p>
      <w:pPr>
        <w:adjustRightInd w:val="0"/>
        <w:snapToGrid w:val="0"/>
        <w:spacing w:line="500" w:lineRule="exact"/>
        <w:ind w:firstLine="560" w:firstLineChars="200"/>
        <w:jc w:val="center"/>
        <w:rPr>
          <w:rFonts w:ascii="仿宋" w:hAnsi="仿宋" w:eastAsia="仿宋" w:cs="仿宋"/>
          <w:sz w:val="28"/>
          <w:szCs w:val="28"/>
        </w:rPr>
      </w:pPr>
      <w:r>
        <w:rPr>
          <w:rFonts w:hint="eastAsia" w:ascii="仿宋" w:hAnsi="仿宋" w:eastAsia="仿宋" w:cs="仿宋"/>
          <w:sz w:val="28"/>
          <w:szCs w:val="28"/>
        </w:rPr>
        <w:t xml:space="preserve">                      投标人（公章）： </w:t>
      </w:r>
    </w:p>
    <w:p>
      <w:pPr>
        <w:adjustRightInd w:val="0"/>
        <w:snapToGrid w:val="0"/>
        <w:spacing w:line="500" w:lineRule="exact"/>
        <w:ind w:firstLine="560" w:firstLineChars="200"/>
        <w:jc w:val="right"/>
        <w:rPr>
          <w:rFonts w:ascii="仿宋" w:hAnsi="仿宋" w:eastAsia="仿宋" w:cs="仿宋"/>
          <w:sz w:val="28"/>
          <w:szCs w:val="28"/>
        </w:rPr>
      </w:pPr>
      <w:r>
        <w:rPr>
          <w:rFonts w:hint="eastAsia" w:ascii="仿宋" w:hAnsi="仿宋" w:eastAsia="仿宋" w:cs="仿宋"/>
          <w:sz w:val="28"/>
          <w:szCs w:val="28"/>
        </w:rPr>
        <w:t>法定代表人或授权代表签名：</w:t>
      </w:r>
    </w:p>
    <w:p>
      <w:pPr>
        <w:adjustRightInd w:val="0"/>
        <w:snapToGrid w:val="0"/>
        <w:spacing w:line="500" w:lineRule="exact"/>
        <w:ind w:firstLine="560" w:firstLineChars="200"/>
        <w:jc w:val="center"/>
        <w:rPr>
          <w:rFonts w:ascii="仿宋" w:hAnsi="仿宋" w:eastAsia="仿宋" w:cs="仿宋"/>
          <w:sz w:val="28"/>
          <w:szCs w:val="28"/>
        </w:rPr>
      </w:pPr>
      <w:r>
        <w:rPr>
          <w:rFonts w:hint="eastAsia" w:ascii="仿宋" w:hAnsi="仿宋" w:eastAsia="仿宋" w:cs="仿宋"/>
          <w:sz w:val="28"/>
          <w:szCs w:val="28"/>
        </w:rPr>
        <w:t xml:space="preserve">                           日期：    年  月  日</w:t>
      </w:r>
    </w:p>
    <w:p>
      <w:pPr>
        <w:adjustRightInd w:val="0"/>
        <w:snapToGrid w:val="0"/>
        <w:spacing w:line="500" w:lineRule="exact"/>
        <w:ind w:firstLine="0" w:firstLineChars="0"/>
        <w:jc w:val="both"/>
        <w:rPr>
          <w:rFonts w:ascii="仿宋" w:hAnsi="仿宋" w:eastAsia="仿宋" w:cs="仿宋"/>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CESI仿宋-GB2312">
    <w:panose1 w:val="02000500000000000000"/>
    <w:charset w:val="86"/>
    <w:family w:val="auto"/>
    <w:pitch w:val="default"/>
    <w:sig w:usb0="800002AF" w:usb1="084F6CF8" w:usb2="00000010"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gF26zFQIAABkEAAAOAAAAAAAAAAEAIAAAADUBAABkcnMvZTJvRG9jLnhtbFBLBQYAAAAABgAG&#10;AFkBAAC8BQAAAAA=&#10;">
              <v:fill on="f" focussize="0,0"/>
              <v:stroke on="f" weight="0.5pt"/>
              <v:imagedata o:title=""/>
              <o:lock v:ext="edit" aspectratio="f"/>
              <v:textbox inset="0mm,0mm,0mm,0mm" style="mso-fit-shape-to-text:t;">
                <w:txbxContent>
                  <w:p>
                    <w:pPr>
                      <w:pStyle w:val="10"/>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325830"/>
    <w:multiLevelType w:val="multilevel"/>
    <w:tmpl w:val="3A32583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71D343F"/>
    <w:multiLevelType w:val="multilevel"/>
    <w:tmpl w:val="571D343F"/>
    <w:lvl w:ilvl="0" w:tentative="0">
      <w:start w:val="1"/>
      <w:numFmt w:val="decimal"/>
      <w:suff w:val="space"/>
      <w:lvlText w:val="（%1）"/>
      <w:lvlJc w:val="left"/>
      <w:pPr>
        <w:ind w:left="1682" w:hanging="108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U3OTIwZjFkOGEzZTBiM2ZiZDQyMDBjOWQwMGRiMTUifQ=="/>
  </w:docVars>
  <w:rsids>
    <w:rsidRoot w:val="008A3B1F"/>
    <w:rsid w:val="000517C5"/>
    <w:rsid w:val="000918BA"/>
    <w:rsid w:val="000A0B0A"/>
    <w:rsid w:val="000B7CA4"/>
    <w:rsid w:val="000C2147"/>
    <w:rsid w:val="000F57A0"/>
    <w:rsid w:val="000F68E3"/>
    <w:rsid w:val="00132520"/>
    <w:rsid w:val="001405EC"/>
    <w:rsid w:val="00150571"/>
    <w:rsid w:val="0016272B"/>
    <w:rsid w:val="001A73CF"/>
    <w:rsid w:val="001B0B80"/>
    <w:rsid w:val="001E7380"/>
    <w:rsid w:val="00240379"/>
    <w:rsid w:val="00260728"/>
    <w:rsid w:val="0027358A"/>
    <w:rsid w:val="002B3AE6"/>
    <w:rsid w:val="002B6DF4"/>
    <w:rsid w:val="002D5702"/>
    <w:rsid w:val="00316D90"/>
    <w:rsid w:val="00317B61"/>
    <w:rsid w:val="003301EC"/>
    <w:rsid w:val="00330EF6"/>
    <w:rsid w:val="003429D5"/>
    <w:rsid w:val="0034551E"/>
    <w:rsid w:val="003508C5"/>
    <w:rsid w:val="003A51E7"/>
    <w:rsid w:val="003D03A7"/>
    <w:rsid w:val="003F00BD"/>
    <w:rsid w:val="0040264C"/>
    <w:rsid w:val="00436D09"/>
    <w:rsid w:val="004554B7"/>
    <w:rsid w:val="004B0E59"/>
    <w:rsid w:val="004B4357"/>
    <w:rsid w:val="004F3AA1"/>
    <w:rsid w:val="0055742F"/>
    <w:rsid w:val="00561C83"/>
    <w:rsid w:val="00570739"/>
    <w:rsid w:val="005A2D45"/>
    <w:rsid w:val="005F2ECC"/>
    <w:rsid w:val="00600C6D"/>
    <w:rsid w:val="00621ADF"/>
    <w:rsid w:val="00636ABE"/>
    <w:rsid w:val="00644A29"/>
    <w:rsid w:val="00654AEE"/>
    <w:rsid w:val="006901DD"/>
    <w:rsid w:val="006D620F"/>
    <w:rsid w:val="007360E2"/>
    <w:rsid w:val="00784F15"/>
    <w:rsid w:val="007C5C5B"/>
    <w:rsid w:val="00800600"/>
    <w:rsid w:val="008048F2"/>
    <w:rsid w:val="00816294"/>
    <w:rsid w:val="00824B85"/>
    <w:rsid w:val="008A3B1F"/>
    <w:rsid w:val="008F7A95"/>
    <w:rsid w:val="00921AE9"/>
    <w:rsid w:val="00936BE3"/>
    <w:rsid w:val="00947CE9"/>
    <w:rsid w:val="00972AD2"/>
    <w:rsid w:val="009972F1"/>
    <w:rsid w:val="00A252B0"/>
    <w:rsid w:val="00A421B6"/>
    <w:rsid w:val="00A5086E"/>
    <w:rsid w:val="00A72CC2"/>
    <w:rsid w:val="00A80C1D"/>
    <w:rsid w:val="00A8606F"/>
    <w:rsid w:val="00A86CCE"/>
    <w:rsid w:val="00AB437E"/>
    <w:rsid w:val="00AC1E49"/>
    <w:rsid w:val="00AF1EC3"/>
    <w:rsid w:val="00B1099E"/>
    <w:rsid w:val="00B5455F"/>
    <w:rsid w:val="00B839A3"/>
    <w:rsid w:val="00BA647C"/>
    <w:rsid w:val="00BE7EA1"/>
    <w:rsid w:val="00BF1ACD"/>
    <w:rsid w:val="00C04EA8"/>
    <w:rsid w:val="00C331F4"/>
    <w:rsid w:val="00C557FA"/>
    <w:rsid w:val="00C83C17"/>
    <w:rsid w:val="00C87101"/>
    <w:rsid w:val="00CA4F86"/>
    <w:rsid w:val="00CB35D8"/>
    <w:rsid w:val="00CC2729"/>
    <w:rsid w:val="00CC7591"/>
    <w:rsid w:val="00CD7598"/>
    <w:rsid w:val="00D20484"/>
    <w:rsid w:val="00D66F78"/>
    <w:rsid w:val="00D92F52"/>
    <w:rsid w:val="00DC0D77"/>
    <w:rsid w:val="00DE5FF0"/>
    <w:rsid w:val="00E37C62"/>
    <w:rsid w:val="00E803E5"/>
    <w:rsid w:val="00E80BF3"/>
    <w:rsid w:val="00EB504F"/>
    <w:rsid w:val="00EE42DF"/>
    <w:rsid w:val="00F10AD3"/>
    <w:rsid w:val="00F11864"/>
    <w:rsid w:val="00F42EA0"/>
    <w:rsid w:val="00F45F24"/>
    <w:rsid w:val="00F51E48"/>
    <w:rsid w:val="00F55BE1"/>
    <w:rsid w:val="00F61EC4"/>
    <w:rsid w:val="00F905F0"/>
    <w:rsid w:val="00FC1BB9"/>
    <w:rsid w:val="00FC58FE"/>
    <w:rsid w:val="01635453"/>
    <w:rsid w:val="03CF4132"/>
    <w:rsid w:val="09350950"/>
    <w:rsid w:val="13FF19F4"/>
    <w:rsid w:val="15723B7B"/>
    <w:rsid w:val="187E164C"/>
    <w:rsid w:val="1A65017F"/>
    <w:rsid w:val="1F8B6314"/>
    <w:rsid w:val="202910A6"/>
    <w:rsid w:val="25AC2904"/>
    <w:rsid w:val="2D1521AC"/>
    <w:rsid w:val="2E1F60FA"/>
    <w:rsid w:val="2EFF2371"/>
    <w:rsid w:val="2F407907"/>
    <w:rsid w:val="2F7B0A95"/>
    <w:rsid w:val="2F7FE490"/>
    <w:rsid w:val="2FF15973"/>
    <w:rsid w:val="337D37B3"/>
    <w:rsid w:val="395F5200"/>
    <w:rsid w:val="3B7F24A8"/>
    <w:rsid w:val="3BBB6F2C"/>
    <w:rsid w:val="3C5509CF"/>
    <w:rsid w:val="3D0B74E7"/>
    <w:rsid w:val="3DDD681D"/>
    <w:rsid w:val="3FBB12ED"/>
    <w:rsid w:val="3FFF67CF"/>
    <w:rsid w:val="405B3879"/>
    <w:rsid w:val="456D60C2"/>
    <w:rsid w:val="46413B0F"/>
    <w:rsid w:val="47EF011C"/>
    <w:rsid w:val="492B2775"/>
    <w:rsid w:val="4A195DFB"/>
    <w:rsid w:val="4C0842C4"/>
    <w:rsid w:val="4C923781"/>
    <w:rsid w:val="4E7FB501"/>
    <w:rsid w:val="4FFF4BE5"/>
    <w:rsid w:val="517F04EA"/>
    <w:rsid w:val="53322E38"/>
    <w:rsid w:val="53910761"/>
    <w:rsid w:val="556F6694"/>
    <w:rsid w:val="56D31018"/>
    <w:rsid w:val="5BBFA02E"/>
    <w:rsid w:val="5CC32F8F"/>
    <w:rsid w:val="5E6D098A"/>
    <w:rsid w:val="5E6D7717"/>
    <w:rsid w:val="5E783ED2"/>
    <w:rsid w:val="5FFEC53F"/>
    <w:rsid w:val="63F4E0EE"/>
    <w:rsid w:val="656718B3"/>
    <w:rsid w:val="6A2E61AA"/>
    <w:rsid w:val="6FF7921A"/>
    <w:rsid w:val="703A7E38"/>
    <w:rsid w:val="71B227FF"/>
    <w:rsid w:val="73796E03"/>
    <w:rsid w:val="76333A4D"/>
    <w:rsid w:val="76CE05B3"/>
    <w:rsid w:val="77F74095"/>
    <w:rsid w:val="791B46AD"/>
    <w:rsid w:val="7AB16D94"/>
    <w:rsid w:val="7BB7500F"/>
    <w:rsid w:val="7C3DACE3"/>
    <w:rsid w:val="7C867985"/>
    <w:rsid w:val="7D320D5D"/>
    <w:rsid w:val="7D846406"/>
    <w:rsid w:val="7FAE92BA"/>
    <w:rsid w:val="7FD60284"/>
    <w:rsid w:val="7FF9C47C"/>
    <w:rsid w:val="AFDB50ED"/>
    <w:rsid w:val="B7B7975E"/>
    <w:rsid w:val="BFFCEFAE"/>
    <w:rsid w:val="E7DD45AC"/>
    <w:rsid w:val="EB483A29"/>
    <w:rsid w:val="F3F7EE3C"/>
    <w:rsid w:val="F6FCB65D"/>
    <w:rsid w:val="FDBDF868"/>
    <w:rsid w:val="FDEFFA6E"/>
    <w:rsid w:val="FFBEE029"/>
    <w:rsid w:val="FFE62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qFormat="1" w:unhideWhenUsed="0" w:uiPriority="0" w:semiHidden="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6"/>
    <w:qFormat/>
    <w:uiPriority w:val="0"/>
    <w:pPr>
      <w:keepNext/>
      <w:keepLines/>
      <w:spacing w:before="340" w:after="330" w:line="578" w:lineRule="auto"/>
      <w:outlineLvl w:val="0"/>
    </w:pPr>
    <w:rPr>
      <w:b/>
      <w:bCs/>
      <w:kern w:val="44"/>
      <w:sz w:val="44"/>
      <w:szCs w:val="44"/>
    </w:rPr>
  </w:style>
  <w:style w:type="paragraph" w:styleId="4">
    <w:name w:val="heading 3"/>
    <w:basedOn w:val="5"/>
    <w:next w:val="1"/>
    <w:semiHidden/>
    <w:unhideWhenUsed/>
    <w:qFormat/>
    <w:uiPriority w:val="0"/>
    <w:pPr>
      <w:spacing w:before="260" w:after="260" w:line="413" w:lineRule="auto"/>
      <w:outlineLvl w:val="2"/>
    </w:pPr>
    <w:rPr>
      <w:b w:val="0"/>
      <w:sz w:val="32"/>
    </w:rPr>
  </w:style>
  <w:style w:type="paragraph" w:styleId="5">
    <w:name w:val="heading 4"/>
    <w:basedOn w:val="1"/>
    <w:next w:val="1"/>
    <w:semiHidden/>
    <w:unhideWhenUsed/>
    <w:qFormat/>
    <w:uiPriority w:val="0"/>
    <w:pPr>
      <w:keepNext/>
      <w:keepLines/>
      <w:spacing w:before="280" w:after="290" w:line="372" w:lineRule="auto"/>
      <w:outlineLvl w:val="3"/>
    </w:pPr>
    <w:rPr>
      <w:rFonts w:ascii="Arial" w:hAnsi="Arial" w:eastAsia="黑体"/>
      <w:b/>
      <w:sz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jc w:val="center"/>
    </w:pPr>
    <w:rPr>
      <w:rFonts w:ascii="宋体" w:hAnsi="Calibri" w:eastAsia="宋体" w:cs="Times New Roman"/>
      <w:sz w:val="44"/>
    </w:rPr>
  </w:style>
  <w:style w:type="paragraph" w:styleId="6">
    <w:name w:val="annotation text"/>
    <w:basedOn w:val="1"/>
    <w:link w:val="21"/>
    <w:qFormat/>
    <w:uiPriority w:val="0"/>
    <w:pPr>
      <w:jc w:val="left"/>
    </w:pPr>
  </w:style>
  <w:style w:type="paragraph" w:styleId="7">
    <w:name w:val="Plain Text"/>
    <w:basedOn w:val="1"/>
    <w:link w:val="24"/>
    <w:qFormat/>
    <w:uiPriority w:val="0"/>
    <w:rPr>
      <w:rFonts w:ascii="宋体" w:hAnsi="Courier New" w:eastAsia="宋体" w:cs="Times New Roman"/>
      <w:szCs w:val="20"/>
    </w:rPr>
  </w:style>
  <w:style w:type="paragraph" w:styleId="8">
    <w:name w:val="toc 8"/>
    <w:basedOn w:val="1"/>
    <w:next w:val="1"/>
    <w:qFormat/>
    <w:uiPriority w:val="0"/>
    <w:pPr>
      <w:ind w:left="1470"/>
      <w:jc w:val="left"/>
    </w:pPr>
    <w:rPr>
      <w:rFonts w:ascii="Times New Roman" w:hAnsi="Times New Roman" w:eastAsia="宋体" w:cs="Times New Roman"/>
      <w:szCs w:val="21"/>
    </w:rPr>
  </w:style>
  <w:style w:type="paragraph" w:styleId="9">
    <w:name w:val="Balloon Text"/>
    <w:basedOn w:val="1"/>
    <w:link w:val="23"/>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annotation subject"/>
    <w:basedOn w:val="6"/>
    <w:next w:val="6"/>
    <w:link w:val="22"/>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annotation reference"/>
    <w:basedOn w:val="15"/>
    <w:qFormat/>
    <w:uiPriority w:val="0"/>
    <w:rPr>
      <w:sz w:val="21"/>
      <w:szCs w:val="21"/>
    </w:rPr>
  </w:style>
  <w:style w:type="paragraph" w:styleId="18">
    <w:name w:val="Quote"/>
    <w:next w:val="1"/>
    <w:qFormat/>
    <w:uiPriority w:val="99"/>
    <w:pPr>
      <w:widowControl w:val="0"/>
      <w:jc w:val="both"/>
    </w:pPr>
    <w:rPr>
      <w:rFonts w:ascii="Calibri" w:hAnsi="Calibri" w:eastAsia="宋体" w:cs="Calibri"/>
      <w:i/>
      <w:iCs/>
      <w:color w:val="000000"/>
      <w:kern w:val="2"/>
      <w:sz w:val="22"/>
      <w:szCs w:val="22"/>
      <w:lang w:val="en-US" w:eastAsia="zh-CN" w:bidi="ar-SA"/>
    </w:rPr>
  </w:style>
  <w:style w:type="character" w:customStyle="1" w:styleId="19">
    <w:name w:val="NormalCharacter"/>
    <w:semiHidden/>
    <w:qFormat/>
    <w:uiPriority w:val="0"/>
  </w:style>
  <w:style w:type="paragraph" w:customStyle="1" w:styleId="20">
    <w:name w:val="表格"/>
    <w:basedOn w:val="1"/>
    <w:qFormat/>
    <w:uiPriority w:val="0"/>
    <w:pPr>
      <w:jc w:val="center"/>
    </w:pPr>
    <w:rPr>
      <w:rFonts w:hint="eastAsia" w:ascii="仿宋" w:hAnsi="仿宋" w:eastAsia="仿宋" w:cs="仿宋"/>
      <w:kern w:val="0"/>
      <w:sz w:val="24"/>
    </w:rPr>
  </w:style>
  <w:style w:type="character" w:customStyle="1" w:styleId="21">
    <w:name w:val="批注文字 字符"/>
    <w:basedOn w:val="15"/>
    <w:link w:val="6"/>
    <w:qFormat/>
    <w:uiPriority w:val="0"/>
    <w:rPr>
      <w:kern w:val="2"/>
      <w:sz w:val="21"/>
      <w:szCs w:val="24"/>
    </w:rPr>
  </w:style>
  <w:style w:type="character" w:customStyle="1" w:styleId="22">
    <w:name w:val="批注主题 字符"/>
    <w:basedOn w:val="21"/>
    <w:link w:val="12"/>
    <w:qFormat/>
    <w:uiPriority w:val="0"/>
    <w:rPr>
      <w:b/>
      <w:bCs/>
      <w:kern w:val="2"/>
      <w:sz w:val="21"/>
      <w:szCs w:val="24"/>
    </w:rPr>
  </w:style>
  <w:style w:type="character" w:customStyle="1" w:styleId="23">
    <w:name w:val="批注框文本 字符"/>
    <w:basedOn w:val="15"/>
    <w:link w:val="9"/>
    <w:qFormat/>
    <w:uiPriority w:val="0"/>
    <w:rPr>
      <w:kern w:val="2"/>
      <w:sz w:val="18"/>
      <w:szCs w:val="18"/>
    </w:rPr>
  </w:style>
  <w:style w:type="character" w:customStyle="1" w:styleId="24">
    <w:name w:val="纯文本 字符"/>
    <w:link w:val="7"/>
    <w:qFormat/>
    <w:uiPriority w:val="0"/>
    <w:rPr>
      <w:rFonts w:ascii="宋体" w:hAnsi="Courier New" w:eastAsia="宋体" w:cs="Times New Roman"/>
      <w:szCs w:val="20"/>
    </w:rPr>
  </w:style>
  <w:style w:type="paragraph" w:styleId="25">
    <w:name w:val="List Paragraph"/>
    <w:basedOn w:val="1"/>
    <w:qFormat/>
    <w:uiPriority w:val="99"/>
    <w:pPr>
      <w:ind w:firstLine="420" w:firstLineChars="200"/>
    </w:pPr>
  </w:style>
  <w:style w:type="character" w:customStyle="1" w:styleId="26">
    <w:name w:val="标题 1 字符"/>
    <w:basedOn w:val="15"/>
    <w:link w:val="3"/>
    <w:qFormat/>
    <w:uiPriority w:val="0"/>
    <w:rPr>
      <w:rFonts w:asciiTheme="minorHAnsi" w:hAnsiTheme="minorHAnsi" w:eastAsiaTheme="minorEastAsia" w:cstheme="minorBidi"/>
      <w:b/>
      <w:bCs/>
      <w:kern w:val="44"/>
      <w:sz w:val="44"/>
      <w:szCs w:val="44"/>
    </w:rPr>
  </w:style>
  <w:style w:type="paragraph" w:customStyle="1" w:styleId="27">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8">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11081</Words>
  <Characters>11432</Characters>
  <Lines>96</Lines>
  <Paragraphs>27</Paragraphs>
  <TotalTime>6</TotalTime>
  <ScaleCrop>false</ScaleCrop>
  <LinksUpToDate>false</LinksUpToDate>
  <CharactersWithSpaces>12350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2023-03-28T08:23:00Z</dcterms:created>
  <dc:creator>Administrator</dc:creator>
  <cp:lastModifiedBy>jf</cp:lastModifiedBy>
  <cp:lastPrinted>2023-04-07T03:19:00Z</cp:lastPrinted>
  <dcterms:modified xsi:type="dcterms:W3CDTF">2023-05-19T10:48:15Z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2041B9E94FAC4E99B6B1F7CF0B1C332F</vt:lpwstr>
  </property>
</Properties>
</file>