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autoSpaceDN w:val="0"/>
        <w:spacing w:line="56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坪山区人才住房（社会存量住房）申请材料清单</w:t>
      </w:r>
    </w:p>
    <w:p>
      <w:pPr>
        <w:autoSpaceDN w:val="0"/>
        <w:spacing w:line="56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tbl>
      <w:tblPr>
        <w:tblStyle w:val="2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75"/>
        <w:gridCol w:w="1410"/>
        <w:gridCol w:w="8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材料形式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份数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坪山区人才住房（社会存量住房）申请表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申请人在受理地点填写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申请人有效身份证件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身份证、护照或其他有效身份证明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配偶、未成年子女身份证件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（已婚必须提供）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身份证、护照或其他有效身份证明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申请人婚姻材料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已婚的提交结婚证；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2.离异的提交离婚证及离婚协议或法院判决书；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3.再婚的提交结婚证及离婚材料；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4.丧偶的提交结婚证及死亡证明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申请人大专及以上学历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初级及以上专业技术职称（初级为助理级）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高级工职业资格、技师、高级技师职业资格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专项职业能力一、二、三级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证明文件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有多个学历证书的提供最高学历证明（毕业证、学位证或学历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认证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文件其一即可）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有多个职称、职业资格的提供最高等级证书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申请人社保缴纳清单（时间截止至递交材料当月）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复印件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社保缴纳清单以社保局盖章件为准，可登录社保局网站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打印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或在社保自助设备打印（申请人为劳务外派人员的，还需提供由区用人单位出具的用工证明）。</w:t>
            </w:r>
          </w:p>
        </w:tc>
      </w:tr>
    </w:tbl>
    <w:p>
      <w:pPr>
        <w:spacing w:line="540" w:lineRule="exact"/>
      </w:pPr>
      <w:r>
        <w:rPr>
          <w:rFonts w:hint="eastAsia" w:ascii="宋体" w:hAnsi="宋体" w:cs="宋体"/>
          <w:b/>
          <w:bCs/>
          <w:sz w:val="24"/>
        </w:rPr>
        <w:t>附注：</w:t>
      </w:r>
      <w:r>
        <w:rPr>
          <w:rFonts w:hint="eastAsia"/>
          <w:b/>
          <w:bCs/>
          <w:sz w:val="24"/>
        </w:rPr>
        <w:t>申请人在复印件材料上签字后交泊寓公司，由泊寓公司验原件，收复印件。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C4C4C"/>
    <w:rsid w:val="06AC4C4C"/>
    <w:rsid w:val="711628CE"/>
    <w:rsid w:val="7A4B7EEE"/>
    <w:rsid w:val="7FD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2020-08-24T18:08:00Z</dcterms:created>
  <dc:creator>林亚英</dc:creator>
  <cp:lastModifiedBy>lyy</cp:lastModifiedBy>
  <dcterms:modified xsi:type="dcterms:W3CDTF">2023-04-11T13:06:24Z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