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eastAsia="黑体"/>
          <w:bCs/>
          <w:color w:val="000000"/>
          <w:sz w:val="32"/>
          <w:szCs w:val="32"/>
        </w:rPr>
      </w:pPr>
      <w:r>
        <w:rPr>
          <w:rFonts w:hint="eastAsia" w:ascii="黑体" w:eastAsia="黑体"/>
          <w:bCs/>
          <w:color w:val="000000"/>
          <w:sz w:val="32"/>
          <w:szCs w:val="32"/>
        </w:rPr>
        <w:t>附件</w:t>
      </w:r>
    </w:p>
    <w:p>
      <w:pPr>
        <w:adjustRightInd w:val="0"/>
        <w:snapToGrid w:val="0"/>
        <w:spacing w:line="560" w:lineRule="exact"/>
        <w:rPr>
          <w:rFonts w:ascii="宋体" w:hAnsi="宋体" w:cs="宋体"/>
          <w:color w:val="000000"/>
          <w:sz w:val="44"/>
          <w:szCs w:val="44"/>
        </w:rPr>
      </w:pPr>
    </w:p>
    <w:p>
      <w:pPr>
        <w:pStyle w:val="10"/>
        <w:adjustRightInd w:val="0"/>
        <w:snapToGrid w:val="0"/>
        <w:spacing w:line="560" w:lineRule="exact"/>
        <w:jc w:val="center"/>
        <w:outlineLvl w:val="0"/>
        <w:rPr>
          <w:rFonts w:ascii="宋体" w:hAnsi="宋体" w:eastAsia="宋体"/>
          <w:b/>
          <w:sz w:val="44"/>
          <w:szCs w:val="44"/>
          <w:lang w:val="zh-TW" w:eastAsia="zh-TW"/>
        </w:rPr>
      </w:pPr>
      <w:r>
        <w:rPr>
          <w:rFonts w:hint="eastAsia" w:ascii="宋体" w:hAnsi="宋体" w:eastAsia="宋体"/>
          <w:b/>
          <w:sz w:val="44"/>
          <w:szCs w:val="44"/>
          <w:lang w:val="zh-TW" w:eastAsia="zh-TW"/>
        </w:rPr>
        <w:t>有关名词解释</w:t>
      </w:r>
    </w:p>
    <w:p>
      <w:pPr>
        <w:adjustRightInd w:val="0"/>
        <w:snapToGrid w:val="0"/>
        <w:spacing w:line="560" w:lineRule="exact"/>
        <w:ind w:firstLine="640" w:firstLineChars="200"/>
        <w:rPr>
          <w:rFonts w:ascii="仿宋_GB2312" w:hAnsi="仿宋_GB2312" w:eastAsia="仿宋_GB2312" w:cs="仿宋_GB2312"/>
          <w:color w:val="000000"/>
          <w:sz w:val="32"/>
          <w:szCs w:val="32"/>
        </w:rPr>
      </w:pP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1.粤港澳大湾区：</w:t>
      </w:r>
      <w:r>
        <w:rPr>
          <w:rFonts w:hint="eastAsia" w:ascii="仿宋_GB2312" w:hAnsi="仿宋_GB2312" w:eastAsia="仿宋_GB2312" w:cs="仿宋_GB2312"/>
          <w:color w:val="000000"/>
          <w:sz w:val="32"/>
          <w:szCs w:val="32"/>
        </w:rPr>
        <w:t>由</w:t>
      </w:r>
      <w:r>
        <w:fldChar w:fldCharType="begin"/>
      </w:r>
      <w:r>
        <w:instrText xml:space="preserve"> HYPERLINK "https://baike.baidu.com/item/%E9%A6%99%E6%B8%AF/128775" \t "https://baike.baidu.com/item/%E7%B2%A4%E6%B8%AF%E6%BE%B3%E5%A4%A7%E6%B9%BE%E5%8C%BA/_blank" </w:instrText>
      </w:r>
      <w:r>
        <w:fldChar w:fldCharType="separate"/>
      </w:r>
      <w:r>
        <w:rPr>
          <w:rFonts w:hint="eastAsia" w:ascii="仿宋_GB2312" w:hAnsi="仿宋_GB2312" w:eastAsia="仿宋_GB2312" w:cs="仿宋_GB2312"/>
          <w:color w:val="000000"/>
          <w:sz w:val="32"/>
          <w:szCs w:val="32"/>
        </w:rPr>
        <w:t>香港</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"https://baike.baidu.com/item/%E6%BE%B3%E9%97%A8/24335" \t "https://baike.baidu.com/item/%E7%B2%A4%E6%B8%AF%E6%BE%B3%E5%A4%A7%E6%B9%BE%E5%8C%BA/_blank" </w:instrText>
      </w:r>
      <w:r>
        <w:fldChar w:fldCharType="separate"/>
      </w:r>
      <w:r>
        <w:rPr>
          <w:rFonts w:hint="eastAsia" w:ascii="仿宋_GB2312" w:hAnsi="仿宋_GB2312" w:eastAsia="仿宋_GB2312" w:cs="仿宋_GB2312"/>
          <w:color w:val="000000"/>
          <w:sz w:val="32"/>
          <w:szCs w:val="32"/>
        </w:rPr>
        <w:t>澳门</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两个特别行政区和</w:t>
      </w:r>
      <w:r>
        <w:fldChar w:fldCharType="begin"/>
      </w:r>
      <w:r>
        <w:instrText xml:space="preserve"> HYPERLINK "https://baike.baidu.com/item/%E5%B9%BF%E4%B8%9C%E7%9C%81/132473" \t "https://baike.baidu.com/item/%E7%B2%A4%E6%B8%AF%E6%BE%B3%E5%A4%A7%E6%B9%BE%E5%8C%BA/_blank" </w:instrText>
      </w:r>
      <w:r>
        <w:fldChar w:fldCharType="separate"/>
      </w:r>
      <w:r>
        <w:rPr>
          <w:rFonts w:hint="eastAsia" w:ascii="仿宋_GB2312" w:hAnsi="仿宋_GB2312" w:eastAsia="仿宋_GB2312" w:cs="仿宋_GB2312"/>
          <w:color w:val="000000"/>
          <w:sz w:val="32"/>
          <w:szCs w:val="32"/>
        </w:rPr>
        <w:t>广东省</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的</w:t>
      </w:r>
      <w:r>
        <w:fldChar w:fldCharType="begin"/>
      </w:r>
      <w:r>
        <w:instrText xml:space="preserve"> HYPERLINK "https://baike.baidu.com/item/%E5%B9%BF%E5%B7%9E/72101" \t "https://baike.baidu.com/item/%E7%B2%A4%E6%B8%AF%E6%BE%B3%E5%A4%A7%E6%B9%BE%E5%8C%BA/_blank" </w:instrText>
      </w:r>
      <w:r>
        <w:fldChar w:fldCharType="separate"/>
      </w:r>
      <w:r>
        <w:rPr>
          <w:rFonts w:hint="eastAsia" w:ascii="仿宋_GB2312" w:hAnsi="仿宋_GB2312" w:eastAsia="仿宋_GB2312" w:cs="仿宋_GB2312"/>
          <w:color w:val="000000"/>
          <w:sz w:val="32"/>
          <w:szCs w:val="32"/>
        </w:rPr>
        <w:t>广州</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"https://baike.baidu.com/item/%E6%B7%B1%E5%9C%B3/140588" \t "https://baike.baidu.com/item/%E7%B2%A4%E6%B8%AF%E6%BE%B3%E5%A4%A7%E6%B9%BE%E5%8C%BA/_blank" </w:instrText>
      </w:r>
      <w:r>
        <w:fldChar w:fldCharType="separate"/>
      </w:r>
      <w:r>
        <w:rPr>
          <w:rFonts w:hint="eastAsia" w:ascii="仿宋_GB2312" w:hAnsi="仿宋_GB2312" w:eastAsia="仿宋_GB2312" w:cs="仿宋_GB2312"/>
          <w:color w:val="000000"/>
          <w:sz w:val="32"/>
          <w:szCs w:val="32"/>
        </w:rPr>
        <w:t>深圳</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"https://baike.baidu.com/item/%E7%8F%A0%E6%B5%B7/494773" \t "https://baike.baidu.com/item/%E7%B2%A4%E6%B8%AF%E6%BE%B3%E5%A4%A7%E6%B9%BE%E5%8C%BA/_blank" </w:instrText>
      </w:r>
      <w:r>
        <w:fldChar w:fldCharType="separate"/>
      </w:r>
      <w:r>
        <w:rPr>
          <w:rFonts w:hint="eastAsia" w:ascii="仿宋_GB2312" w:hAnsi="仿宋_GB2312" w:eastAsia="仿宋_GB2312" w:cs="仿宋_GB2312"/>
          <w:color w:val="000000"/>
          <w:sz w:val="32"/>
          <w:szCs w:val="32"/>
        </w:rPr>
        <w:t>珠海</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"https://baike.baidu.com/item/%E4%BD%9B%E5%B1%B1/200343" \t "https://baike.baidu.com/item/%E7%B2%A4%E6%B8%AF%E6%BE%B3%E5%A4%A7%E6%B9%BE%E5%8C%BA/_blank" </w:instrText>
      </w:r>
      <w:r>
        <w:fldChar w:fldCharType="separate"/>
      </w:r>
      <w:r>
        <w:rPr>
          <w:rFonts w:hint="eastAsia" w:ascii="仿宋_GB2312" w:hAnsi="仿宋_GB2312" w:eastAsia="仿宋_GB2312" w:cs="仿宋_GB2312"/>
          <w:color w:val="000000"/>
          <w:sz w:val="32"/>
          <w:szCs w:val="32"/>
        </w:rPr>
        <w:t>佛山</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"https://baike.baidu.com/item/%E4%B8%AD%E5%B1%B1/14352" \t "https://baike.baidu.com/item/%E7%B2%A4%E6%B8%AF%E6%BE%B3%E5%A4%A7%E6%B9%BE%E5%8C%BA/_blank" </w:instrText>
      </w:r>
      <w:r>
        <w:fldChar w:fldCharType="separate"/>
      </w:r>
      <w:r>
        <w:rPr>
          <w:rFonts w:hint="eastAsia" w:ascii="仿宋_GB2312" w:hAnsi="仿宋_GB2312" w:eastAsia="仿宋_GB2312" w:cs="仿宋_GB2312"/>
          <w:color w:val="000000"/>
          <w:sz w:val="32"/>
          <w:szCs w:val="32"/>
        </w:rPr>
        <w:t>中山</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"https://baike.baidu.com/item/%E4%B8%9C%E8%8E%9E/495865" \t "https://baike.baidu.com/item/%E7%B2%A4%E6%B8%AF%E6%BE%B3%E5%A4%A7%E6%B9%BE%E5%8C%BA/_blank" </w:instrText>
      </w:r>
      <w:r>
        <w:fldChar w:fldCharType="separate"/>
      </w:r>
      <w:r>
        <w:rPr>
          <w:rFonts w:hint="eastAsia" w:ascii="仿宋_GB2312" w:hAnsi="仿宋_GB2312" w:eastAsia="仿宋_GB2312" w:cs="仿宋_GB2312"/>
          <w:color w:val="000000"/>
          <w:sz w:val="32"/>
          <w:szCs w:val="32"/>
        </w:rPr>
        <w:t>东莞</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"https://baike.baidu.com/item/%E6%83%A0%E5%B7%9E/1396484" \t "https://baike.baidu.com/item/%E7%B2%A4%E6%B8%AF%E6%BE%B3%E5%A4%A7%E6%B9%BE%E5%8C%BA/_blank" </w:instrText>
      </w:r>
      <w:r>
        <w:fldChar w:fldCharType="separate"/>
      </w:r>
      <w:r>
        <w:rPr>
          <w:rFonts w:hint="eastAsia" w:ascii="仿宋_GB2312" w:hAnsi="仿宋_GB2312" w:eastAsia="仿宋_GB2312" w:cs="仿宋_GB2312"/>
          <w:color w:val="000000"/>
          <w:sz w:val="32"/>
          <w:szCs w:val="32"/>
        </w:rPr>
        <w:t>惠州</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"https://baike.baidu.com/item/%E6%B1%9F%E9%97%A8/1291689" \t "https://baike.baidu.com/item/%E7%B2%A4%E6%B8%AF%E6%BE%B3%E5%A4%A7%E6%B9%BE%E5%8C%BA/_blank" </w:instrText>
      </w:r>
      <w:r>
        <w:fldChar w:fldCharType="separate"/>
      </w:r>
      <w:r>
        <w:rPr>
          <w:rFonts w:hint="eastAsia" w:ascii="仿宋_GB2312" w:hAnsi="仿宋_GB2312" w:eastAsia="仿宋_GB2312" w:cs="仿宋_GB2312"/>
          <w:color w:val="000000"/>
          <w:sz w:val="32"/>
          <w:szCs w:val="32"/>
        </w:rPr>
        <w:t>江门</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"https://baike.baidu.com/item/%E8%82%87%E5%BA%86/212476" \t "https://baike.baidu.com/item/%E7%B2%A4%E6%B8%AF%E6%BE%B3%E5%A4%A7%E6%B9%BE%E5%8C%BA/_blank" </w:instrText>
      </w:r>
      <w:r>
        <w:fldChar w:fldCharType="separate"/>
      </w:r>
      <w:r>
        <w:rPr>
          <w:rFonts w:hint="eastAsia" w:ascii="仿宋_GB2312" w:hAnsi="仿宋_GB2312" w:eastAsia="仿宋_GB2312" w:cs="仿宋_GB2312"/>
          <w:color w:val="000000"/>
          <w:sz w:val="32"/>
          <w:szCs w:val="32"/>
        </w:rPr>
        <w:t>肇庆</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九市组成的城市群，是国家建设</w:t>
      </w:r>
      <w:r>
        <w:fldChar w:fldCharType="begin"/>
      </w:r>
      <w:r>
        <w:instrText xml:space="preserve"> HYPERLINK "https://baike.baidu.com/item/%E4%B8%96%E7%95%8C%E7%BA%A7%E5%9F%8E%E5%B8%82%E7%BE%A4/2559133" \t "https://baike.baidu.com/item/%E7%B2%A4%E6%B8%AF%E6%BE%B3%E5%A4%A7%E6%B9%BE%E5%8C%BA/_blank" </w:instrText>
      </w:r>
      <w:r>
        <w:fldChar w:fldCharType="separate"/>
      </w:r>
      <w:r>
        <w:rPr>
          <w:rFonts w:hint="eastAsia" w:ascii="仿宋_GB2312" w:hAnsi="仿宋_GB2312" w:eastAsia="仿宋_GB2312" w:cs="仿宋_GB2312"/>
          <w:color w:val="000000"/>
          <w:sz w:val="32"/>
          <w:szCs w:val="32"/>
        </w:rPr>
        <w:t>世界级城市群</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和参与全球竞争的重要空间载体。</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2.先行示范区：</w:t>
      </w:r>
      <w:r>
        <w:rPr>
          <w:rFonts w:hint="eastAsia" w:ascii="仿宋_GB2312" w:hAnsi="仿宋_GB2312" w:eastAsia="仿宋_GB2312" w:cs="仿宋_GB2312"/>
          <w:color w:val="000000"/>
          <w:sz w:val="32"/>
          <w:szCs w:val="32"/>
        </w:rPr>
        <w:t>2019年8月18日，《中共中央、国务院 关于支持深圳建设中国特色社会主义先行示范区的意见》发布，《意见》赋予深圳“五大战略定位”</w:t>
      </w:r>
      <w:r>
        <w:rPr>
          <w:rFonts w:hint="eastAsia" w:ascii="仿宋_GB2312" w:eastAsia="仿宋_GB2312"/>
          <w:sz w:val="32"/>
          <w:szCs w:val="32"/>
        </w:rPr>
        <w:t>（</w:t>
      </w:r>
      <w:r>
        <w:rPr>
          <w:rFonts w:hint="eastAsia" w:ascii="楷体_GB2312" w:eastAsia="楷体_GB2312"/>
          <w:sz w:val="32"/>
          <w:szCs w:val="32"/>
        </w:rPr>
        <w:t>高质量发展高地、法治城市示范、城市文明典范、民生幸福标杆、可持续发展先锋</w:t>
      </w:r>
      <w:r>
        <w:rPr>
          <w:rFonts w:hint="eastAsia" w:ascii="仿宋_GB2312" w:eastAsia="仿宋_GB2312"/>
          <w:sz w:val="32"/>
          <w:szCs w:val="32"/>
        </w:rPr>
        <w:t>），提出了</w:t>
      </w:r>
      <w:r>
        <w:rPr>
          <w:rFonts w:hint="eastAsia" w:ascii="仿宋_GB2312" w:hAnsi="仿宋_GB2312" w:eastAsia="仿宋_GB2312" w:cs="仿宋_GB2312"/>
          <w:color w:val="000000"/>
          <w:sz w:val="32"/>
          <w:szCs w:val="32"/>
        </w:rPr>
        <w:t>“三个阶段发展目标”</w:t>
      </w:r>
      <w:r>
        <w:rPr>
          <w:rFonts w:hint="eastAsia" w:ascii="仿宋_GB2312" w:eastAsia="仿宋_GB2312"/>
          <w:sz w:val="32"/>
          <w:szCs w:val="32"/>
        </w:rPr>
        <w:t>（</w:t>
      </w:r>
      <w:r>
        <w:rPr>
          <w:rFonts w:hint="eastAsia" w:ascii="楷体_GB2312" w:eastAsia="楷体_GB2312"/>
          <w:sz w:val="32"/>
          <w:szCs w:val="32"/>
        </w:rPr>
        <w:t>现在到2025年、2025到2035年、2035到本世纪中叶</w:t>
      </w:r>
      <w:r>
        <w:rPr>
          <w:rFonts w:hint="eastAsia" w:ascii="仿宋_GB2312" w:eastAsia="仿宋_GB2312"/>
          <w:sz w:val="32"/>
          <w:szCs w:val="32"/>
        </w:rPr>
        <w:t>）</w:t>
      </w:r>
      <w:r>
        <w:rPr>
          <w:rFonts w:hint="eastAsia" w:ascii="仿宋_GB2312" w:hAnsi="仿宋_GB2312" w:eastAsia="仿宋_GB2312" w:cs="仿宋_GB2312"/>
          <w:color w:val="000000"/>
          <w:sz w:val="32"/>
          <w:szCs w:val="32"/>
        </w:rPr>
        <w:t>，为率先探索全面建设社会主义现代化</w:t>
      </w:r>
      <w:r>
        <w:rPr>
          <w:rFonts w:hint="eastAsia" w:ascii="仿宋_GB2312" w:hAnsi="仿宋_GB2312" w:eastAsia="仿宋_GB2312" w:cs="仿宋_GB2312"/>
          <w:color w:val="000000"/>
          <w:sz w:val="32"/>
          <w:szCs w:val="32"/>
          <w:lang w:eastAsia="zh-CN"/>
        </w:rPr>
        <w:t>国家</w:t>
      </w:r>
      <w:bookmarkStart w:id="0" w:name="_GoBack"/>
      <w:bookmarkEnd w:id="0"/>
      <w:r>
        <w:rPr>
          <w:rFonts w:hint="eastAsia" w:ascii="仿宋_GB2312" w:hAnsi="仿宋_GB2312" w:eastAsia="仿宋_GB2312" w:cs="仿宋_GB2312"/>
          <w:color w:val="000000"/>
          <w:sz w:val="32"/>
          <w:szCs w:val="32"/>
        </w:rPr>
        <w:t>新路径，实现中华民族伟大复兴的中国梦提供有力支撑。</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3.Slush创投大会：</w:t>
      </w:r>
      <w:r>
        <w:rPr>
          <w:rFonts w:hint="eastAsia" w:ascii="仿宋_GB2312" w:hAnsi="仿宋_GB2312" w:eastAsia="仿宋_GB2312" w:cs="仿宋_GB2312"/>
          <w:color w:val="000000"/>
          <w:sz w:val="32"/>
          <w:szCs w:val="32"/>
        </w:rPr>
        <w:t>为国际顶尖投资者、初创企业、全球500强高管、媒体和高科技人才提供服务全球性创投活动。2019年8月8日，Slush深圳2019大会首次落户深圳坪山并成功举办，聚焦物&amp;车联网+健康科技+人工智能三大垂直领域，齐聚海内外企业家、投资家、创业团队近3000人次。</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4.“大兵团”作战：</w:t>
      </w:r>
      <w:r>
        <w:rPr>
          <w:rFonts w:hint="eastAsia" w:ascii="仿宋_GB2312" w:hAnsi="仿宋_GB2312" w:eastAsia="仿宋_GB2312" w:cs="仿宋_GB2312"/>
          <w:color w:val="000000"/>
          <w:sz w:val="32"/>
          <w:szCs w:val="32"/>
        </w:rPr>
        <w:t>为高效推进重点项目土地整备工作而构建的高位统筹、全员参与的攻坚机制。自2019年3月4日起，区-街道-社区共抽调上千名干部组成征拆“大兵团”，共同推进地铁14、16号线征拆及较大面积产业空间土地整备任务。</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5.“先整备后统筹”为主导、房屋征收为辅助的模式：</w:t>
      </w:r>
      <w:r>
        <w:rPr>
          <w:rFonts w:hint="eastAsia" w:ascii="仿宋_GB2312" w:hAnsi="仿宋_GB2312" w:eastAsia="仿宋_GB2312" w:cs="仿宋_GB2312"/>
          <w:color w:val="000000"/>
          <w:sz w:val="32"/>
          <w:szCs w:val="32"/>
        </w:rPr>
        <w:t>在房屋征收项目和土地整备利益统筹项目范围重叠的地块，或较大面积产业空间整备项目范围内，实施对象可自主选择“先整备后统筹”方式或参照房屋征收补偿标准方式获得补偿。主要解决房屋征收补偿或“先整备后统筹”单一补偿方式，因权利人身份、房屋建成时间等条件不同而形成补偿差异，无法满足权利人多元诉求的情况。</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6.医疗健康集团：</w:t>
      </w:r>
      <w:r>
        <w:rPr>
          <w:rFonts w:hint="eastAsia" w:ascii="仿宋_GB2312" w:hAnsi="仿宋_GB2312" w:eastAsia="仿宋_GB2312" w:cs="仿宋_GB2312"/>
          <w:color w:val="000000"/>
          <w:sz w:val="32"/>
          <w:szCs w:val="32"/>
        </w:rPr>
        <w:t>2019年9月6日，由我区</w:t>
      </w:r>
      <w:r>
        <w:rPr>
          <w:rFonts w:hint="eastAsia" w:ascii="仿宋_GB2312" w:hAnsi="仿宋_GB2312" w:eastAsia="仿宋_GB2312" w:cs="仿宋_GB2312"/>
          <w:color w:val="000000"/>
          <w:sz w:val="32"/>
          <w:szCs w:val="32"/>
          <w:lang w:val="zh-CN"/>
        </w:rPr>
        <w:t>与南方医科大学签订共建协议，携手整合</w:t>
      </w:r>
      <w:r>
        <w:rPr>
          <w:rFonts w:hint="eastAsia" w:ascii="仿宋_GB2312" w:hAnsi="仿宋_GB2312" w:eastAsia="仿宋_GB2312" w:cs="仿宋_GB2312"/>
          <w:color w:val="000000"/>
          <w:sz w:val="32"/>
          <w:szCs w:val="32"/>
        </w:rPr>
        <w:t>区人民医院、区妇幼保健院及上述两家医院举办的社区卫生服务机构、区疾病预防控制中心等医疗卫生资源组建而成。</w:t>
      </w:r>
      <w:r>
        <w:rPr>
          <w:rFonts w:hint="eastAsia" w:ascii="仿宋_GB2312" w:hAnsi="仿宋_GB2312" w:eastAsia="仿宋_GB2312" w:cs="仿宋_GB2312"/>
          <w:color w:val="000000"/>
          <w:sz w:val="32"/>
          <w:szCs w:val="32"/>
          <w:lang w:val="zh-CN"/>
        </w:rPr>
        <w:t>业务范围包括</w:t>
      </w:r>
      <w:r>
        <w:rPr>
          <w:rFonts w:hint="eastAsia" w:ascii="仿宋_GB2312" w:hAnsi="仿宋_GB2312" w:eastAsia="仿宋_GB2312" w:cs="仿宋_GB2312"/>
          <w:color w:val="000000"/>
          <w:sz w:val="32"/>
          <w:szCs w:val="32"/>
        </w:rPr>
        <w:t>组织承担临床医疗、医学教育、医学科研、预防保健、康复护理、健康促进和社区卫生等。</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7.民生诉求系统改革：</w:t>
      </w:r>
      <w:r>
        <w:rPr>
          <w:rFonts w:hint="eastAsia" w:ascii="仿宋_GB2312" w:hAnsi="仿宋_GB2312" w:eastAsia="仿宋_GB2312" w:cs="仿宋_GB2312"/>
          <w:color w:val="000000"/>
          <w:sz w:val="32"/>
          <w:szCs w:val="32"/>
        </w:rPr>
        <w:t>指从民生诉求事件的受理、分拨、处置、评价等环节进行流程再造和技术提升。</w:t>
      </w:r>
    </w:p>
    <w:p>
      <w:pPr>
        <w:pStyle w:val="2"/>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8.产业创新公共服务平台：</w:t>
      </w:r>
      <w:r>
        <w:rPr>
          <w:rFonts w:hint="eastAsia" w:ascii="仿宋_GB2312" w:hAnsi="仿宋_GB2312" w:eastAsia="仿宋_GB2312" w:cs="仿宋_GB2312"/>
          <w:color w:val="000000"/>
          <w:sz w:val="32"/>
          <w:szCs w:val="32"/>
        </w:rPr>
        <w:t>通过线上线下融合推进，采取“实体中心+线上平台”相结合的模式，建设运营第三方产业服务平台，为区内企业提供工商、财税、法律、知识产权、投融资、市场拓展、产品推广、政策咨询、上市辅导等全方位、多层次的商务服务。</w:t>
      </w:r>
    </w:p>
    <w:p>
      <w:pPr>
        <w:pStyle w:val="2"/>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9.“三全”监管体系：</w:t>
      </w:r>
      <w:r>
        <w:rPr>
          <w:rFonts w:hint="eastAsia" w:ascii="仿宋_GB2312" w:hAnsi="仿宋_GB2312" w:eastAsia="仿宋_GB2312" w:cs="仿宋_GB2312"/>
          <w:color w:val="000000"/>
          <w:sz w:val="32"/>
          <w:szCs w:val="32"/>
        </w:rPr>
        <w:t>2019年11月18日，我区出台《坪山区房地产项目全过程监管指导意见》，对房地产项目施行全过程、全方位和全覆盖监管。有效</w:t>
      </w:r>
      <w:r>
        <w:rPr>
          <w:rFonts w:hint="eastAsia" w:ascii="仿宋_GB2312" w:hAnsi="仿宋_GB2312" w:eastAsia="仿宋_GB2312" w:cs="仿宋_GB2312"/>
          <w:sz w:val="32"/>
          <w:szCs w:val="32"/>
        </w:rPr>
        <w:t>维护房地产市场秩序，促进房地产市场平稳健康发展。</w:t>
      </w:r>
    </w:p>
    <w:p>
      <w:pPr>
        <w:spacing w:line="560" w:lineRule="exact"/>
        <w:ind w:firstLine="640" w:firstLineChars="200"/>
      </w:pPr>
      <w:r>
        <w:rPr>
          <w:rFonts w:hint="eastAsia" w:ascii="黑体" w:hAnsi="黑体" w:eastAsia="黑体" w:cs="黑体"/>
          <w:color w:val="000000"/>
          <w:sz w:val="32"/>
          <w:szCs w:val="32"/>
        </w:rPr>
        <w:t>10.交通微设计微改造“马峦模式”：</w:t>
      </w:r>
      <w:r>
        <w:rPr>
          <w:rFonts w:hint="eastAsia" w:ascii="仿宋_GB2312" w:hAnsi="仿宋_GB2312" w:eastAsia="仿宋_GB2312" w:cs="仿宋_GB2312"/>
          <w:color w:val="000000"/>
          <w:sz w:val="32"/>
          <w:szCs w:val="32"/>
        </w:rPr>
        <w:t>指按照“微设计微改造理念”，通过交叉口施画导向线、安装水马隔离等进行微设计微改造，从而有效缓解车辆右转时存在的“包饺子”安全隐患，极大改善不遵守交通规则的骑车人、步行者无视信号灯，直接横穿、斜穿、S形穿行于路口形成的多重交通冲突风险。</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11.“规建委+总设计师”机制：</w:t>
      </w:r>
      <w:r>
        <w:rPr>
          <w:rFonts w:hint="eastAsia" w:ascii="仿宋_GB2312" w:hAnsi="仿宋_GB2312" w:eastAsia="仿宋_GB2312" w:cs="仿宋_GB2312"/>
          <w:color w:val="000000"/>
          <w:sz w:val="32"/>
          <w:szCs w:val="32"/>
        </w:rPr>
        <w:t>指覆盖全区的城市设计与各层次规划设计相衔接的管控与实施机制。具体分为“管理决策”（即规建委平台）和“技术论证”（即总师制平台）两个部分，着重对重点片区空间规划、城市设计、建设标准、建设项目规划设计要点和方案设计以及其他影响城市空间形态和城市总体风貌的事项进行把关和决策。</w:t>
      </w:r>
    </w:p>
    <w:p>
      <w:pPr>
        <w:adjustRightInd w:val="0"/>
        <w:snapToGrid w:val="0"/>
        <w:spacing w:line="560" w:lineRule="exact"/>
        <w:ind w:firstLine="640" w:firstLineChars="200"/>
        <w:rPr>
          <w:rFonts w:ascii="仿宋_GB2312" w:hAnsi="黑体" w:eastAsia="仿宋_GB2312"/>
          <w:sz w:val="32"/>
          <w:szCs w:val="32"/>
        </w:rPr>
      </w:pPr>
      <w:r>
        <w:rPr>
          <w:rFonts w:hint="eastAsia" w:ascii="黑体" w:hAnsi="黑体" w:eastAsia="黑体" w:cs="黑体"/>
          <w:color w:val="000000"/>
          <w:sz w:val="32"/>
          <w:szCs w:val="32"/>
        </w:rPr>
        <w:t>12.手作步道：</w:t>
      </w:r>
      <w:r>
        <w:rPr>
          <w:rFonts w:hint="eastAsia" w:ascii="仿宋_GB2312" w:hAnsi="黑体" w:eastAsia="仿宋_GB2312"/>
          <w:sz w:val="32"/>
          <w:szCs w:val="32"/>
        </w:rPr>
        <w:t>指“以人力方式运用非动力工具辅助进行步道施作，使步道降低对生态环境与历史空间的扰动，以增进步道的永续性。”相比传统钢筋混凝土打造的步道，手作步道不但易维护，成本低，而且路面更加有弹性，不会损伤膝盖，更为重要的是对自然做到最小的伤害。</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13.“花漾街区”：</w:t>
      </w:r>
      <w:r>
        <w:rPr>
          <w:rFonts w:hint="eastAsia" w:ascii="仿宋_GB2312" w:hAnsi="仿宋_GB2312" w:eastAsia="仿宋_GB2312" w:cs="仿宋_GB2312"/>
          <w:color w:val="000000"/>
          <w:sz w:val="32"/>
          <w:szCs w:val="32"/>
        </w:rPr>
        <w:t>在相对独立的，以商业、金融和休闲文化为核心的，可停留的慢行空间（如商业街、步行街等）之中，营造以花卉景观为主题的街区，提升城市的景观品质。</w:t>
      </w:r>
    </w:p>
    <w:p>
      <w:pPr>
        <w:pStyle w:val="2"/>
        <w:spacing w:line="560" w:lineRule="exact"/>
        <w:ind w:firstLine="640" w:firstLineChars="200"/>
        <w:rPr>
          <w:rFonts w:ascii="黑体" w:hAnsi="黑体" w:eastAsia="仿宋_GB2312" w:cs="黑体"/>
          <w:color w:val="000000"/>
          <w:sz w:val="32"/>
          <w:szCs w:val="32"/>
        </w:rPr>
      </w:pPr>
      <w:r>
        <w:rPr>
          <w:rFonts w:hint="eastAsia" w:ascii="黑体" w:hAnsi="黑体" w:eastAsia="黑体" w:cs="黑体"/>
          <w:color w:val="000000"/>
          <w:sz w:val="32"/>
          <w:szCs w:val="32"/>
        </w:rPr>
        <w:t>14.“街心花园”：</w:t>
      </w:r>
      <w:r>
        <w:rPr>
          <w:rFonts w:hint="eastAsia" w:ascii="仿宋_GB2312" w:hAnsi="仿宋_GB2312" w:eastAsia="仿宋_GB2312" w:cs="仿宋_GB2312"/>
          <w:color w:val="000000"/>
          <w:sz w:val="32"/>
          <w:szCs w:val="32"/>
        </w:rPr>
        <w:t>指位于街道中央部分，装饰有树木、草坪或灌木丛的场所，是城市绿地系统中的一个组成部分。</w:t>
      </w:r>
    </w:p>
    <w:p>
      <w:pPr>
        <w:spacing w:line="560" w:lineRule="exact"/>
        <w:ind w:firstLine="640"/>
        <w:rPr>
          <w:rFonts w:ascii="仿宋_GB2312" w:hAnsi="仿宋_GB2312" w:eastAsia="仿宋_GB2312" w:cs="仿宋_GB2312"/>
          <w:color w:val="000000"/>
          <w:sz w:val="32"/>
          <w:szCs w:val="32"/>
        </w:rPr>
      </w:pPr>
      <w:r>
        <w:rPr>
          <w:rFonts w:hint="eastAsia" w:ascii="黑体" w:hAnsi="黑体" w:eastAsia="黑体" w:cs="黑体"/>
          <w:color w:val="000000"/>
          <w:sz w:val="32"/>
          <w:szCs w:val="32"/>
        </w:rPr>
        <w:t>15.海绵城市：</w:t>
      </w:r>
      <w:r>
        <w:rPr>
          <w:rFonts w:hint="eastAsia" w:ascii="仿宋_GB2312" w:hAnsi="仿宋_GB2312" w:eastAsia="仿宋_GB2312" w:cs="仿宋_GB2312"/>
          <w:color w:val="000000"/>
          <w:sz w:val="32"/>
          <w:szCs w:val="32"/>
        </w:rPr>
        <w:t>指城市能够像海绵一样，在适应环境变化和应对自然灾害等方面具有良好的“弹性”，下雨时吸水、蓄水、渗水、净水，需要时将蓄存的水“释放”并加以利用，最大限度强化雨水资源利用和生态环境保护。</w:t>
      </w:r>
    </w:p>
    <w:p>
      <w:pPr>
        <w:pStyle w:val="2"/>
        <w:spacing w:line="560" w:lineRule="exact"/>
        <w:ind w:firstLine="640"/>
        <w:rPr>
          <w:rFonts w:ascii="仿宋_GB2312" w:hAnsi="仿宋_GB2312" w:eastAsia="仿宋_GB2312" w:cs="仿宋_GB2312"/>
          <w:snapToGrid w:val="0"/>
          <w:color w:val="000000"/>
          <w:kern w:val="0"/>
          <w:sz w:val="32"/>
          <w:szCs w:val="32"/>
        </w:rPr>
      </w:pPr>
      <w:r>
        <w:rPr>
          <w:rFonts w:hint="eastAsia" w:ascii="黑体" w:hAnsi="黑体" w:eastAsia="黑体" w:cs="黑体"/>
          <w:color w:val="000000"/>
          <w:sz w:val="32"/>
          <w:szCs w:val="32"/>
        </w:rPr>
        <w:t>16.智慧城市：</w:t>
      </w:r>
      <w:r>
        <w:rPr>
          <w:rFonts w:hint="eastAsia" w:ascii="仿宋_GB2312" w:hAnsi="仿宋_GB2312" w:eastAsia="仿宋_GB2312" w:cs="仿宋_GB2312"/>
          <w:color w:val="000000"/>
          <w:sz w:val="32"/>
          <w:szCs w:val="32"/>
        </w:rPr>
        <w:t>指在城市基础设施、资源环境、社会民生等领域，运用物联网、互联网、云计算、IT、智能分析等信息通信技术手段，针对城市居民生活工作、企业经营发展和政府管理治理需求，进行智慧地感知、分析、集成和应对。</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17.“AI+视频”：</w:t>
      </w:r>
      <w:r>
        <w:rPr>
          <w:rFonts w:hint="eastAsia" w:ascii="仿宋_GB2312" w:hAnsi="仿宋_GB2312" w:eastAsia="仿宋_GB2312" w:cs="仿宋_GB2312"/>
          <w:color w:val="000000"/>
          <w:sz w:val="32"/>
          <w:szCs w:val="32"/>
        </w:rPr>
        <w:t>指的是坪山区深入推进“雪亮工程”建设，结合新型智慧城市建设，组建“AI+视频”联合实验室，探索城市治理中应用创新，利用人工智能算法将海量视频数据根据业务需求开发视频智能解析应用，实现从“事后分析”向“事前预警”拓展，创新社会治理应用系统。整合“横纵双向”视频监控资源，推进公共安全视频数据共享应用，依托“综治中心”实体化运作，搭建“雪亮工程”实战平台，积极探索构建智能视频云应用体系，用科技手段为社会治理工作“赋能”，实行“人+科技”规范管理模式,最大限度消除防控盲区和空白。</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18.雪亮工程：</w:t>
      </w:r>
      <w:r>
        <w:rPr>
          <w:rFonts w:hint="eastAsia" w:ascii="仿宋_GB2312" w:hAnsi="仿宋_GB2312" w:eastAsia="仿宋_GB2312" w:cs="仿宋_GB2312"/>
          <w:color w:val="000000"/>
          <w:sz w:val="32"/>
          <w:szCs w:val="32"/>
        </w:rPr>
        <w:t>指以县、乡、村三级综治中心为指挥平台、以综治信息化为支撑、以网格化管理为基础、以公共安全视频监控联网应用为重点的“群众性治安防控工程”。</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19.“文明诚信积分”：</w:t>
      </w:r>
      <w:r>
        <w:rPr>
          <w:rFonts w:hint="eastAsia" w:ascii="仿宋_GB2312" w:hAnsi="仿宋_GB2312" w:eastAsia="仿宋_GB2312" w:cs="仿宋_GB2312"/>
          <w:color w:val="000000"/>
          <w:sz w:val="32"/>
          <w:szCs w:val="32"/>
        </w:rPr>
        <w:t>指对城区内个人的信用进行科学、客观的评价，推动个人信用分在市场准入、公共服务、创业求职等领域广泛应用，为守信者提供“容缺受理”“绿色通道”便利措施以及“信易+”示范项目激励措施，形成“让失信者寸步难行，让守信者受益获敬”的全民守信氛围。</w:t>
      </w:r>
    </w:p>
    <w:p>
      <w:pPr>
        <w:spacing w:line="560" w:lineRule="exact"/>
        <w:ind w:firstLine="640" w:firstLineChars="200"/>
      </w:pPr>
      <w:r>
        <w:rPr>
          <w:rFonts w:hint="eastAsia" w:ascii="黑体" w:hAnsi="黑体" w:eastAsia="黑体" w:cs="黑体"/>
          <w:color w:val="000000"/>
          <w:sz w:val="32"/>
          <w:szCs w:val="32"/>
        </w:rPr>
        <w:t>20.“三线整治”：</w:t>
      </w:r>
      <w:r>
        <w:rPr>
          <w:rFonts w:hint="eastAsia" w:ascii="仿宋_GB2312" w:hAnsi="仿宋_GB2312" w:eastAsia="仿宋_GB2312" w:cs="仿宋_GB2312"/>
          <w:color w:val="000000"/>
          <w:sz w:val="32"/>
          <w:szCs w:val="32"/>
        </w:rPr>
        <w:t>指推进“城中村”供电、通信、广播电视线整治工作。做到强弱电分离，弱电线路统一下地，改善强弱电线路混绕敷设、居民私拉乱接、线路容量不足等问题，达到安全、整洁、规范的目标。</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21.“平安第一课”：</w:t>
      </w:r>
      <w:r>
        <w:rPr>
          <w:rFonts w:hint="eastAsia" w:ascii="仿宋_GB2312" w:hAnsi="仿宋_GB2312" w:eastAsia="仿宋_GB2312" w:cs="仿宋_GB2312"/>
          <w:color w:val="000000"/>
          <w:sz w:val="32"/>
          <w:szCs w:val="32"/>
        </w:rPr>
        <w:t>指通过对辖区居民、外来务工人员、出租屋业主、各类公共场所活动人员、学校学生、党政机关工作人员等开展安全教育，全面提高群众安全生产意识。</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22.“两抢”：</w:t>
      </w:r>
      <w:r>
        <w:rPr>
          <w:rFonts w:hint="eastAsia" w:ascii="仿宋_GB2312" w:hAnsi="仿宋_GB2312" w:eastAsia="仿宋_GB2312" w:cs="仿宋_GB2312"/>
          <w:color w:val="000000"/>
          <w:sz w:val="32"/>
          <w:szCs w:val="32"/>
        </w:rPr>
        <w:t>两抢是司法术语。具体是指抢夺和抢劫这两种犯罪行为。</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23.“八类暴力”：</w:t>
      </w:r>
      <w:r>
        <w:rPr>
          <w:rFonts w:hint="eastAsia" w:ascii="仿宋_GB2312" w:hAnsi="仿宋_GB2312" w:eastAsia="仿宋_GB2312" w:cs="仿宋_GB2312"/>
          <w:color w:val="000000"/>
          <w:sz w:val="32"/>
          <w:szCs w:val="32"/>
        </w:rPr>
        <w:t>是指《刑法》第十七条中规定的八种罪行：故意杀人、故意伤害致人重伤或者死亡、强奸、抢劫、贩卖毒品、放火、爆炸、投毒罪。</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24.“一街一车一室”：</w:t>
      </w:r>
      <w:r>
        <w:rPr>
          <w:rFonts w:hint="eastAsia" w:ascii="仿宋_GB2312" w:hAnsi="仿宋_GB2312" w:eastAsia="仿宋_GB2312" w:cs="仿宋_GB2312"/>
          <w:color w:val="000000"/>
          <w:sz w:val="32"/>
          <w:szCs w:val="32"/>
        </w:rPr>
        <w:t>指在各街道标准化配备一辆食品安全快速检测车和一间食品安全快速检测室，构建全市一体的街道一级食品安全“检测网”，全面提升基层食品安全快检能力和快检覆盖面，有效降低食品安全隐患。</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25.“金秤砣”：</w:t>
      </w:r>
      <w:r>
        <w:rPr>
          <w:rFonts w:hint="eastAsia" w:ascii="仿宋_GB2312" w:hAnsi="仿宋_GB2312" w:eastAsia="仿宋_GB2312" w:cs="仿宋_GB2312"/>
          <w:color w:val="000000"/>
          <w:sz w:val="32"/>
          <w:szCs w:val="32"/>
        </w:rPr>
        <w:t>由深圳马洪经济研究发展基金会发起的民间评议政府奖项，至今已成功举办了六届。“金秤砣”奖在全国首开了民间对政府工作进行评议的先河，通过民间视角对深圳市各区政务公开的质量和效果开展第三方独立评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26.社区矫正“基地+中心”：</w:t>
      </w:r>
      <w:r>
        <w:rPr>
          <w:rFonts w:hint="eastAsia" w:ascii="仿宋_GB2312" w:hAnsi="仿宋_GB2312" w:eastAsia="仿宋_GB2312" w:cs="仿宋_GB2312"/>
          <w:color w:val="000000"/>
          <w:sz w:val="32"/>
          <w:szCs w:val="32"/>
        </w:rPr>
        <w:t>是深圳市司法局联合坪山区人民政府共同建设、共同管理、共同使用的现代化创新型“智慧社矫应用平台”。社区矫正是指司法行政机关对被判处管制、宣告缓刑、假释和暂予监外执行的罪犯，进行监督管理、教育帮扶，帮助其成为守法公民。</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27.“四风”：</w:t>
      </w:r>
      <w:r>
        <w:rPr>
          <w:rFonts w:hint="eastAsia" w:ascii="仿宋_GB2312" w:hAnsi="仿宋_GB2312" w:eastAsia="仿宋_GB2312" w:cs="仿宋_GB2312"/>
          <w:color w:val="000000"/>
          <w:sz w:val="32"/>
          <w:szCs w:val="32"/>
        </w:rPr>
        <w:t>即</w:t>
      </w:r>
      <w:r>
        <w:fldChar w:fldCharType="begin"/>
      </w:r>
      <w:r>
        <w:instrText xml:space="preserve"> HYPERLINK "https://baike.baidu.com/item/%E5%BD%A2%E5%BC%8F%E4%B8%BB%E4%B9%89/740148" \t "https://baike.baidu.com/item/%E5%9B%9B%E9%A3%8E/_blank" </w:instrText>
      </w:r>
      <w:r>
        <w:fldChar w:fldCharType="separate"/>
      </w:r>
      <w:r>
        <w:rPr>
          <w:rFonts w:hint="eastAsia" w:ascii="仿宋_GB2312" w:hAnsi="仿宋_GB2312" w:eastAsia="仿宋_GB2312" w:cs="仿宋_GB2312"/>
          <w:color w:val="000000"/>
          <w:sz w:val="32"/>
          <w:szCs w:val="32"/>
        </w:rPr>
        <w:t>形式主义</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"https://baike.baidu.com/item/%E5%AE%98%E5%83%9A%E4%B8%BB%E4%B9%89/91563" \t "https://baike.baidu.com/item/%E5%9B%9B%E9%A3%8E/_blank" </w:instrText>
      </w:r>
      <w:r>
        <w:fldChar w:fldCharType="separate"/>
      </w:r>
      <w:r>
        <w:rPr>
          <w:rFonts w:hint="eastAsia" w:ascii="仿宋_GB2312" w:hAnsi="仿宋_GB2312" w:eastAsia="仿宋_GB2312" w:cs="仿宋_GB2312"/>
          <w:color w:val="000000"/>
          <w:sz w:val="32"/>
          <w:szCs w:val="32"/>
        </w:rPr>
        <w:t>官僚主义</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"https://baike.baidu.com/item/%E4%BA%AB%E4%B9%90%E4%B8%BB%E4%B9%89/7563354" \t "https://baike.baidu.com/item/%E5%9B%9B%E9%A3%8E/_blank" </w:instrText>
      </w:r>
      <w:r>
        <w:fldChar w:fldCharType="separate"/>
      </w:r>
      <w:r>
        <w:rPr>
          <w:rFonts w:hint="eastAsia" w:ascii="仿宋_GB2312" w:hAnsi="仿宋_GB2312" w:eastAsia="仿宋_GB2312" w:cs="仿宋_GB2312"/>
          <w:color w:val="000000"/>
          <w:sz w:val="32"/>
          <w:szCs w:val="32"/>
        </w:rPr>
        <w:t>享乐主义</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和</w:t>
      </w:r>
      <w:r>
        <w:fldChar w:fldCharType="begin"/>
      </w:r>
      <w:r>
        <w:instrText xml:space="preserve"> HYPERLINK "https://baike.baidu.com/item/%E5%A5%A2%E9%9D%A1" \t "https://baike.baidu.com/item/%E5%9B%9B%E9%A3%8E/_blank" </w:instrText>
      </w:r>
      <w:r>
        <w:fldChar w:fldCharType="separate"/>
      </w:r>
      <w:r>
        <w:rPr>
          <w:rFonts w:hint="eastAsia" w:ascii="仿宋_GB2312" w:hAnsi="仿宋_GB2312" w:eastAsia="仿宋_GB2312" w:cs="仿宋_GB2312"/>
          <w:color w:val="000000"/>
          <w:sz w:val="32"/>
          <w:szCs w:val="32"/>
        </w:rPr>
        <w:t>奢靡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之风。</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28.“三公”：</w:t>
      </w:r>
      <w:r>
        <w:rPr>
          <w:rFonts w:hint="eastAsia" w:ascii="仿宋_GB2312" w:hAnsi="仿宋_GB2312" w:eastAsia="仿宋_GB2312" w:cs="仿宋_GB2312"/>
          <w:color w:val="000000"/>
          <w:sz w:val="32"/>
          <w:szCs w:val="32"/>
        </w:rPr>
        <w:t>即三公消费，指政府部门人员</w:t>
      </w:r>
      <w:r>
        <w:fldChar w:fldCharType="begin"/>
      </w:r>
      <w:r>
        <w:instrText xml:space="preserve"> HYPERLINK "https://baike.baidu.com/item/%E5%9B%A0%E5%85%AC%E5%87%BA%E5%9B%BD" \t "https://baike.baidu.com/item/%E4%B8%89%E5%85%AC%E6%B6%88%E8%B4%B9/_blank" </w:instrText>
      </w:r>
      <w:r>
        <w:fldChar w:fldCharType="separate"/>
      </w:r>
      <w:r>
        <w:rPr>
          <w:rFonts w:hint="eastAsia" w:ascii="仿宋_GB2312" w:hAnsi="仿宋_GB2312" w:eastAsia="仿宋_GB2312" w:cs="仿宋_GB2312"/>
          <w:color w:val="000000"/>
          <w:sz w:val="32"/>
          <w:szCs w:val="32"/>
        </w:rPr>
        <w:t>因公出国</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（境）经费、</w:t>
      </w:r>
      <w:r>
        <w:fldChar w:fldCharType="begin"/>
      </w:r>
      <w:r>
        <w:instrText xml:space="preserve"> HYPERLINK "https://baike.baidu.com/item/%E5%85%AC%E5%8A%A1%E8%BD%A6/10011073" \t "https://baike.baidu.com/item/%E4%B8%89%E5%85%AC%E6%B6%88%E8%B4%B9/_blank" </w:instrText>
      </w:r>
      <w:r>
        <w:fldChar w:fldCharType="separate"/>
      </w:r>
      <w:r>
        <w:rPr>
          <w:rFonts w:hint="eastAsia" w:ascii="仿宋_GB2312" w:hAnsi="仿宋_GB2312" w:eastAsia="仿宋_GB2312" w:cs="仿宋_GB2312"/>
          <w:color w:val="000000"/>
          <w:sz w:val="32"/>
          <w:szCs w:val="32"/>
        </w:rPr>
        <w:t>公务车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购置及运行费、公务招待费产生的消费。</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29.“六稳”：</w:t>
      </w:r>
      <w:r>
        <w:rPr>
          <w:rFonts w:hint="eastAsia" w:ascii="仿宋_GB2312" w:hAnsi="仿宋_GB2312" w:eastAsia="仿宋_GB2312" w:cs="仿宋_GB2312"/>
          <w:color w:val="000000"/>
          <w:sz w:val="32"/>
          <w:szCs w:val="32"/>
        </w:rPr>
        <w:t>即稳就业、稳金融、稳外贸、稳外资、稳投资、稳预期。</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30.“保税＋”：</w:t>
      </w:r>
      <w:r>
        <w:rPr>
          <w:rFonts w:hint="eastAsia" w:ascii="仿宋_GB2312" w:hAnsi="仿宋_GB2312" w:eastAsia="仿宋_GB2312" w:cs="仿宋_GB2312"/>
          <w:color w:val="000000"/>
          <w:sz w:val="32"/>
          <w:szCs w:val="32"/>
        </w:rPr>
        <w:t>指在保税区域范围内，利用国家给予的保税、免税、退税功能等相关政策以及保税区域具备独特的区位优势，充分利用保税红利发展检测维修、跨境电商、保税展示交易、保税融资租赁、保税拍卖等新业态，促进保税优势和新兴业态融合。</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31.“科技资助补贴贷款”：</w:t>
      </w:r>
      <w:r>
        <w:rPr>
          <w:rFonts w:hint="eastAsia" w:ascii="仿宋_GB2312" w:hAnsi="仿宋_GB2312" w:eastAsia="仿宋_GB2312" w:cs="仿宋_GB2312"/>
          <w:color w:val="000000"/>
          <w:sz w:val="32"/>
          <w:szCs w:val="32"/>
        </w:rPr>
        <w:t>由坪山区联合战略合作银行创新金融服务产品，针对财政资金下达周期长的痛点，为获得区科技创新专项资金资助并已完成公示的企业提供银行授信与财政资助1:1支持。</w:t>
      </w:r>
    </w:p>
    <w:p>
      <w:pPr>
        <w:adjustRightInd w:val="0"/>
        <w:snapToGrid w:val="0"/>
        <w:spacing w:line="560" w:lineRule="exact"/>
        <w:ind w:firstLine="640" w:firstLineChars="200"/>
        <w:rPr>
          <w:rFonts w:eastAsia="仿宋_GB2312"/>
        </w:rPr>
      </w:pPr>
      <w:r>
        <w:rPr>
          <w:rFonts w:hint="eastAsia" w:ascii="黑体" w:hAnsi="黑体" w:eastAsia="黑体" w:cs="黑体"/>
          <w:color w:val="000000"/>
          <w:sz w:val="32"/>
          <w:szCs w:val="32"/>
        </w:rPr>
        <w:t>32.比亚迪IGBT:</w:t>
      </w:r>
      <w:r>
        <w:rPr>
          <w:rFonts w:hint="eastAsia" w:ascii="仿宋_GB2312" w:hAnsi="仿宋_GB2312" w:eastAsia="仿宋_GB2312" w:cs="仿宋_GB2312"/>
          <w:sz w:val="32"/>
          <w:szCs w:val="32"/>
        </w:rPr>
        <w:t>比亚迪集成电路及功率半导体项目。</w:t>
      </w:r>
    </w:p>
    <w:p>
      <w:pPr>
        <w:adjustRightInd w:val="0"/>
        <w:snapToGrid w:val="0"/>
        <w:spacing w:line="560" w:lineRule="exact"/>
        <w:ind w:firstLine="640" w:firstLineChars="200"/>
        <w:rPr>
          <w:rFonts w:ascii="仿宋_GB2312" w:eastAsia="仿宋_GB2312"/>
          <w:b/>
          <w:sz w:val="32"/>
          <w:szCs w:val="32"/>
        </w:rPr>
      </w:pPr>
      <w:r>
        <w:rPr>
          <w:rFonts w:hint="eastAsia" w:ascii="黑体" w:hAnsi="黑体" w:eastAsia="黑体" w:cs="黑体"/>
          <w:color w:val="000000"/>
          <w:sz w:val="32"/>
          <w:szCs w:val="32"/>
        </w:rPr>
        <w:t>33.ICH:</w:t>
      </w:r>
      <w:r>
        <w:rPr>
          <w:rFonts w:hint="eastAsia" w:ascii="仿宋_GB2312" w:eastAsia="仿宋_GB2312"/>
          <w:sz w:val="32"/>
          <w:szCs w:val="32"/>
        </w:rPr>
        <w:t>即国际人用药品注册技术协调会</w:t>
      </w:r>
      <w:r>
        <w:rPr>
          <w:rFonts w:hint="eastAsia" w:ascii="楷体_GB2312" w:eastAsia="楷体_GB2312"/>
          <w:sz w:val="32"/>
          <w:szCs w:val="32"/>
        </w:rPr>
        <w:t>(International Conference on Harmonization of Technical Requirements for Registration of Pharmaceuticals for Human Use），</w:t>
      </w:r>
      <w:r>
        <w:rPr>
          <w:rFonts w:hint="eastAsia" w:ascii="仿宋_GB2312" w:eastAsia="仿宋_GB2312"/>
          <w:sz w:val="32"/>
          <w:szCs w:val="32"/>
        </w:rPr>
        <w:t>是由美国、日本和欧盟三方的政府药品注册部门和制药行业在1990年发起的，并由三方成员国的药品管理当局与三方成员国的制药企业管理机构为主要成员所组成。主要目的是协调全球药品监管系统标准化，协调各国的药品注册技术要求，使药品生产厂家能够应用统一的注册资料，提高新药研发、注册、上市的效率，类似于WTO在各国贸易中扮演的角色。</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34.深圳市生物医药产业“一核”多中心：</w:t>
      </w:r>
      <w:r>
        <w:rPr>
          <w:rFonts w:hint="eastAsia" w:ascii="仿宋_GB2312" w:hAnsi="仿宋_GB2312" w:eastAsia="仿宋_GB2312" w:cs="仿宋_GB2312"/>
          <w:color w:val="000000"/>
          <w:sz w:val="32"/>
          <w:szCs w:val="32"/>
        </w:rPr>
        <w:t>依托深圳国家生物产业基地，重点支持坪山打造生物医药产业集聚发展主园区，加速推动福田区、光明区、龙岗区、大鹏新区等协同发展，构建协同创新、错位发展的“一核多中心”新格局。</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35.CDE：</w:t>
      </w:r>
      <w:r>
        <w:rPr>
          <w:rFonts w:hint="eastAsia" w:ascii="仿宋_GB2312" w:hAnsi="仿宋_GB2312" w:eastAsia="仿宋_GB2312" w:cs="仿宋_GB2312"/>
          <w:color w:val="000000"/>
          <w:sz w:val="32"/>
          <w:szCs w:val="32"/>
        </w:rPr>
        <w:t>国家药品监督管理局药品评审中心。</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36:CMDE：</w:t>
      </w:r>
      <w:r>
        <w:rPr>
          <w:rFonts w:hint="eastAsia" w:ascii="仿宋_GB2312" w:hAnsi="仿宋_GB2312" w:eastAsia="仿宋_GB2312" w:cs="仿宋_GB2312"/>
          <w:color w:val="000000"/>
          <w:sz w:val="32"/>
          <w:szCs w:val="32"/>
        </w:rPr>
        <w:t>国家药品监督管理局医疗器械技术审评中心。</w:t>
      </w:r>
    </w:p>
    <w:p>
      <w:pPr>
        <w:adjustRightInd w:val="0"/>
        <w:snapToGrid w:val="0"/>
        <w:spacing w:line="560" w:lineRule="exact"/>
        <w:ind w:firstLine="640" w:firstLineChars="200"/>
        <w:rPr>
          <w:rFonts w:ascii="仿宋_GB2312" w:hAnsi="仿宋_GB2312" w:eastAsia="仿宋_GB2312" w:cs="仿宋_GB2312"/>
          <w:color w:val="0000FF"/>
          <w:sz w:val="32"/>
          <w:szCs w:val="32"/>
        </w:rPr>
      </w:pPr>
      <w:r>
        <w:rPr>
          <w:rFonts w:hint="eastAsia" w:ascii="黑体" w:hAnsi="黑体" w:eastAsia="黑体" w:cs="黑体"/>
          <w:color w:val="000000"/>
          <w:sz w:val="32"/>
          <w:szCs w:val="32"/>
        </w:rPr>
        <w:t>37:“工改工”：</w:t>
      </w:r>
      <w:r>
        <w:rPr>
          <w:rFonts w:hint="eastAsia" w:ascii="仿宋_GB2312" w:hAnsi="仿宋_GB2312" w:eastAsia="仿宋_GB2312" w:cs="仿宋_GB2312"/>
          <w:color w:val="000000"/>
          <w:sz w:val="32"/>
          <w:szCs w:val="32"/>
        </w:rPr>
        <w:t>指针对现状是工业用途的土地和建筑，通过城市更新等方式升级改造为普通工业功能或新型产业功能。</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38.“政府统筹、连片推动”开发模式：</w:t>
      </w:r>
      <w:r>
        <w:rPr>
          <w:rFonts w:hint="eastAsia" w:ascii="仿宋_GB2312" w:hAnsi="仿宋_GB2312" w:eastAsia="仿宋_GB2312" w:cs="仿宋_GB2312"/>
          <w:color w:val="000000"/>
          <w:sz w:val="32"/>
          <w:szCs w:val="32"/>
        </w:rPr>
        <w:t>政府主导开展城市更新片区统筹规划研究，合理划定片区统筹范围，按照片区连片推动的方式进行整体开发建设，避免碎片化开发，促进城市功能平衡，优化片区空间布局，补足公共配套短板。</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39.“三百”农业园：</w:t>
      </w:r>
      <w:r>
        <w:rPr>
          <w:rFonts w:hint="eastAsia" w:ascii="仿宋_GB2312" w:hAnsi="仿宋_GB2312" w:eastAsia="仿宋_GB2312" w:cs="仿宋_GB2312"/>
          <w:color w:val="000000"/>
          <w:sz w:val="32"/>
          <w:szCs w:val="32"/>
        </w:rPr>
        <w:t>通过与深圳市农业科技促进中心合作，共同打造百果园、百花园和百草园，创建集农作物优良品种和新技术展示推广、农业休闲采摘、农产品引导消费、农业知识科普宣传及市民休闲观光等功能为一体的现代化农业发展平台。</w:t>
      </w:r>
    </w:p>
    <w:p>
      <w:pPr>
        <w:adjustRightInd w:val="0"/>
        <w:snapToGrid w:val="0"/>
        <w:spacing w:line="560" w:lineRule="exact"/>
        <w:ind w:firstLine="640" w:firstLineChars="200"/>
        <w:rPr>
          <w:rFonts w:ascii="仿宋_GB2312" w:hAnsi="仿宋_GB2312" w:eastAsia="仿宋_GB2312" w:cs="仿宋_GB2312"/>
          <w:color w:val="000000"/>
          <w:sz w:val="32"/>
          <w:szCs w:val="32"/>
          <w:u w:val="single"/>
        </w:rPr>
      </w:pPr>
      <w:r>
        <w:rPr>
          <w:rFonts w:hint="eastAsia" w:ascii="黑体" w:hAnsi="黑体" w:eastAsia="黑体" w:cs="黑体"/>
          <w:color w:val="000000"/>
          <w:sz w:val="32"/>
          <w:szCs w:val="32"/>
        </w:rPr>
        <w:t>40.“物业城区”：</w:t>
      </w:r>
      <w:r>
        <w:rPr>
          <w:rFonts w:hint="eastAsia" w:ascii="仿宋_GB2312" w:hAnsi="仿宋_GB2312" w:eastAsia="仿宋_GB2312" w:cs="仿宋_GB2312"/>
          <w:color w:val="000000"/>
          <w:sz w:val="32"/>
          <w:szCs w:val="32"/>
        </w:rPr>
        <w:t>遵循市场化原则，将城市公共空间整体作为一个“大物业项目”，委托企业统筹运营管理，通过信息化、机械化、专业化的运营手段，全面提升城市综合治理水平。</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41.“安全员建在班组上”：</w:t>
      </w:r>
      <w:r>
        <w:rPr>
          <w:rFonts w:hint="eastAsia" w:ascii="仿宋_GB2312" w:hAnsi="仿宋_GB2312" w:eastAsia="仿宋_GB2312" w:cs="仿宋_GB2312"/>
          <w:color w:val="000000"/>
          <w:sz w:val="32"/>
          <w:szCs w:val="32"/>
        </w:rPr>
        <w:t>指结合企业生产经营的特点和规律，在企业各层级、各部门和班组上设置专职或兼职安全员，强化企业自身安全生产督查、检查、巡查，从而有效减少安全生产隐患。</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themeColor="text1"/>
          <w:sz w:val="32"/>
          <w:szCs w:val="32"/>
          <w14:textFill>
            <w14:solidFill>
              <w14:schemeClr w14:val="tx1"/>
            </w14:solidFill>
          </w14:textFill>
        </w:rPr>
        <w:t>42.“四个不发生”：</w:t>
      </w:r>
      <w:r>
        <w:rPr>
          <w:rFonts w:hint="eastAsia" w:ascii="仿宋_GB2312" w:hAnsi="仿宋_GB2312" w:eastAsia="仿宋_GB2312" w:cs="仿宋_GB2312"/>
          <w:color w:val="000000"/>
          <w:sz w:val="32"/>
          <w:szCs w:val="32"/>
        </w:rPr>
        <w:t>不发生危害国家安全和社会稳定的重大政治事件、不发生严重暴力恐怖和个人极端事件、不发生重大群体性事件、不发生重大公共安全事件.</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43.“健康坪山”行动：</w:t>
      </w:r>
      <w:r>
        <w:rPr>
          <w:rFonts w:hint="eastAsia" w:ascii="仿宋_GB2312" w:hAnsi="仿宋_GB2312" w:eastAsia="仿宋_GB2312" w:cs="仿宋_GB2312"/>
          <w:color w:val="000000"/>
          <w:sz w:val="32"/>
          <w:szCs w:val="32"/>
        </w:rPr>
        <w:t>指通过出台</w:t>
      </w:r>
      <w:r>
        <w:rPr>
          <w:rFonts w:ascii="仿宋_GB2312" w:hAnsi="仿宋_GB2312" w:eastAsia="仿宋_GB2312" w:cs="仿宋_GB2312"/>
          <w:color w:val="000000"/>
          <w:sz w:val="32"/>
          <w:szCs w:val="32"/>
        </w:rPr>
        <w:t>《健康坪山行动实施方案》，</w:t>
      </w:r>
      <w:r>
        <w:rPr>
          <w:rFonts w:hint="eastAsia" w:ascii="仿宋_GB2312" w:hAnsi="仿宋_GB2312" w:eastAsia="仿宋_GB2312" w:cs="仿宋_GB2312"/>
          <w:color w:val="000000"/>
          <w:sz w:val="32"/>
          <w:szCs w:val="32"/>
        </w:rPr>
        <w:t>从</w:t>
      </w:r>
      <w:r>
        <w:rPr>
          <w:rFonts w:ascii="仿宋_GB2312" w:hAnsi="仿宋_GB2312" w:eastAsia="仿宋_GB2312" w:cs="仿宋_GB2312"/>
          <w:color w:val="000000"/>
          <w:sz w:val="32"/>
          <w:szCs w:val="32"/>
        </w:rPr>
        <w:t>普及健康生活、优化健康服务、完善健康保障、建设健康环境、发展健康产业等5个方面，推动实施健康素养促进、全民健身、公共卫生强化、医疗服务提升、中医药协调创新发展、重点人群健康保障、健康保障提升、健康环境促进、食品药品安全、公共安全保障、健康产业促进等11项行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旨在通过推进健康坪山建设，使坪山辖区居民享有高质量的健康服务和高水平的健康保障。</w:t>
      </w:r>
    </w:p>
    <w:p>
      <w:pPr>
        <w:pStyle w:val="2"/>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44.“双元”：</w:t>
      </w:r>
      <w:r>
        <w:rPr>
          <w:rFonts w:hint="eastAsia" w:ascii="仿宋_GB2312" w:hAnsi="仿宋_GB2312" w:eastAsia="仿宋_GB2312" w:cs="仿宋_GB2312"/>
          <w:color w:val="000000"/>
          <w:sz w:val="32"/>
          <w:szCs w:val="32"/>
        </w:rPr>
        <w:t>指以校企双主体育人为根本，以“学生”“学徒”双重身份为保证，以岗位成才为路径的深层次校企合作人才培养形式。</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45.“全域自然博物馆”：</w:t>
      </w:r>
      <w:r>
        <w:rPr>
          <w:rFonts w:hint="eastAsia" w:ascii="仿宋_GB2312" w:hAnsi="仿宋_GB2312" w:eastAsia="仿宋_GB2312" w:cs="仿宋_GB2312"/>
          <w:color w:val="000000"/>
          <w:sz w:val="32"/>
          <w:szCs w:val="32"/>
        </w:rPr>
        <w:t>指通过将全区山、水、林、田、湖、草以及百年人文历史转换为生动的环境教育资源，并在已建成的公园、绿道中建设各式主题研习径，打造环境友好型、智慧型、艺术型的环境解说系统，为市民在徒步游览中提供身临其境的自然教育内容，从而在实地中、在自然中让市民感受研习体验。</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46.“放管服”改革：</w:t>
      </w:r>
      <w:r>
        <w:fldChar w:fldCharType="begin"/>
      </w:r>
      <w:r>
        <w:instrText xml:space="preserve"> HYPERLINK "https://baike.baidu.com/item/%E7%AE%80%E6%94%BF%E6%94%BE%E6%9D%83/2777365" \t "https://baike.baidu.com/item/%E6%94%BE%E7%AE%A1%E6%9C%8D/_blank" </w:instrText>
      </w:r>
      <w:r>
        <w:fldChar w:fldCharType="separate"/>
      </w:r>
      <w:r>
        <w:rPr>
          <w:rFonts w:hint="eastAsia" w:ascii="仿宋_GB2312" w:hAnsi="仿宋_GB2312" w:eastAsia="仿宋_GB2312" w:cs="仿宋_GB2312"/>
          <w:color w:val="000000"/>
          <w:sz w:val="32"/>
          <w:szCs w:val="32"/>
        </w:rPr>
        <w:t>简政放权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、放管结合、优化服务的简称。“放”即简政放权，降低准入门槛。“管”即公正监管，促进公平竞争。“服”即高效服务，营造便利环境。</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47.“秒批”：</w:t>
      </w:r>
      <w:r>
        <w:rPr>
          <w:rFonts w:hint="eastAsia" w:ascii="仿宋_GB2312" w:hAnsi="仿宋_GB2312" w:eastAsia="仿宋_GB2312" w:cs="仿宋_GB2312"/>
          <w:color w:val="000000"/>
          <w:sz w:val="32"/>
          <w:szCs w:val="32"/>
        </w:rPr>
        <w:t>即无人干预自动审批服务，是申请人提交申请信息，系统按照既定规则，通过数据共享，实时比对核验申请信息，自动做出审批决定，并将审批结果及时主动告知申请人的政务服务新模式。</w:t>
      </w:r>
    </w:p>
    <w:p>
      <w:pPr>
        <w:pStyle w:val="2"/>
        <w:spacing w:line="560" w:lineRule="exact"/>
        <w:ind w:firstLine="640" w:firstLineChars="200"/>
      </w:pPr>
      <w:r>
        <w:rPr>
          <w:rFonts w:hint="eastAsia" w:ascii="黑体" w:hAnsi="黑体" w:eastAsia="黑体" w:cs="黑体"/>
          <w:color w:val="000000"/>
          <w:sz w:val="32"/>
          <w:szCs w:val="32"/>
        </w:rPr>
        <w:t>48“密码+区块链”孵化器：</w:t>
      </w:r>
      <w:r>
        <w:rPr>
          <w:rFonts w:hint="eastAsia" w:ascii="仿宋_GB2312" w:eastAsia="仿宋_GB2312"/>
          <w:sz w:val="32"/>
          <w:szCs w:val="32"/>
        </w:rPr>
        <w:t>由区属国企鼎铉公司建设运营的全国首个服务于密码、区块链产业发展的专业科技创新平台。孵化器位于我区创新广场B座17层，旨在以坪山区政府为主导，充分发挥鼎铉公司产业资源优势，为密码、区块链领域的创业公司和团队提供密码、区块链领域的技术支持、培训、交流及产业上下游对接、技术成果转化等特色服务。</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60279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ED8"/>
    <w:rsid w:val="00172A27"/>
    <w:rsid w:val="002E7BD3"/>
    <w:rsid w:val="00390D4B"/>
    <w:rsid w:val="004156D5"/>
    <w:rsid w:val="004C43CD"/>
    <w:rsid w:val="00526653"/>
    <w:rsid w:val="005F4A1F"/>
    <w:rsid w:val="00671806"/>
    <w:rsid w:val="00695FD9"/>
    <w:rsid w:val="00785FD3"/>
    <w:rsid w:val="00844EDC"/>
    <w:rsid w:val="00855263"/>
    <w:rsid w:val="009760F0"/>
    <w:rsid w:val="009F4C09"/>
    <w:rsid w:val="00DA2F5F"/>
    <w:rsid w:val="00F6087C"/>
    <w:rsid w:val="00F900AD"/>
    <w:rsid w:val="01C71573"/>
    <w:rsid w:val="0208129A"/>
    <w:rsid w:val="02706A92"/>
    <w:rsid w:val="02803F95"/>
    <w:rsid w:val="02F36981"/>
    <w:rsid w:val="030946FC"/>
    <w:rsid w:val="03466424"/>
    <w:rsid w:val="035B7B9E"/>
    <w:rsid w:val="03894601"/>
    <w:rsid w:val="03CB6B77"/>
    <w:rsid w:val="03E4656C"/>
    <w:rsid w:val="04224931"/>
    <w:rsid w:val="04511807"/>
    <w:rsid w:val="04AC1C9D"/>
    <w:rsid w:val="0554326C"/>
    <w:rsid w:val="05930BA8"/>
    <w:rsid w:val="07C34CEB"/>
    <w:rsid w:val="07CE6C98"/>
    <w:rsid w:val="08925DC1"/>
    <w:rsid w:val="08D566AA"/>
    <w:rsid w:val="08E77348"/>
    <w:rsid w:val="09021236"/>
    <w:rsid w:val="0933479B"/>
    <w:rsid w:val="094818BA"/>
    <w:rsid w:val="09777D0C"/>
    <w:rsid w:val="0A7F5711"/>
    <w:rsid w:val="0AB702D3"/>
    <w:rsid w:val="0AFF111C"/>
    <w:rsid w:val="0B2612FF"/>
    <w:rsid w:val="0B4D24CB"/>
    <w:rsid w:val="0BC8686C"/>
    <w:rsid w:val="0C0A12EF"/>
    <w:rsid w:val="0C127168"/>
    <w:rsid w:val="0C134DE7"/>
    <w:rsid w:val="0C7C3334"/>
    <w:rsid w:val="0CF6198A"/>
    <w:rsid w:val="0D634E80"/>
    <w:rsid w:val="0D706E14"/>
    <w:rsid w:val="0DD55FE9"/>
    <w:rsid w:val="0DDA5AB4"/>
    <w:rsid w:val="0DEE64F6"/>
    <w:rsid w:val="0E2C01F3"/>
    <w:rsid w:val="0F2307E9"/>
    <w:rsid w:val="0F3F3E22"/>
    <w:rsid w:val="0F982404"/>
    <w:rsid w:val="10176A2A"/>
    <w:rsid w:val="101B33F7"/>
    <w:rsid w:val="103012E5"/>
    <w:rsid w:val="10875838"/>
    <w:rsid w:val="110E223D"/>
    <w:rsid w:val="11662481"/>
    <w:rsid w:val="11BB14CC"/>
    <w:rsid w:val="11C71909"/>
    <w:rsid w:val="11D66792"/>
    <w:rsid w:val="120866A8"/>
    <w:rsid w:val="1244435C"/>
    <w:rsid w:val="126B7FBE"/>
    <w:rsid w:val="12710B2A"/>
    <w:rsid w:val="12871261"/>
    <w:rsid w:val="13553426"/>
    <w:rsid w:val="13745222"/>
    <w:rsid w:val="13930D16"/>
    <w:rsid w:val="13AE128E"/>
    <w:rsid w:val="14854129"/>
    <w:rsid w:val="15FE7DB1"/>
    <w:rsid w:val="169E4123"/>
    <w:rsid w:val="16BF544E"/>
    <w:rsid w:val="1719198F"/>
    <w:rsid w:val="175010E4"/>
    <w:rsid w:val="176B57F0"/>
    <w:rsid w:val="17EA4AD1"/>
    <w:rsid w:val="181518A2"/>
    <w:rsid w:val="194E516A"/>
    <w:rsid w:val="19B2359A"/>
    <w:rsid w:val="1AFE7536"/>
    <w:rsid w:val="1C061C35"/>
    <w:rsid w:val="1C321CF8"/>
    <w:rsid w:val="1C483F8F"/>
    <w:rsid w:val="1C7F7061"/>
    <w:rsid w:val="1CA37C42"/>
    <w:rsid w:val="1D0D5F0A"/>
    <w:rsid w:val="1E6629D7"/>
    <w:rsid w:val="1E683D3F"/>
    <w:rsid w:val="1EF64993"/>
    <w:rsid w:val="1F08151B"/>
    <w:rsid w:val="202B0DFA"/>
    <w:rsid w:val="20AC6F63"/>
    <w:rsid w:val="20F76D87"/>
    <w:rsid w:val="211E17CC"/>
    <w:rsid w:val="22237286"/>
    <w:rsid w:val="23803547"/>
    <w:rsid w:val="238E712A"/>
    <w:rsid w:val="23D45521"/>
    <w:rsid w:val="23ED4DAC"/>
    <w:rsid w:val="23F57244"/>
    <w:rsid w:val="244750D2"/>
    <w:rsid w:val="248D73F0"/>
    <w:rsid w:val="257F55F3"/>
    <w:rsid w:val="267A5EB7"/>
    <w:rsid w:val="26AF137C"/>
    <w:rsid w:val="26EB6720"/>
    <w:rsid w:val="27394D69"/>
    <w:rsid w:val="27716FAD"/>
    <w:rsid w:val="278815A5"/>
    <w:rsid w:val="2788497B"/>
    <w:rsid w:val="27935845"/>
    <w:rsid w:val="27FF48EF"/>
    <w:rsid w:val="287B7A15"/>
    <w:rsid w:val="294E256C"/>
    <w:rsid w:val="296C2388"/>
    <w:rsid w:val="29B01A74"/>
    <w:rsid w:val="29DC43C0"/>
    <w:rsid w:val="2A0B0283"/>
    <w:rsid w:val="2AE01645"/>
    <w:rsid w:val="2B0B4A4C"/>
    <w:rsid w:val="2BB87200"/>
    <w:rsid w:val="2BE0704C"/>
    <w:rsid w:val="2BF30B8B"/>
    <w:rsid w:val="2C0F7206"/>
    <w:rsid w:val="2C7C01E2"/>
    <w:rsid w:val="2D6205C4"/>
    <w:rsid w:val="2D655DF1"/>
    <w:rsid w:val="2D8359E0"/>
    <w:rsid w:val="2E496B89"/>
    <w:rsid w:val="2EA14CD5"/>
    <w:rsid w:val="2ECB6AFC"/>
    <w:rsid w:val="2F654D66"/>
    <w:rsid w:val="2FF76E5A"/>
    <w:rsid w:val="305E5854"/>
    <w:rsid w:val="30C85D36"/>
    <w:rsid w:val="31486920"/>
    <w:rsid w:val="31B979F1"/>
    <w:rsid w:val="31DF5EFF"/>
    <w:rsid w:val="32512031"/>
    <w:rsid w:val="32B2346C"/>
    <w:rsid w:val="33384F63"/>
    <w:rsid w:val="339F3008"/>
    <w:rsid w:val="34164151"/>
    <w:rsid w:val="34C231D3"/>
    <w:rsid w:val="34F93341"/>
    <w:rsid w:val="35564842"/>
    <w:rsid w:val="35761956"/>
    <w:rsid w:val="364854CA"/>
    <w:rsid w:val="36765537"/>
    <w:rsid w:val="36E7569C"/>
    <w:rsid w:val="372F2384"/>
    <w:rsid w:val="377416F8"/>
    <w:rsid w:val="37BB0C5C"/>
    <w:rsid w:val="382507A3"/>
    <w:rsid w:val="388132F9"/>
    <w:rsid w:val="38922D4C"/>
    <w:rsid w:val="38962F1C"/>
    <w:rsid w:val="38A744CD"/>
    <w:rsid w:val="38DE1CC2"/>
    <w:rsid w:val="39885C73"/>
    <w:rsid w:val="39EC62DB"/>
    <w:rsid w:val="3A9B0639"/>
    <w:rsid w:val="3AF53004"/>
    <w:rsid w:val="3B3104C9"/>
    <w:rsid w:val="3CD41D1F"/>
    <w:rsid w:val="3D7D66C1"/>
    <w:rsid w:val="3D80184B"/>
    <w:rsid w:val="3E2845EB"/>
    <w:rsid w:val="3E962464"/>
    <w:rsid w:val="3E9E4D89"/>
    <w:rsid w:val="3ED94C99"/>
    <w:rsid w:val="3F7B3186"/>
    <w:rsid w:val="3FA218C0"/>
    <w:rsid w:val="3FD746B1"/>
    <w:rsid w:val="3FE77C75"/>
    <w:rsid w:val="3FF50B62"/>
    <w:rsid w:val="407E73A8"/>
    <w:rsid w:val="408F3077"/>
    <w:rsid w:val="40B4418D"/>
    <w:rsid w:val="40D73C0D"/>
    <w:rsid w:val="40D97039"/>
    <w:rsid w:val="40EE5359"/>
    <w:rsid w:val="40F053BD"/>
    <w:rsid w:val="41456505"/>
    <w:rsid w:val="415831B0"/>
    <w:rsid w:val="419F048F"/>
    <w:rsid w:val="424C3E06"/>
    <w:rsid w:val="42955FBC"/>
    <w:rsid w:val="43D12E1E"/>
    <w:rsid w:val="43DD02DF"/>
    <w:rsid w:val="44721F6E"/>
    <w:rsid w:val="44976701"/>
    <w:rsid w:val="45681558"/>
    <w:rsid w:val="4630397B"/>
    <w:rsid w:val="474F12AD"/>
    <w:rsid w:val="48343E0B"/>
    <w:rsid w:val="488E09CE"/>
    <w:rsid w:val="491C4DB3"/>
    <w:rsid w:val="492C29C3"/>
    <w:rsid w:val="49C91EA5"/>
    <w:rsid w:val="49F17202"/>
    <w:rsid w:val="4A3472AB"/>
    <w:rsid w:val="4A97035A"/>
    <w:rsid w:val="4B121F26"/>
    <w:rsid w:val="4B5F4310"/>
    <w:rsid w:val="4C3C7D2F"/>
    <w:rsid w:val="4C635B88"/>
    <w:rsid w:val="4C8D08E0"/>
    <w:rsid w:val="4CAD2E1E"/>
    <w:rsid w:val="4CF14382"/>
    <w:rsid w:val="4D0B2735"/>
    <w:rsid w:val="4D11120B"/>
    <w:rsid w:val="4D8315A4"/>
    <w:rsid w:val="4EE61FA6"/>
    <w:rsid w:val="4F484C42"/>
    <w:rsid w:val="5049326D"/>
    <w:rsid w:val="50D31DBF"/>
    <w:rsid w:val="513638CC"/>
    <w:rsid w:val="52670101"/>
    <w:rsid w:val="529E555C"/>
    <w:rsid w:val="52E443F9"/>
    <w:rsid w:val="532B1EAC"/>
    <w:rsid w:val="534E67A3"/>
    <w:rsid w:val="53D36E0C"/>
    <w:rsid w:val="542E1F1C"/>
    <w:rsid w:val="54A9265E"/>
    <w:rsid w:val="554A110A"/>
    <w:rsid w:val="55C050DB"/>
    <w:rsid w:val="56BB1E49"/>
    <w:rsid w:val="57101F9F"/>
    <w:rsid w:val="598C3933"/>
    <w:rsid w:val="59A97909"/>
    <w:rsid w:val="5A6C7E19"/>
    <w:rsid w:val="5A7A3CC9"/>
    <w:rsid w:val="5AE7531A"/>
    <w:rsid w:val="5AE753D2"/>
    <w:rsid w:val="5B014B2A"/>
    <w:rsid w:val="5B095DFB"/>
    <w:rsid w:val="5B381CDE"/>
    <w:rsid w:val="5BA21039"/>
    <w:rsid w:val="5C1820D8"/>
    <w:rsid w:val="5CA26B1B"/>
    <w:rsid w:val="5D30638C"/>
    <w:rsid w:val="5DC27157"/>
    <w:rsid w:val="5E0B2444"/>
    <w:rsid w:val="5E2A7805"/>
    <w:rsid w:val="5E7A6B32"/>
    <w:rsid w:val="5E8730D3"/>
    <w:rsid w:val="5EB9740A"/>
    <w:rsid w:val="5EE63A04"/>
    <w:rsid w:val="5F222C9C"/>
    <w:rsid w:val="60AA23C0"/>
    <w:rsid w:val="60EF6C3A"/>
    <w:rsid w:val="611102ED"/>
    <w:rsid w:val="61283D16"/>
    <w:rsid w:val="61AD6D64"/>
    <w:rsid w:val="621C1EF8"/>
    <w:rsid w:val="621C52A7"/>
    <w:rsid w:val="62246CAC"/>
    <w:rsid w:val="62512B25"/>
    <w:rsid w:val="62645CB9"/>
    <w:rsid w:val="640814F4"/>
    <w:rsid w:val="650B512C"/>
    <w:rsid w:val="66027D44"/>
    <w:rsid w:val="66881A79"/>
    <w:rsid w:val="675A2C9B"/>
    <w:rsid w:val="67765FF9"/>
    <w:rsid w:val="67D954C2"/>
    <w:rsid w:val="67EE7040"/>
    <w:rsid w:val="68906EBD"/>
    <w:rsid w:val="68DF76BB"/>
    <w:rsid w:val="69072828"/>
    <w:rsid w:val="69734B38"/>
    <w:rsid w:val="69C66CBA"/>
    <w:rsid w:val="6A541EB0"/>
    <w:rsid w:val="6A653F83"/>
    <w:rsid w:val="6A8F4125"/>
    <w:rsid w:val="6ACF2997"/>
    <w:rsid w:val="6AD54201"/>
    <w:rsid w:val="6B23047A"/>
    <w:rsid w:val="6B491AC1"/>
    <w:rsid w:val="6B65310A"/>
    <w:rsid w:val="6B8E417E"/>
    <w:rsid w:val="6BF17B9E"/>
    <w:rsid w:val="6C1C68B2"/>
    <w:rsid w:val="6C1F165C"/>
    <w:rsid w:val="6C896B6D"/>
    <w:rsid w:val="6CF86F27"/>
    <w:rsid w:val="6CFD6054"/>
    <w:rsid w:val="6DFD1D8E"/>
    <w:rsid w:val="6E946E14"/>
    <w:rsid w:val="6F1151A7"/>
    <w:rsid w:val="6F2D24B5"/>
    <w:rsid w:val="6F4646F5"/>
    <w:rsid w:val="6F5033A7"/>
    <w:rsid w:val="6F6031B9"/>
    <w:rsid w:val="70A07844"/>
    <w:rsid w:val="70BD6BEC"/>
    <w:rsid w:val="70FB542E"/>
    <w:rsid w:val="713B359C"/>
    <w:rsid w:val="72693DD3"/>
    <w:rsid w:val="72946861"/>
    <w:rsid w:val="729B552D"/>
    <w:rsid w:val="72D93A37"/>
    <w:rsid w:val="72E93254"/>
    <w:rsid w:val="73117F25"/>
    <w:rsid w:val="73374D51"/>
    <w:rsid w:val="737C3830"/>
    <w:rsid w:val="73AC0A3E"/>
    <w:rsid w:val="7407240A"/>
    <w:rsid w:val="74D2295A"/>
    <w:rsid w:val="75713833"/>
    <w:rsid w:val="75AC5E48"/>
    <w:rsid w:val="761C48B7"/>
    <w:rsid w:val="771363D0"/>
    <w:rsid w:val="774A7A4F"/>
    <w:rsid w:val="7780375B"/>
    <w:rsid w:val="77A32B7A"/>
    <w:rsid w:val="78167F35"/>
    <w:rsid w:val="78325271"/>
    <w:rsid w:val="783E4DBA"/>
    <w:rsid w:val="788423BD"/>
    <w:rsid w:val="78CD4D60"/>
    <w:rsid w:val="79683843"/>
    <w:rsid w:val="79D05EE7"/>
    <w:rsid w:val="79E05140"/>
    <w:rsid w:val="79FE2402"/>
    <w:rsid w:val="7A0D2EF1"/>
    <w:rsid w:val="7AF1639E"/>
    <w:rsid w:val="7B3A5B18"/>
    <w:rsid w:val="7B3C3616"/>
    <w:rsid w:val="7BD03E7A"/>
    <w:rsid w:val="7C947B7F"/>
    <w:rsid w:val="7E9E6422"/>
    <w:rsid w:val="7EA511DB"/>
    <w:rsid w:val="7F816D42"/>
    <w:rsid w:val="7F833C52"/>
    <w:rsid w:val="7F883D62"/>
    <w:rsid w:val="DFEF9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paragraph" w:customStyle="1" w:styleId="10">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character" w:customStyle="1" w:styleId="11">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9</Pages>
  <Words>1234</Words>
  <Characters>7039</Characters>
  <Lines>58</Lines>
  <Paragraphs>16</Paragraphs>
  <TotalTime>1</TotalTime>
  <ScaleCrop>false</ScaleCrop>
  <LinksUpToDate>false</LinksUpToDate>
  <CharactersWithSpaces>8257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2020-02-22T14:24:00Z</dcterms:created>
  <dc:creator>吴比佳</dc:creator>
  <cp:lastModifiedBy>xzk</cp:lastModifiedBy>
  <cp:lastPrinted>2020-01-13T10:29:00Z</cp:lastPrinted>
  <dcterms:modified xsi:type="dcterms:W3CDTF">2023-01-09T09:44:59Z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