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78" w:lineRule="exact"/>
        <w:rPr>
          <w:rFonts w:ascii="方正小标宋_GBK" w:hAnsi="方正小标宋_GBK" w:eastAsia="方正小标宋_GBK" w:cs="方正小标宋_GBK"/>
          <w:b w:val="0"/>
          <w:bCs/>
          <w:color w:val="auto"/>
          <w:sz w:val="36"/>
          <w:szCs w:val="36"/>
        </w:rPr>
      </w:pPr>
      <w:bookmarkStart w:id="0" w:name="_GoBack"/>
      <w:bookmarkEnd w:id="0"/>
      <w:r>
        <w:rPr>
          <w:rFonts w:hint="eastAsia" w:ascii="方正小标宋_GBK" w:hAnsi="方正小标宋_GBK" w:eastAsia="方正小标宋_GBK" w:cs="方正小标宋_GBK"/>
          <w:b w:val="0"/>
          <w:bCs/>
          <w:color w:val="auto"/>
          <w:sz w:val="36"/>
          <w:szCs w:val="36"/>
        </w:rPr>
        <w:t>宣传策划及确权服务采购需求</w:t>
      </w:r>
    </w:p>
    <w:p>
      <w:pPr>
        <w:pStyle w:val="5"/>
        <w:spacing w:before="0" w:after="0" w:line="578" w:lineRule="exact"/>
        <w:rPr>
          <w:color w:val="auto"/>
          <w:sz w:val="24"/>
          <w:szCs w:val="24"/>
        </w:rPr>
      </w:pPr>
    </w:p>
    <w:p>
      <w:pPr>
        <w:spacing w:line="556" w:lineRule="exact"/>
        <w:ind w:firstLine="480" w:firstLineChars="200"/>
        <w:rPr>
          <w:rFonts w:ascii="黑体" w:hAnsi="黑体" w:eastAsia="黑体" w:cs="仿宋"/>
          <w:color w:val="auto"/>
          <w:sz w:val="24"/>
          <w:szCs w:val="24"/>
        </w:rPr>
      </w:pPr>
      <w:r>
        <w:rPr>
          <w:rFonts w:hint="eastAsia" w:ascii="黑体" w:hAnsi="黑体" w:eastAsia="黑体" w:cs="仿宋"/>
          <w:color w:val="auto"/>
          <w:sz w:val="24"/>
          <w:szCs w:val="24"/>
        </w:rPr>
        <w:t>一、采购服务内容</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坪山区坪山街道公共事务中心城市更新和土地整备部宣传策划及确权服务具体包括以下内容：</w:t>
      </w:r>
    </w:p>
    <w:p>
      <w:pPr>
        <w:numPr>
          <w:ilvl w:val="0"/>
          <w:numId w:val="1"/>
        </w:numPr>
        <w:spacing w:line="556"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负责日常工作数据、照片、视频等信息的收集、整理、归档。</w:t>
      </w:r>
    </w:p>
    <w:p>
      <w:pPr>
        <w:numPr>
          <w:ilvl w:val="0"/>
          <w:numId w:val="1"/>
        </w:numPr>
        <w:spacing w:line="556"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负责工作动态撰写，宣传稿的草拟、审核和报批；负责联系新闻媒体，协助采购单位加强宣传工作的统筹和规划。</w:t>
      </w:r>
    </w:p>
    <w:p>
      <w:pPr>
        <w:numPr>
          <w:ilvl w:val="0"/>
          <w:numId w:val="1"/>
        </w:numPr>
        <w:spacing w:line="556"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负责开展对新入职的工作人员的法律、法规和政策宣讲；负责入户开展法律法规和政策宣传。</w:t>
      </w:r>
    </w:p>
    <w:p>
      <w:pPr>
        <w:numPr>
          <w:ilvl w:val="0"/>
          <w:numId w:val="1"/>
        </w:numPr>
        <w:spacing w:line="556"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负责对不配合土地整备和房屋征收补偿的被补偿对象进行法律、法规和政策宣传。</w:t>
      </w:r>
    </w:p>
    <w:p>
      <w:pPr>
        <w:numPr>
          <w:ilvl w:val="0"/>
          <w:numId w:val="1"/>
        </w:numPr>
        <w:spacing w:line="556"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负责房屋征收前期调研、了解权利人基本状况、核实确权所需的信息、处理确权疑难问题等其他具体工作。</w:t>
      </w:r>
    </w:p>
    <w:p>
      <w:pPr>
        <w:spacing w:line="556" w:lineRule="exact"/>
        <w:ind w:firstLine="480" w:firstLineChars="200"/>
        <w:rPr>
          <w:rFonts w:ascii="黑体" w:hAnsi="黑体" w:eastAsia="黑体" w:cs="仿宋"/>
          <w:color w:val="auto"/>
          <w:sz w:val="24"/>
          <w:szCs w:val="24"/>
        </w:rPr>
      </w:pPr>
      <w:r>
        <w:rPr>
          <w:rFonts w:hint="eastAsia" w:ascii="黑体" w:hAnsi="黑体" w:eastAsia="黑体" w:cs="仿宋"/>
          <w:color w:val="auto"/>
          <w:sz w:val="24"/>
          <w:szCs w:val="24"/>
        </w:rPr>
        <w:t>二、项目管理和服务要求</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（一）项目管理要求</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投标单位须符合以下要求：</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1、中标单位在确定为成交单位起的十个工作日内与采购单位签订合同；</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2、中标单位必须接受采购单位具体管理方的检查和管理；</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3、投标单位须配合采购单位的采购小组对证明文件进行核证；</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4、采购单位对工作表现不符合岗位要求，经教育仍不改正的项目服务人员，应退回，中标单位对其及时更换顶替；</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5、中标单位应服从采购单位的管理，组织协调好管理工作，以保证高质量完成各项工作；</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6、为确保项目质量，中标单位不得将项目转包、分包；</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7、投标单位若认为采购需求文件的技术要求或其他要求有倾向性或不公正性，可在招标答疑阶段提出，以维护招标行为的公平、公正。</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（二）项目服务要求。</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1.结合实际，中标单位提供优质的服务。</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2.中标单位提供的服务应当严格遵守法律、法规且符合国家、省、市、区的相关法律法规及政策性规定。</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3.中标单位应及时完成采购单位交办的工作内容，避免拖延。</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4.中标单位为采购单位提供服务的工作人员应遵守采购单位工作纪律，服从工作安排，且不得泄露工作中接触的采购单位及第三方的秘密。</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5.为保障工作推进，中标单位工作人员需在采购单位办公场所进行驻点办公。采购单位需提供工作人员必要的办公设备，工作人员的住宿由中标单位自行解决。</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6.中标单位工作人员需无条件服从采购单位的工作管理安排，遵守采购单位制定的考勤制度；项目过程中因工作要求需要工作人员加班加点的，需无条件执行。</w:t>
      </w:r>
    </w:p>
    <w:p>
      <w:pPr>
        <w:spacing w:line="556" w:lineRule="exact"/>
        <w:ind w:firstLine="480" w:firstLineChars="200"/>
        <w:rPr>
          <w:rFonts w:ascii="黑体" w:hAnsi="黑体" w:eastAsia="黑体" w:cs="仿宋"/>
          <w:color w:val="auto"/>
          <w:sz w:val="24"/>
          <w:szCs w:val="24"/>
        </w:rPr>
      </w:pPr>
      <w:r>
        <w:rPr>
          <w:rFonts w:hint="eastAsia" w:ascii="黑体" w:hAnsi="黑体" w:eastAsia="黑体" w:cs="仿宋"/>
          <w:color w:val="auto"/>
          <w:sz w:val="24"/>
          <w:szCs w:val="24"/>
        </w:rPr>
        <w:t>三、供应商资格要求</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1.投标人必须是在中华人民共和国境内注册的独立法人；</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2.投标人参加本次政府采购活动前3年内在经营活动中没有重大违法记录；</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3.截至开标时间为止，未被深圳市各级政府采购主管部门行政处罚（指禁止参与政府采购活动且在有效期内）的投标人；</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4.通过“信用中国”网站（www.creditchina.gov.cn）和中国政府采购网（www.ccgp.gov.cn）查询信用记录，被列入失信被执行人、重大税收违法案件当事人名单或政府采购严重违法失信行为记录名单的供应商，拒绝参与本项目的采购活动。</w:t>
      </w:r>
    </w:p>
    <w:p>
      <w:pPr>
        <w:spacing w:line="556" w:lineRule="exact"/>
        <w:ind w:firstLine="480" w:firstLineChars="200"/>
        <w:rPr>
          <w:rFonts w:ascii="黑体" w:hAnsi="黑体" w:eastAsia="黑体" w:cs="仿宋"/>
          <w:color w:val="auto"/>
          <w:sz w:val="24"/>
          <w:szCs w:val="24"/>
        </w:rPr>
      </w:pPr>
      <w:r>
        <w:rPr>
          <w:rFonts w:hint="eastAsia" w:ascii="黑体" w:hAnsi="黑体" w:eastAsia="黑体" w:cs="仿宋"/>
          <w:color w:val="auto"/>
          <w:sz w:val="24"/>
          <w:szCs w:val="24"/>
        </w:rPr>
        <w:t>四、评标定标方法</w:t>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lang w:eastAsia="zh-Hans"/>
        </w:rPr>
        <w:t>项目</w:t>
      </w:r>
      <w:r>
        <w:rPr>
          <w:rFonts w:hint="eastAsia" w:ascii="仿宋_GB2312" w:hAnsi="仿宋" w:eastAsia="仿宋_GB2312" w:cs="仿宋"/>
          <w:color w:val="auto"/>
          <w:sz w:val="24"/>
          <w:szCs w:val="24"/>
        </w:rPr>
        <w:t>采用综合评分法，即投标文件满足采购需求文件全部实质性要求，且按照评审因素的量化指标评审得分最高的投标人为中标候选人的评标方法。</w:t>
      </w:r>
      <w:r>
        <w:rPr>
          <w:rFonts w:hint="eastAsia" w:ascii="仿宋_GB2312" w:hAnsi="仿宋" w:eastAsia="仿宋_GB2312" w:cs="仿宋"/>
          <w:color w:val="auto"/>
          <w:sz w:val="24"/>
          <w:szCs w:val="24"/>
        </w:rPr>
        <w:tab/>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确定中标单位按评审后得分由高到低顺序排列。得分相同的，按投标报价由低到高顺序排列。得分且投标报价相同的，按技术指标优劣顺序排列。</w:t>
      </w:r>
      <w:r>
        <w:rPr>
          <w:rFonts w:hint="eastAsia" w:ascii="仿宋_GB2312" w:hAnsi="仿宋" w:eastAsia="仿宋_GB2312" w:cs="仿宋"/>
          <w:color w:val="auto"/>
          <w:sz w:val="24"/>
          <w:szCs w:val="24"/>
        </w:rPr>
        <w:tab/>
      </w:r>
    </w:p>
    <w:p>
      <w:pPr>
        <w:spacing w:line="556"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采购小组会对每个通过资格性检查和符合性检查且报价不超过预算金额或投标控制价的投标单位进行评审、打分，然后汇总每个投标单位每项评分因素的评分。</w:t>
      </w:r>
      <w:r>
        <w:rPr>
          <w:rFonts w:hint="eastAsia" w:ascii="仿宋_GB2312" w:hAnsi="仿宋" w:eastAsia="仿宋_GB2312" w:cs="仿宋"/>
          <w:color w:val="auto"/>
          <w:sz w:val="24"/>
          <w:szCs w:val="24"/>
        </w:rPr>
        <w:tab/>
      </w:r>
    </w:p>
    <w:p>
      <w:pPr>
        <w:spacing w:line="556" w:lineRule="exact"/>
        <w:ind w:firstLine="480" w:firstLineChars="200"/>
        <w:rPr>
          <w:color w:val="auto"/>
          <w:sz w:val="24"/>
          <w:szCs w:val="24"/>
        </w:rPr>
      </w:pPr>
      <w:r>
        <w:rPr>
          <w:rFonts w:hint="eastAsia" w:ascii="仿宋_GB2312" w:hAnsi="仿宋" w:eastAsia="仿宋_GB2312" w:cs="仿宋"/>
          <w:color w:val="auto"/>
          <w:sz w:val="24"/>
          <w:szCs w:val="24"/>
        </w:rPr>
        <w:t>采购小组在评标时，按照以下量化的评审因素，对进入该阶段评审的各投标文件进行分析和比较:</w:t>
      </w:r>
    </w:p>
    <w:tbl>
      <w:tblPr>
        <w:tblStyle w:val="16"/>
        <w:tblW w:w="92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25"/>
        <w:gridCol w:w="904"/>
        <w:gridCol w:w="1106"/>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084" w:type="dxa"/>
            <w:gridSpan w:val="4"/>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评分项</w:t>
            </w:r>
          </w:p>
        </w:tc>
        <w:tc>
          <w:tcPr>
            <w:tcW w:w="5137" w:type="dxa"/>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084" w:type="dxa"/>
            <w:gridSpan w:val="4"/>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价格</w:t>
            </w:r>
          </w:p>
        </w:tc>
        <w:tc>
          <w:tcPr>
            <w:tcW w:w="5137" w:type="dxa"/>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序号</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评分因素</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权重</w:t>
            </w:r>
          </w:p>
        </w:tc>
        <w:tc>
          <w:tcPr>
            <w:tcW w:w="1106"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评分方式</w:t>
            </w:r>
          </w:p>
        </w:tc>
        <w:tc>
          <w:tcPr>
            <w:tcW w:w="5137"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1</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价格高低</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20</w:t>
            </w:r>
          </w:p>
        </w:tc>
        <w:tc>
          <w:tcPr>
            <w:tcW w:w="1106"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采购小组打分</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满足采购需求要求且投标价格最低的投标报价为评标基准价，其价格分为满分；其它投标人的价格分统一按照下列公式计算: 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dxa"/>
            <w:gridSpan w:val="4"/>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技术指标</w:t>
            </w:r>
          </w:p>
        </w:tc>
        <w:tc>
          <w:tcPr>
            <w:tcW w:w="5137" w:type="dxa"/>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序 号</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评分因素</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权重</w:t>
            </w:r>
          </w:p>
        </w:tc>
        <w:tc>
          <w:tcPr>
            <w:tcW w:w="1106"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评分方式</w:t>
            </w:r>
          </w:p>
        </w:tc>
        <w:tc>
          <w:tcPr>
            <w:tcW w:w="5137"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1</w:t>
            </w:r>
          </w:p>
        </w:tc>
        <w:tc>
          <w:tcPr>
            <w:tcW w:w="1425" w:type="dxa"/>
            <w:shd w:val="clear" w:color="auto" w:fill="auto"/>
            <w:vAlign w:val="center"/>
          </w:tcPr>
          <w:p>
            <w:pPr>
              <w:wordWrap w:val="0"/>
              <w:jc w:val="center"/>
              <w:rPr>
                <w:rStyle w:val="21"/>
                <w:rFonts w:eastAsia="Times New Roman"/>
                <w:color w:val="auto"/>
                <w:sz w:val="24"/>
                <w:szCs w:val="24"/>
              </w:rPr>
            </w:pPr>
            <w:r>
              <w:rPr>
                <w:rFonts w:hint="eastAsia" w:ascii="宋体" w:hAnsi="宋体" w:eastAsia="Times New Roman" w:cs="宋体"/>
                <w:color w:val="auto"/>
                <w:sz w:val="24"/>
                <w:szCs w:val="24"/>
              </w:rPr>
              <w:t>项目整体设想及规划</w:t>
            </w:r>
          </w:p>
        </w:tc>
        <w:tc>
          <w:tcPr>
            <w:tcW w:w="904"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10</w:t>
            </w:r>
          </w:p>
        </w:tc>
        <w:tc>
          <w:tcPr>
            <w:tcW w:w="1106"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ascii="宋体" w:hAnsi="宋体" w:eastAsia="Times New Roman"/>
                <w:color w:val="auto"/>
                <w:sz w:val="24"/>
                <w:szCs w:val="24"/>
              </w:rPr>
              <w:t>采购小组打分</w:t>
            </w:r>
          </w:p>
        </w:tc>
        <w:tc>
          <w:tcPr>
            <w:tcW w:w="5137" w:type="dxa"/>
            <w:shd w:val="clear" w:color="auto" w:fill="auto"/>
          </w:tcPr>
          <w:p>
            <w:pPr>
              <w:jc w:val="left"/>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（一）评分内容： </w:t>
            </w:r>
          </w:p>
          <w:p>
            <w:pPr>
              <w:jc w:val="left"/>
              <w:rPr>
                <w:rFonts w:ascii="宋体" w:hAnsi="宋体" w:eastAsia="Times New Roman" w:cs="宋体"/>
                <w:color w:val="auto"/>
                <w:sz w:val="24"/>
                <w:szCs w:val="24"/>
              </w:rPr>
            </w:pPr>
            <w:r>
              <w:rPr>
                <w:rFonts w:hint="eastAsia" w:ascii="宋体" w:hAnsi="宋体" w:eastAsia="Times New Roman" w:cs="宋体"/>
                <w:color w:val="auto"/>
                <w:sz w:val="24"/>
                <w:szCs w:val="24"/>
              </w:rPr>
              <w:t>项目整体设想及规划应包含管理目标、管理措施制度、人员培训及管理、服务保障。</w:t>
            </w:r>
          </w:p>
          <w:p>
            <w:pPr>
              <w:jc w:val="left"/>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（二）评分依据： </w:t>
            </w:r>
          </w:p>
          <w:p>
            <w:pPr>
              <w:jc w:val="left"/>
              <w:rPr>
                <w:rFonts w:ascii="宋体" w:hAnsi="宋体" w:eastAsia="Times New Roman" w:cs="宋体"/>
                <w:color w:val="auto"/>
                <w:sz w:val="24"/>
                <w:szCs w:val="24"/>
              </w:rPr>
            </w:pPr>
            <w:r>
              <w:rPr>
                <w:rFonts w:hint="eastAsia" w:ascii="宋体" w:hAnsi="宋体" w:eastAsia="Times New Roman" w:cs="宋体"/>
                <w:color w:val="auto"/>
                <w:sz w:val="24"/>
                <w:szCs w:val="24"/>
              </w:rPr>
              <w:t>项目整体设想及规划包含上述四点（管理目标、管理措施制度、人员培训及管理、服务保障）得6分，满足任意三点得4分，满足任意两点得2分，未提供不得分。在此基础上再根据投标文件相应内容评分：</w:t>
            </w:r>
          </w:p>
          <w:p>
            <w:pPr>
              <w:pStyle w:val="2"/>
              <w:numPr>
                <w:ilvl w:val="0"/>
                <w:numId w:val="2"/>
              </w:numPr>
              <w:rPr>
                <w:rFonts w:eastAsia="Times New Roman"/>
                <w:color w:val="auto"/>
                <w:sz w:val="24"/>
              </w:rPr>
            </w:pPr>
            <w:r>
              <w:rPr>
                <w:rFonts w:hint="eastAsia" w:eastAsia="Times New Roman"/>
                <w:color w:val="auto"/>
                <w:sz w:val="24"/>
              </w:rPr>
              <w:t>管理目标、服务保障清晰明确，管理</w:t>
            </w:r>
          </w:p>
          <w:p>
            <w:pPr>
              <w:pStyle w:val="2"/>
              <w:rPr>
                <w:rFonts w:eastAsia="Times New Roman"/>
                <w:color w:val="auto"/>
                <w:sz w:val="24"/>
              </w:rPr>
            </w:pPr>
            <w:r>
              <w:rPr>
                <w:rFonts w:hint="eastAsia" w:eastAsia="Times New Roman"/>
                <w:color w:val="auto"/>
                <w:sz w:val="24"/>
              </w:rPr>
              <w:t>措施制度、人员培训及管理完善得4分；</w:t>
            </w:r>
          </w:p>
          <w:p>
            <w:pPr>
              <w:rPr>
                <w:rFonts w:hint="eastAsia" w:eastAsia="Times New Roman"/>
                <w:color w:val="auto"/>
                <w:sz w:val="24"/>
                <w:szCs w:val="24"/>
              </w:rPr>
            </w:pPr>
            <w:r>
              <w:rPr>
                <w:rFonts w:hint="eastAsia" w:eastAsia="Times New Roman"/>
                <w:color w:val="auto"/>
                <w:sz w:val="24"/>
                <w:szCs w:val="24"/>
              </w:rPr>
              <w:t>（2）管理目标、服务保障内容一般，管理措施制度、人员培训及管理宽泛的得2分。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2</w:t>
            </w:r>
          </w:p>
        </w:tc>
        <w:tc>
          <w:tcPr>
            <w:tcW w:w="1425" w:type="dxa"/>
            <w:shd w:val="clear" w:color="auto" w:fill="auto"/>
            <w:vAlign w:val="center"/>
          </w:tcPr>
          <w:p>
            <w:pPr>
              <w:wordWrap w:val="0"/>
              <w:jc w:val="center"/>
              <w:rPr>
                <w:rStyle w:val="21"/>
                <w:rFonts w:eastAsia="Times New Roman"/>
                <w:color w:val="auto"/>
                <w:sz w:val="24"/>
                <w:szCs w:val="24"/>
              </w:rPr>
            </w:pPr>
            <w:r>
              <w:rPr>
                <w:rFonts w:hint="eastAsia" w:ascii="宋体" w:hAnsi="宋体" w:eastAsia="Times New Roman" w:cs="宋体"/>
                <w:color w:val="auto"/>
                <w:sz w:val="24"/>
                <w:szCs w:val="24"/>
              </w:rPr>
              <w:t>员工日常管理计划及流程</w:t>
            </w:r>
          </w:p>
        </w:tc>
        <w:tc>
          <w:tcPr>
            <w:tcW w:w="904"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10</w:t>
            </w:r>
          </w:p>
        </w:tc>
        <w:tc>
          <w:tcPr>
            <w:tcW w:w="1106"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ascii="宋体" w:hAnsi="宋体" w:eastAsia="Times New Roman"/>
                <w:color w:val="auto"/>
                <w:sz w:val="24"/>
                <w:szCs w:val="24"/>
              </w:rPr>
              <w:t>采购小组打分</w:t>
            </w:r>
          </w:p>
        </w:tc>
        <w:tc>
          <w:tcPr>
            <w:tcW w:w="5137" w:type="dxa"/>
            <w:shd w:val="clear" w:color="auto" w:fill="auto"/>
          </w:tcPr>
          <w:p>
            <w:pPr>
              <w:jc w:val="left"/>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（一）评分内容： </w:t>
            </w:r>
          </w:p>
          <w:p>
            <w:pPr>
              <w:jc w:val="left"/>
              <w:rPr>
                <w:rFonts w:ascii="宋体" w:hAnsi="宋体" w:eastAsia="Times New Roman" w:cs="宋体"/>
                <w:color w:val="auto"/>
                <w:sz w:val="24"/>
                <w:szCs w:val="24"/>
              </w:rPr>
            </w:pPr>
            <w:r>
              <w:rPr>
                <w:rFonts w:hint="eastAsia" w:ascii="宋体" w:hAnsi="宋体" w:eastAsia="Times New Roman" w:cs="宋体"/>
                <w:color w:val="auto"/>
                <w:sz w:val="24"/>
                <w:szCs w:val="24"/>
              </w:rPr>
              <w:t>员工日常管理计划及流程应包括员工日常管理制度和管理方案</w:t>
            </w:r>
          </w:p>
          <w:p>
            <w:pPr>
              <w:jc w:val="left"/>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（二）评分依据： </w:t>
            </w:r>
          </w:p>
          <w:p>
            <w:pPr>
              <w:jc w:val="left"/>
              <w:rPr>
                <w:rFonts w:ascii="宋体" w:hAnsi="宋体" w:eastAsia="Times New Roman" w:cs="宋体"/>
                <w:color w:val="auto"/>
                <w:sz w:val="24"/>
                <w:szCs w:val="24"/>
              </w:rPr>
            </w:pPr>
            <w:r>
              <w:rPr>
                <w:rFonts w:hint="eastAsia" w:ascii="宋体" w:hAnsi="宋体" w:eastAsia="Times New Roman" w:cs="宋体"/>
                <w:color w:val="auto"/>
                <w:sz w:val="24"/>
                <w:szCs w:val="24"/>
              </w:rPr>
              <w:t>员工日常管理计划及流程包含上述两点（员工日常管理制度和管理方案）得6分，满足任意一点得</w:t>
            </w:r>
            <w:r>
              <w:rPr>
                <w:rFonts w:ascii="宋体" w:hAnsi="宋体" w:eastAsia="Times New Roman" w:cs="宋体"/>
                <w:color w:val="auto"/>
                <w:sz w:val="24"/>
                <w:szCs w:val="24"/>
              </w:rPr>
              <w:t>3</w:t>
            </w:r>
            <w:r>
              <w:rPr>
                <w:rFonts w:hint="eastAsia" w:ascii="宋体" w:hAnsi="宋体" w:eastAsia="Times New Roman" w:cs="宋体"/>
                <w:color w:val="auto"/>
                <w:sz w:val="24"/>
                <w:szCs w:val="24"/>
              </w:rPr>
              <w:t>分，未提供不得分。在此基础上再根据投标文件相应内容评分：</w:t>
            </w:r>
          </w:p>
          <w:p>
            <w:pPr>
              <w:pStyle w:val="2"/>
              <w:numPr>
                <w:ilvl w:val="0"/>
                <w:numId w:val="3"/>
              </w:numPr>
              <w:rPr>
                <w:rFonts w:eastAsia="Times New Roman"/>
                <w:color w:val="auto"/>
                <w:sz w:val="24"/>
              </w:rPr>
            </w:pPr>
            <w:r>
              <w:rPr>
                <w:rFonts w:hint="eastAsia" w:ascii="宋体" w:hAnsi="宋体" w:eastAsia="Times New Roman" w:cs="宋体"/>
                <w:color w:val="auto"/>
                <w:sz w:val="24"/>
              </w:rPr>
              <w:t>员工日常管理制度规范、完整，管理计划</w:t>
            </w:r>
          </w:p>
          <w:p>
            <w:pPr>
              <w:pStyle w:val="2"/>
              <w:rPr>
                <w:rFonts w:eastAsia="Times New Roman"/>
                <w:color w:val="auto"/>
                <w:sz w:val="24"/>
              </w:rPr>
            </w:pPr>
            <w:r>
              <w:rPr>
                <w:rFonts w:hint="eastAsia" w:ascii="宋体" w:hAnsi="宋体" w:eastAsia="Times New Roman" w:cs="宋体"/>
                <w:color w:val="auto"/>
                <w:sz w:val="24"/>
              </w:rPr>
              <w:t>及流程清晰明确方案</w:t>
            </w:r>
            <w:r>
              <w:rPr>
                <w:rFonts w:hint="eastAsia" w:eastAsia="Times New Roman"/>
                <w:color w:val="auto"/>
                <w:sz w:val="24"/>
              </w:rPr>
              <w:t>得4分；</w:t>
            </w:r>
          </w:p>
          <w:p>
            <w:pPr>
              <w:textAlignment w:val="baseline"/>
              <w:rPr>
                <w:rStyle w:val="21"/>
                <w:rFonts w:eastAsia="Times New Roman"/>
                <w:color w:val="auto"/>
                <w:sz w:val="24"/>
                <w:szCs w:val="24"/>
              </w:rPr>
            </w:pPr>
            <w:r>
              <w:rPr>
                <w:rFonts w:hint="eastAsia" w:eastAsia="Times New Roman"/>
                <w:color w:val="auto"/>
                <w:sz w:val="24"/>
                <w:szCs w:val="24"/>
              </w:rPr>
              <w:t>（2）</w:t>
            </w:r>
            <w:r>
              <w:rPr>
                <w:rFonts w:hint="eastAsia" w:ascii="宋体" w:hAnsi="宋体" w:eastAsia="Times New Roman" w:cs="宋体"/>
                <w:color w:val="auto"/>
                <w:sz w:val="24"/>
                <w:szCs w:val="24"/>
              </w:rPr>
              <w:t>员工日常管理制度、管理计划及流程方案一般</w:t>
            </w:r>
            <w:r>
              <w:rPr>
                <w:rFonts w:hint="eastAsia" w:eastAsia="Times New Roman"/>
                <w:color w:val="auto"/>
                <w:sz w:val="24"/>
                <w:szCs w:val="24"/>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3</w:t>
            </w:r>
          </w:p>
        </w:tc>
        <w:tc>
          <w:tcPr>
            <w:tcW w:w="1425" w:type="dxa"/>
            <w:shd w:val="clear" w:color="auto" w:fill="auto"/>
            <w:vAlign w:val="center"/>
          </w:tcPr>
          <w:p>
            <w:pPr>
              <w:wordWrap w:val="0"/>
              <w:jc w:val="center"/>
              <w:rPr>
                <w:rFonts w:ascii="宋体" w:hAnsi="宋体" w:eastAsia="Times New Roman" w:cs="宋体"/>
                <w:color w:val="auto"/>
                <w:sz w:val="24"/>
                <w:szCs w:val="24"/>
              </w:rPr>
            </w:pPr>
            <w:r>
              <w:rPr>
                <w:rFonts w:hint="eastAsia" w:ascii="宋体" w:hAnsi="宋体" w:eastAsia="Times New Roman" w:cs="宋体"/>
                <w:color w:val="auto"/>
                <w:sz w:val="24"/>
                <w:szCs w:val="24"/>
              </w:rPr>
              <w:t>应急管理及劳动争议处理</w:t>
            </w:r>
          </w:p>
          <w:p>
            <w:pPr>
              <w:widowControl/>
              <w:jc w:val="center"/>
              <w:textAlignment w:val="baseline"/>
              <w:rPr>
                <w:rStyle w:val="21"/>
                <w:rFonts w:eastAsia="Times New Roman"/>
                <w:color w:val="auto"/>
                <w:sz w:val="24"/>
                <w:szCs w:val="24"/>
              </w:rPr>
            </w:pPr>
          </w:p>
        </w:tc>
        <w:tc>
          <w:tcPr>
            <w:tcW w:w="904"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hint="eastAsia" w:ascii="宋体" w:hAnsi="宋体" w:eastAsia="Times New Roman"/>
                <w:color w:val="auto"/>
                <w:sz w:val="24"/>
                <w:szCs w:val="24"/>
              </w:rPr>
              <w:t>10</w:t>
            </w:r>
          </w:p>
        </w:tc>
        <w:tc>
          <w:tcPr>
            <w:tcW w:w="1106" w:type="dxa"/>
            <w:shd w:val="clear" w:color="auto" w:fill="auto"/>
            <w:vAlign w:val="center"/>
          </w:tcPr>
          <w:p>
            <w:pPr>
              <w:jc w:val="center"/>
              <w:textAlignment w:val="baseline"/>
              <w:rPr>
                <w:rStyle w:val="21"/>
                <w:rFonts w:ascii="宋体" w:hAnsi="宋体" w:eastAsia="Times New Roman"/>
                <w:color w:val="auto"/>
                <w:sz w:val="24"/>
                <w:szCs w:val="24"/>
              </w:rPr>
            </w:pPr>
            <w:r>
              <w:rPr>
                <w:rStyle w:val="21"/>
                <w:rFonts w:ascii="宋体" w:hAnsi="宋体" w:eastAsia="Times New Roman"/>
                <w:color w:val="auto"/>
                <w:sz w:val="24"/>
                <w:szCs w:val="24"/>
              </w:rPr>
              <w:t>采购小组打分</w:t>
            </w:r>
          </w:p>
        </w:tc>
        <w:tc>
          <w:tcPr>
            <w:tcW w:w="5137" w:type="dxa"/>
            <w:shd w:val="clear" w:color="auto" w:fill="auto"/>
          </w:tcPr>
          <w:p>
            <w:pPr>
              <w:wordWrap w:val="0"/>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（一）评分内容： </w:t>
            </w:r>
          </w:p>
          <w:p>
            <w:pPr>
              <w:wordWrap w:val="0"/>
              <w:rPr>
                <w:rFonts w:ascii="宋体" w:hAnsi="宋体" w:eastAsia="Times New Roman" w:cs="宋体"/>
                <w:color w:val="auto"/>
                <w:sz w:val="24"/>
                <w:szCs w:val="24"/>
              </w:rPr>
            </w:pPr>
            <w:r>
              <w:rPr>
                <w:rFonts w:hint="eastAsia" w:ascii="宋体" w:hAnsi="宋体" w:eastAsia="Times New Roman" w:cs="宋体"/>
                <w:color w:val="auto"/>
                <w:sz w:val="24"/>
                <w:szCs w:val="24"/>
              </w:rPr>
              <w:t>应急管理及劳动争议处理应包括流程和合理处理措施。</w:t>
            </w:r>
          </w:p>
          <w:p>
            <w:pPr>
              <w:wordWrap w:val="0"/>
              <w:rPr>
                <w:rFonts w:ascii="宋体" w:hAnsi="宋体" w:eastAsia="Times New Roman" w:cs="宋体"/>
                <w:b/>
                <w:color w:val="auto"/>
                <w:sz w:val="24"/>
                <w:szCs w:val="24"/>
              </w:rPr>
            </w:pPr>
            <w:r>
              <w:rPr>
                <w:rFonts w:hint="eastAsia" w:ascii="宋体" w:hAnsi="宋体" w:eastAsia="Times New Roman" w:cs="宋体"/>
                <w:b/>
                <w:color w:val="auto"/>
                <w:sz w:val="24"/>
                <w:szCs w:val="24"/>
              </w:rPr>
              <w:t xml:space="preserve">（二）评分依据： </w:t>
            </w:r>
          </w:p>
          <w:p>
            <w:pPr>
              <w:wordWrap w:val="0"/>
              <w:rPr>
                <w:rFonts w:ascii="宋体" w:hAnsi="宋体" w:eastAsia="Times New Roman" w:cs="宋体"/>
                <w:color w:val="auto"/>
                <w:sz w:val="24"/>
                <w:szCs w:val="24"/>
              </w:rPr>
            </w:pPr>
            <w:r>
              <w:rPr>
                <w:rFonts w:hint="eastAsia" w:ascii="宋体" w:hAnsi="宋体" w:eastAsia="Times New Roman" w:cs="宋体"/>
                <w:color w:val="auto"/>
                <w:sz w:val="24"/>
                <w:szCs w:val="24"/>
              </w:rPr>
              <w:t>应急管理及劳动争议处理包含上述两点（流程和合理处理措施）得6分，满足任意一点得</w:t>
            </w:r>
            <w:r>
              <w:rPr>
                <w:rFonts w:ascii="宋体" w:hAnsi="宋体" w:eastAsia="Times New Roman" w:cs="宋体"/>
                <w:color w:val="auto"/>
                <w:sz w:val="24"/>
                <w:szCs w:val="24"/>
              </w:rPr>
              <w:t>3</w:t>
            </w:r>
            <w:r>
              <w:rPr>
                <w:rFonts w:hint="eastAsia" w:ascii="宋体" w:hAnsi="宋体" w:eastAsia="Times New Roman" w:cs="宋体"/>
                <w:color w:val="auto"/>
                <w:sz w:val="24"/>
                <w:szCs w:val="24"/>
              </w:rPr>
              <w:t>分，未提供不得分。在此基础上再根据投标文件相应内容评分：</w:t>
            </w:r>
          </w:p>
          <w:p>
            <w:pPr>
              <w:pStyle w:val="2"/>
              <w:numPr>
                <w:ilvl w:val="0"/>
                <w:numId w:val="4"/>
              </w:numPr>
              <w:rPr>
                <w:rFonts w:eastAsia="Times New Roman"/>
                <w:color w:val="auto"/>
                <w:sz w:val="24"/>
              </w:rPr>
            </w:pPr>
            <w:r>
              <w:rPr>
                <w:rFonts w:hint="eastAsia" w:ascii="宋体" w:hAnsi="宋体" w:eastAsia="Times New Roman" w:cs="宋体"/>
                <w:color w:val="auto"/>
                <w:sz w:val="24"/>
              </w:rPr>
              <w:t>应急管理及劳动争议处理的流程完整及</w:t>
            </w:r>
          </w:p>
          <w:p>
            <w:pPr>
              <w:pStyle w:val="2"/>
              <w:rPr>
                <w:rFonts w:eastAsia="Times New Roman"/>
                <w:color w:val="auto"/>
                <w:sz w:val="24"/>
              </w:rPr>
            </w:pPr>
            <w:r>
              <w:rPr>
                <w:rFonts w:hint="eastAsia" w:ascii="宋体" w:hAnsi="宋体" w:eastAsia="Times New Roman" w:cs="宋体"/>
                <w:color w:val="auto"/>
                <w:sz w:val="24"/>
              </w:rPr>
              <w:t>处理措施完善</w:t>
            </w:r>
            <w:r>
              <w:rPr>
                <w:rFonts w:hint="eastAsia" w:eastAsia="Times New Roman"/>
                <w:color w:val="auto"/>
                <w:sz w:val="24"/>
              </w:rPr>
              <w:t>得4分；</w:t>
            </w:r>
          </w:p>
          <w:p>
            <w:pPr>
              <w:textAlignment w:val="baseline"/>
              <w:rPr>
                <w:rStyle w:val="21"/>
                <w:rFonts w:eastAsia="Times New Roman"/>
                <w:color w:val="auto"/>
                <w:sz w:val="24"/>
                <w:szCs w:val="24"/>
              </w:rPr>
            </w:pPr>
            <w:r>
              <w:rPr>
                <w:rFonts w:hint="eastAsia" w:eastAsia="Times New Roman"/>
                <w:color w:val="auto"/>
                <w:sz w:val="24"/>
                <w:szCs w:val="24"/>
              </w:rPr>
              <w:t>（2）</w:t>
            </w:r>
            <w:r>
              <w:rPr>
                <w:rFonts w:hint="eastAsia" w:ascii="宋体" w:hAnsi="宋体" w:eastAsia="Times New Roman" w:cs="宋体"/>
                <w:color w:val="auto"/>
                <w:sz w:val="24"/>
                <w:szCs w:val="24"/>
              </w:rPr>
              <w:t>应急管理及劳动争议处理的流程及处理措施一般</w:t>
            </w:r>
            <w:r>
              <w:rPr>
                <w:rFonts w:hint="eastAsia" w:eastAsia="Times New Roman"/>
                <w:color w:val="auto"/>
                <w:sz w:val="24"/>
                <w:szCs w:val="24"/>
              </w:rPr>
              <w:t>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dxa"/>
            <w:gridSpan w:val="4"/>
            <w:shd w:val="clear" w:color="auto" w:fill="auto"/>
            <w:vAlign w:val="center"/>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综合实力指标</w:t>
            </w:r>
          </w:p>
        </w:tc>
        <w:tc>
          <w:tcPr>
            <w:tcW w:w="5137" w:type="dxa"/>
            <w:shd w:val="clear" w:color="auto" w:fill="auto"/>
          </w:tcPr>
          <w:p>
            <w:pPr>
              <w:spacing w:line="56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序 号</w:t>
            </w:r>
          </w:p>
        </w:tc>
        <w:tc>
          <w:tcPr>
            <w:tcW w:w="1425"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评分因素</w:t>
            </w:r>
          </w:p>
        </w:tc>
        <w:tc>
          <w:tcPr>
            <w:tcW w:w="904"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权重</w:t>
            </w:r>
          </w:p>
        </w:tc>
        <w:tc>
          <w:tcPr>
            <w:tcW w:w="1106"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评分方式</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1</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同类项目业绩</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12</w:t>
            </w:r>
          </w:p>
        </w:tc>
        <w:tc>
          <w:tcPr>
            <w:tcW w:w="1106" w:type="dxa"/>
            <w:shd w:val="clear" w:color="auto" w:fill="auto"/>
            <w:vAlign w:val="center"/>
          </w:tcPr>
          <w:p>
            <w:pPr>
              <w:textAlignment w:val="baseline"/>
              <w:rPr>
                <w:rFonts w:eastAsia="Times New Roman"/>
                <w:color w:val="auto"/>
                <w:sz w:val="24"/>
                <w:szCs w:val="24"/>
                <w:lang w:val="sq-AL"/>
              </w:rPr>
            </w:pPr>
            <w:r>
              <w:rPr>
                <w:rFonts w:hint="eastAsia" w:eastAsia="Times New Roman"/>
                <w:color w:val="auto"/>
                <w:sz w:val="24"/>
                <w:szCs w:val="24"/>
                <w:lang w:val="sq-AL"/>
              </w:rPr>
              <w:t>采购小组 打分</w:t>
            </w:r>
          </w:p>
        </w:tc>
        <w:tc>
          <w:tcPr>
            <w:tcW w:w="5137" w:type="dxa"/>
            <w:shd w:val="clear" w:color="auto" w:fill="auto"/>
            <w:vAlign w:val="center"/>
          </w:tcPr>
          <w:p>
            <w:pPr>
              <w:numPr>
                <w:ilvl w:val="0"/>
                <w:numId w:val="5"/>
              </w:numPr>
              <w:textAlignment w:val="baseline"/>
              <w:rPr>
                <w:rFonts w:eastAsia="Times New Roman"/>
                <w:color w:val="auto"/>
                <w:sz w:val="24"/>
                <w:szCs w:val="24"/>
              </w:rPr>
            </w:pPr>
            <w:r>
              <w:rPr>
                <w:rFonts w:hint="eastAsia" w:eastAsia="Times New Roman"/>
                <w:color w:val="auto"/>
                <w:sz w:val="24"/>
                <w:szCs w:val="24"/>
              </w:rPr>
              <w:t>评审标准：</w:t>
            </w:r>
          </w:p>
          <w:p>
            <w:pPr>
              <w:textAlignment w:val="baseline"/>
              <w:rPr>
                <w:rFonts w:eastAsia="Times New Roman"/>
                <w:color w:val="auto"/>
                <w:sz w:val="24"/>
                <w:szCs w:val="24"/>
              </w:rPr>
            </w:pPr>
            <w:r>
              <w:rPr>
                <w:rFonts w:hint="eastAsia" w:eastAsia="Times New Roman"/>
                <w:color w:val="auto"/>
                <w:sz w:val="24"/>
                <w:szCs w:val="24"/>
              </w:rPr>
              <w:t>投标人具有2020年1月1日至今政府部门劳务外包或购买服务项目经验的，每提供一项得3分，最高得12分。每项业绩须按以下要求提供完整准确的证明文件，一年一签的长期服务续签合同只计算一个业绩。</w:t>
            </w:r>
          </w:p>
          <w:p>
            <w:pPr>
              <w:numPr>
                <w:ilvl w:val="0"/>
                <w:numId w:val="5"/>
              </w:numPr>
              <w:textAlignment w:val="baseline"/>
              <w:rPr>
                <w:rFonts w:eastAsia="Times New Roman"/>
                <w:color w:val="auto"/>
                <w:sz w:val="24"/>
                <w:szCs w:val="24"/>
              </w:rPr>
            </w:pPr>
            <w:r>
              <w:rPr>
                <w:rFonts w:hint="eastAsia" w:eastAsia="Times New Roman"/>
                <w:color w:val="auto"/>
                <w:sz w:val="24"/>
                <w:szCs w:val="24"/>
              </w:rPr>
              <w:t>证明文件</w:t>
            </w:r>
          </w:p>
          <w:p>
            <w:pPr>
              <w:textAlignment w:val="baseline"/>
              <w:rPr>
                <w:rFonts w:eastAsia="Times New Roman"/>
                <w:color w:val="auto"/>
                <w:sz w:val="24"/>
                <w:szCs w:val="24"/>
              </w:rPr>
            </w:pPr>
            <w:r>
              <w:rPr>
                <w:rFonts w:hint="eastAsia" w:eastAsia="Times New Roman"/>
                <w:color w:val="auto"/>
                <w:sz w:val="24"/>
                <w:szCs w:val="24"/>
              </w:rPr>
              <w:t>合同关键页扫描件或复印件（关键信息包括但不仅限于合同的项目名称、服务内容、合同服务的起止时间、签订日期等），原件备查；</w:t>
            </w:r>
          </w:p>
          <w:p>
            <w:pPr>
              <w:textAlignment w:val="baseline"/>
              <w:rPr>
                <w:rFonts w:eastAsia="Times New Roman"/>
                <w:color w:val="auto"/>
                <w:sz w:val="24"/>
                <w:szCs w:val="24"/>
              </w:rPr>
            </w:pPr>
            <w:r>
              <w:rPr>
                <w:rFonts w:hint="eastAsia" w:eastAsia="Times New Roman"/>
                <w:color w:val="auto"/>
                <w:sz w:val="24"/>
                <w:szCs w:val="24"/>
              </w:rPr>
              <w:t>通过合同关键信息无法判断是否得分的，也可以提供能证明得分的其他证明材料，如项目报告或合同</w:t>
            </w:r>
            <w:r>
              <w:rPr>
                <w:rFonts w:hint="eastAsia"/>
                <w:color w:val="auto"/>
                <w:sz w:val="24"/>
                <w:szCs w:val="24"/>
                <w:lang w:val="en-US" w:eastAsia="zh-CN"/>
              </w:rPr>
              <w:t>采购</w:t>
            </w:r>
            <w:r>
              <w:rPr>
                <w:rFonts w:hint="eastAsia" w:eastAsia="Times New Roman"/>
                <w:color w:val="auto"/>
                <w:sz w:val="24"/>
                <w:szCs w:val="24"/>
              </w:rPr>
              <w:t>单位出具的证明文件扫描件或复印件等。项目报告和合同</w:t>
            </w:r>
            <w:r>
              <w:rPr>
                <w:rFonts w:hint="eastAsia"/>
                <w:color w:val="auto"/>
                <w:sz w:val="24"/>
                <w:szCs w:val="24"/>
                <w:lang w:val="en-US" w:eastAsia="zh-CN"/>
              </w:rPr>
              <w:t>采购</w:t>
            </w:r>
            <w:r>
              <w:rPr>
                <w:rFonts w:hint="eastAsia" w:eastAsia="Times New Roman"/>
                <w:color w:val="auto"/>
                <w:sz w:val="24"/>
                <w:szCs w:val="24"/>
              </w:rPr>
              <w:t>单位出具的证明需加盖合同</w:t>
            </w:r>
            <w:r>
              <w:rPr>
                <w:rFonts w:hint="eastAsia"/>
                <w:color w:val="auto"/>
                <w:sz w:val="24"/>
                <w:szCs w:val="24"/>
                <w:lang w:val="en-US" w:eastAsia="zh-CN"/>
              </w:rPr>
              <w:t>采购</w:t>
            </w:r>
            <w:r>
              <w:rPr>
                <w:rFonts w:hint="eastAsia" w:eastAsia="Times New Roman"/>
                <w:color w:val="auto"/>
                <w:sz w:val="24"/>
                <w:szCs w:val="24"/>
              </w:rPr>
              <w:t>单位公章。未按要求提供或提供不清晰导致采购小组无法判断的，不得分。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Fonts w:eastAsia="Times New Roman"/>
                <w:color w:val="auto"/>
                <w:sz w:val="24"/>
                <w:szCs w:val="24"/>
              </w:rPr>
            </w:pPr>
            <w:r>
              <w:rPr>
                <w:rStyle w:val="21"/>
                <w:rFonts w:hint="eastAsia" w:eastAsia="Times New Roman"/>
                <w:color w:val="auto"/>
                <w:sz w:val="24"/>
                <w:szCs w:val="24"/>
              </w:rPr>
              <w:t>2</w:t>
            </w:r>
          </w:p>
        </w:tc>
        <w:tc>
          <w:tcPr>
            <w:tcW w:w="1425" w:type="dxa"/>
            <w:shd w:val="clear" w:color="auto" w:fill="auto"/>
            <w:vAlign w:val="center"/>
          </w:tcPr>
          <w:p>
            <w:pPr>
              <w:jc w:val="center"/>
              <w:textAlignment w:val="baseline"/>
              <w:rPr>
                <w:rFonts w:eastAsia="Times New Roman"/>
                <w:color w:val="auto"/>
                <w:sz w:val="24"/>
                <w:szCs w:val="24"/>
              </w:rPr>
            </w:pPr>
            <w:r>
              <w:rPr>
                <w:rStyle w:val="21"/>
                <w:rFonts w:hint="eastAsia" w:eastAsia="Times New Roman"/>
                <w:color w:val="auto"/>
                <w:sz w:val="24"/>
                <w:szCs w:val="24"/>
              </w:rPr>
              <w:t>履约评价</w:t>
            </w:r>
          </w:p>
        </w:tc>
        <w:tc>
          <w:tcPr>
            <w:tcW w:w="904" w:type="dxa"/>
            <w:shd w:val="clear" w:color="auto" w:fill="auto"/>
            <w:vAlign w:val="center"/>
          </w:tcPr>
          <w:p>
            <w:pPr>
              <w:jc w:val="center"/>
              <w:textAlignment w:val="baseline"/>
              <w:rPr>
                <w:rFonts w:eastAsia="Times New Roman"/>
                <w:color w:val="auto"/>
                <w:sz w:val="24"/>
                <w:szCs w:val="24"/>
              </w:rPr>
            </w:pPr>
            <w:r>
              <w:rPr>
                <w:rStyle w:val="21"/>
                <w:rFonts w:hint="eastAsia" w:eastAsia="Times New Roman"/>
                <w:color w:val="auto"/>
                <w:sz w:val="24"/>
                <w:szCs w:val="24"/>
              </w:rPr>
              <w:t>8</w:t>
            </w:r>
          </w:p>
        </w:tc>
        <w:tc>
          <w:tcPr>
            <w:tcW w:w="1106" w:type="dxa"/>
            <w:shd w:val="clear" w:color="auto" w:fill="auto"/>
            <w:vAlign w:val="center"/>
          </w:tcPr>
          <w:p>
            <w:pPr>
              <w:jc w:val="center"/>
              <w:textAlignment w:val="baseline"/>
              <w:rPr>
                <w:rFonts w:eastAsia="Times New Roman"/>
                <w:color w:val="auto"/>
                <w:sz w:val="24"/>
                <w:szCs w:val="24"/>
                <w:lang w:val="sq-AL"/>
              </w:rPr>
            </w:pPr>
            <w:r>
              <w:rPr>
                <w:rStyle w:val="21"/>
                <w:rFonts w:hint="eastAsia" w:eastAsia="Times New Roman"/>
                <w:color w:val="auto"/>
                <w:sz w:val="24"/>
                <w:szCs w:val="24"/>
                <w:lang w:val="sq-AL"/>
              </w:rPr>
              <w:t>采购小组 打分</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1.评审标准：</w:t>
            </w:r>
          </w:p>
          <w:p>
            <w:pPr>
              <w:textAlignment w:val="baseline"/>
              <w:rPr>
                <w:rFonts w:eastAsia="Times New Roman"/>
                <w:color w:val="auto"/>
                <w:sz w:val="24"/>
                <w:szCs w:val="24"/>
                <w:lang w:val="sq-AL"/>
              </w:rPr>
            </w:pPr>
            <w:r>
              <w:rPr>
                <w:rFonts w:hint="eastAsia" w:eastAsia="Times New Roman"/>
                <w:color w:val="auto"/>
                <w:sz w:val="24"/>
                <w:szCs w:val="24"/>
              </w:rPr>
              <w:t>投标人在上述“有效业绩”评审项中参加评审并被认定有效的业绩，能够提供用户出具的履约评价书，且评价为优或者合格的，每份评价书得2分，其他情况得0分；最高得8分；</w:t>
            </w:r>
            <w:r>
              <w:rPr>
                <w:rFonts w:hint="eastAsia" w:eastAsia="Times New Roman"/>
                <w:color w:val="auto"/>
                <w:sz w:val="24"/>
                <w:szCs w:val="24"/>
              </w:rPr>
              <w:br w:type="textWrapping"/>
            </w:r>
            <w:r>
              <w:rPr>
                <w:rFonts w:hint="eastAsia" w:eastAsia="Times New Roman"/>
                <w:color w:val="auto"/>
                <w:sz w:val="24"/>
                <w:szCs w:val="24"/>
              </w:rPr>
              <w:t>不提供或者不能有效证明的，得0分。</w:t>
            </w:r>
          </w:p>
          <w:p>
            <w:pPr>
              <w:textAlignment w:val="baseline"/>
              <w:rPr>
                <w:rStyle w:val="21"/>
                <w:rFonts w:eastAsia="Times New Roman"/>
                <w:color w:val="auto"/>
                <w:sz w:val="24"/>
                <w:szCs w:val="24"/>
              </w:rPr>
            </w:pPr>
            <w:r>
              <w:rPr>
                <w:rStyle w:val="21"/>
                <w:rFonts w:hint="eastAsia" w:eastAsia="Times New Roman"/>
                <w:color w:val="auto"/>
                <w:sz w:val="24"/>
                <w:szCs w:val="24"/>
              </w:rPr>
              <w:t>2.证明文件：</w:t>
            </w:r>
          </w:p>
          <w:p>
            <w:pPr>
              <w:textAlignment w:val="baseline"/>
              <w:rPr>
                <w:rFonts w:eastAsia="Times New Roman"/>
                <w:color w:val="auto"/>
                <w:sz w:val="24"/>
                <w:szCs w:val="24"/>
              </w:rPr>
            </w:pPr>
            <w:r>
              <w:rPr>
                <w:rFonts w:hint="eastAsia" w:eastAsia="Times New Roman"/>
                <w:color w:val="auto"/>
                <w:sz w:val="24"/>
                <w:szCs w:val="24"/>
              </w:rPr>
              <w:t>须提供用户出具带有公章的履约评价书扫描件或复印件，原件备查。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3</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拟安排项目负责人情况（仅限1人）</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10</w:t>
            </w:r>
          </w:p>
        </w:tc>
        <w:tc>
          <w:tcPr>
            <w:tcW w:w="1106" w:type="dxa"/>
            <w:shd w:val="clear" w:color="auto" w:fill="auto"/>
            <w:vAlign w:val="center"/>
          </w:tcPr>
          <w:p>
            <w:pPr>
              <w:jc w:val="center"/>
              <w:textAlignment w:val="baseline"/>
              <w:rPr>
                <w:rStyle w:val="21"/>
                <w:rFonts w:eastAsia="Times New Roman"/>
                <w:color w:val="auto"/>
                <w:sz w:val="24"/>
                <w:szCs w:val="24"/>
                <w:lang w:val="sq-AL"/>
              </w:rPr>
            </w:pPr>
            <w:r>
              <w:rPr>
                <w:rStyle w:val="21"/>
                <w:rFonts w:hint="eastAsia" w:eastAsia="Times New Roman"/>
                <w:color w:val="auto"/>
                <w:sz w:val="24"/>
                <w:szCs w:val="24"/>
              </w:rPr>
              <w:t>采购小组 打分</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lang w:val="sq-AL"/>
              </w:rPr>
              <w:t>1.</w:t>
            </w:r>
            <w:r>
              <w:rPr>
                <w:rStyle w:val="21"/>
                <w:rFonts w:hint="eastAsia" w:eastAsia="Times New Roman"/>
                <w:color w:val="auto"/>
                <w:sz w:val="24"/>
                <w:szCs w:val="24"/>
              </w:rPr>
              <w:t>评审标准：</w:t>
            </w:r>
          </w:p>
          <w:p>
            <w:pPr>
              <w:rPr>
                <w:rFonts w:eastAsia="Times New Roman"/>
                <w:color w:val="auto"/>
                <w:sz w:val="24"/>
                <w:szCs w:val="24"/>
              </w:rPr>
            </w:pPr>
            <w:r>
              <w:rPr>
                <w:rFonts w:hint="eastAsia" w:eastAsia="Times New Roman"/>
                <w:color w:val="auto"/>
                <w:sz w:val="24"/>
                <w:szCs w:val="24"/>
              </w:rPr>
              <w:t xml:space="preserve">投标人拟安排的项目负责人必须为自有员工。投标人须提供： </w:t>
            </w:r>
          </w:p>
          <w:p>
            <w:pPr>
              <w:rPr>
                <w:rFonts w:eastAsia="Times New Roman"/>
                <w:color w:val="auto"/>
                <w:sz w:val="24"/>
                <w:szCs w:val="24"/>
              </w:rPr>
            </w:pPr>
            <w:r>
              <w:rPr>
                <w:rFonts w:hint="eastAsia" w:eastAsia="Times New Roman"/>
                <w:color w:val="auto"/>
                <w:sz w:val="24"/>
                <w:szCs w:val="24"/>
              </w:rPr>
              <w:t xml:space="preserve">（1）具有人力资源管理的全日制本科或以上学历得3分； </w:t>
            </w:r>
          </w:p>
          <w:p>
            <w:pPr>
              <w:rPr>
                <w:rFonts w:eastAsia="Times New Roman"/>
                <w:color w:val="auto"/>
                <w:sz w:val="24"/>
                <w:szCs w:val="24"/>
              </w:rPr>
            </w:pPr>
            <w:r>
              <w:rPr>
                <w:rFonts w:hint="eastAsia" w:eastAsia="Times New Roman"/>
                <w:color w:val="auto"/>
                <w:sz w:val="24"/>
                <w:szCs w:val="24"/>
              </w:rPr>
              <w:t xml:space="preserve">（2）具有人力资源和社会保障部门颁发的人力资源管理中级或以上职称证书得4分； </w:t>
            </w:r>
          </w:p>
          <w:p>
            <w:pPr>
              <w:rPr>
                <w:rFonts w:eastAsia="Times New Roman"/>
                <w:color w:val="auto"/>
                <w:sz w:val="24"/>
                <w:szCs w:val="24"/>
              </w:rPr>
            </w:pPr>
            <w:r>
              <w:rPr>
                <w:rFonts w:hint="eastAsia" w:eastAsia="Times New Roman"/>
                <w:color w:val="auto"/>
                <w:sz w:val="24"/>
                <w:szCs w:val="24"/>
              </w:rPr>
              <w:t xml:space="preserve">（3）具有人力资源和社会保障部门颁发的人力资源管理师二级或以上资格证书得3分。以上三项累计最高得10分。 </w:t>
            </w:r>
          </w:p>
          <w:p>
            <w:pPr>
              <w:textAlignment w:val="baseline"/>
              <w:rPr>
                <w:rStyle w:val="21"/>
                <w:rFonts w:eastAsia="Times New Roman"/>
                <w:color w:val="auto"/>
                <w:sz w:val="24"/>
                <w:szCs w:val="24"/>
              </w:rPr>
            </w:pPr>
            <w:r>
              <w:rPr>
                <w:rStyle w:val="21"/>
                <w:rFonts w:hint="eastAsia" w:eastAsia="Times New Roman"/>
                <w:color w:val="auto"/>
                <w:sz w:val="24"/>
                <w:szCs w:val="24"/>
              </w:rPr>
              <w:t>2.证明文件：</w:t>
            </w:r>
          </w:p>
          <w:p>
            <w:pPr>
              <w:rPr>
                <w:rFonts w:eastAsia="Times New Roman"/>
                <w:color w:val="auto"/>
                <w:sz w:val="24"/>
                <w:szCs w:val="24"/>
              </w:rPr>
            </w:pPr>
            <w:r>
              <w:rPr>
                <w:rFonts w:hint="eastAsia" w:eastAsia="Times New Roman"/>
                <w:color w:val="auto"/>
                <w:sz w:val="24"/>
                <w:szCs w:val="24"/>
              </w:rPr>
              <w:t>（1）（评分内容1），</w:t>
            </w:r>
            <w:r>
              <w:rPr>
                <w:rFonts w:eastAsia="Times New Roman"/>
                <w:color w:val="auto"/>
                <w:sz w:val="24"/>
                <w:szCs w:val="24"/>
              </w:rPr>
              <w:t>提供学历证书扫描件</w:t>
            </w:r>
            <w:r>
              <w:rPr>
                <w:rFonts w:hint="eastAsia" w:eastAsia="Times New Roman"/>
                <w:color w:val="auto"/>
                <w:sz w:val="24"/>
                <w:szCs w:val="24"/>
              </w:rPr>
              <w:t>或复印件；</w:t>
            </w:r>
          </w:p>
          <w:p>
            <w:pPr>
              <w:rPr>
                <w:rFonts w:eastAsia="Times New Roman"/>
                <w:color w:val="auto"/>
                <w:sz w:val="24"/>
                <w:szCs w:val="24"/>
              </w:rPr>
            </w:pPr>
            <w:r>
              <w:rPr>
                <w:rFonts w:hint="eastAsia" w:eastAsia="Times New Roman"/>
                <w:color w:val="auto"/>
                <w:sz w:val="24"/>
                <w:szCs w:val="24"/>
              </w:rPr>
              <w:t>（2）（评分内容2、3），</w:t>
            </w:r>
            <w:r>
              <w:rPr>
                <w:rFonts w:eastAsia="Times New Roman"/>
                <w:color w:val="auto"/>
                <w:sz w:val="24"/>
                <w:szCs w:val="24"/>
              </w:rPr>
              <w:t>提供注册证书扫描件</w:t>
            </w:r>
            <w:r>
              <w:rPr>
                <w:rFonts w:hint="eastAsia" w:eastAsia="Times New Roman"/>
                <w:color w:val="auto"/>
                <w:sz w:val="24"/>
                <w:szCs w:val="24"/>
              </w:rPr>
              <w:t>或复印件；</w:t>
            </w:r>
          </w:p>
          <w:p>
            <w:pPr>
              <w:textAlignment w:val="baseline"/>
              <w:rPr>
                <w:rFonts w:eastAsia="Times New Roman"/>
                <w:color w:val="auto"/>
                <w:sz w:val="24"/>
                <w:szCs w:val="24"/>
              </w:rPr>
            </w:pPr>
            <w:r>
              <w:rPr>
                <w:rFonts w:hint="eastAsia" w:eastAsia="Times New Roman"/>
                <w:color w:val="auto"/>
                <w:sz w:val="24"/>
                <w:szCs w:val="24"/>
              </w:rPr>
              <w:t>（3）须提供投标截止日前三个月投标人为其购买的</w:t>
            </w:r>
            <w:r>
              <w:rPr>
                <w:rFonts w:eastAsia="Times New Roman"/>
                <w:color w:val="auto"/>
                <w:sz w:val="24"/>
                <w:szCs w:val="24"/>
              </w:rPr>
              <w:t>社保清单扫描件</w:t>
            </w:r>
            <w:r>
              <w:rPr>
                <w:rFonts w:hint="eastAsia" w:eastAsia="Times New Roman"/>
                <w:color w:val="auto"/>
                <w:sz w:val="24"/>
                <w:szCs w:val="24"/>
              </w:rPr>
              <w:t>或复印件, 如开标日上一个月的社保材料因社保部门原因暂时无法取得，则可以往前顺延一个月。不提供或提供不清晰导致采购小组无法判断的不得分。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4</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企业荣誉</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9</w:t>
            </w:r>
          </w:p>
        </w:tc>
        <w:tc>
          <w:tcPr>
            <w:tcW w:w="1106" w:type="dxa"/>
            <w:shd w:val="clear" w:color="auto" w:fill="auto"/>
            <w:vAlign w:val="center"/>
          </w:tcPr>
          <w:p>
            <w:pPr>
              <w:textAlignment w:val="baseline"/>
              <w:rPr>
                <w:rFonts w:eastAsia="Times New Roman"/>
                <w:color w:val="auto"/>
                <w:sz w:val="24"/>
                <w:szCs w:val="24"/>
                <w:lang w:val="sq-AL"/>
              </w:rPr>
            </w:pPr>
            <w:r>
              <w:rPr>
                <w:rStyle w:val="21"/>
                <w:rFonts w:hint="eastAsia" w:eastAsia="Times New Roman"/>
                <w:color w:val="auto"/>
                <w:sz w:val="24"/>
                <w:szCs w:val="24"/>
              </w:rPr>
              <w:t>采购小组 打分</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lang w:val="sq-AL"/>
              </w:rPr>
              <w:t>1.</w:t>
            </w:r>
            <w:r>
              <w:rPr>
                <w:rStyle w:val="21"/>
                <w:rFonts w:hint="eastAsia" w:eastAsia="Times New Roman"/>
                <w:color w:val="auto"/>
                <w:sz w:val="24"/>
                <w:szCs w:val="24"/>
              </w:rPr>
              <w:t>评审标准：</w:t>
            </w:r>
          </w:p>
          <w:p>
            <w:pPr>
              <w:tabs>
                <w:tab w:val="left" w:pos="426"/>
              </w:tabs>
              <w:jc w:val="left"/>
              <w:rPr>
                <w:rFonts w:eastAsia="Times New Roman"/>
                <w:color w:val="auto"/>
                <w:sz w:val="24"/>
                <w:szCs w:val="24"/>
              </w:rPr>
            </w:pPr>
            <w:r>
              <w:rPr>
                <w:rFonts w:hint="eastAsia" w:eastAsia="Times New Roman"/>
                <w:color w:val="auto"/>
                <w:sz w:val="24"/>
                <w:szCs w:val="24"/>
              </w:rPr>
              <w:t>投标人提供2020年1月1日之后颁发的具有市级政府行政部门颁发的信用相关的荣誉证书，提供1个得3分，最高得6分；</w:t>
            </w:r>
          </w:p>
          <w:p>
            <w:pPr>
              <w:tabs>
                <w:tab w:val="left" w:pos="426"/>
              </w:tabs>
              <w:jc w:val="left"/>
              <w:rPr>
                <w:rFonts w:eastAsia="Times New Roman"/>
                <w:color w:val="auto"/>
                <w:sz w:val="24"/>
                <w:szCs w:val="24"/>
              </w:rPr>
            </w:pPr>
            <w:r>
              <w:rPr>
                <w:rFonts w:hint="eastAsia" w:eastAsia="Times New Roman"/>
                <w:color w:val="auto"/>
                <w:sz w:val="24"/>
                <w:szCs w:val="24"/>
              </w:rPr>
              <w:t>具有省级（含）以上政府行政部门颁发的信用相关的荣誉证书，提供1项得3分，最高得3分。</w:t>
            </w:r>
          </w:p>
          <w:p>
            <w:pPr>
              <w:textAlignment w:val="baseline"/>
              <w:rPr>
                <w:rStyle w:val="21"/>
                <w:rFonts w:eastAsia="Times New Roman"/>
                <w:color w:val="auto"/>
                <w:sz w:val="24"/>
                <w:szCs w:val="24"/>
              </w:rPr>
            </w:pPr>
            <w:r>
              <w:rPr>
                <w:rStyle w:val="21"/>
                <w:rFonts w:hint="eastAsia" w:eastAsia="Times New Roman"/>
                <w:color w:val="auto"/>
                <w:sz w:val="24"/>
                <w:szCs w:val="24"/>
              </w:rPr>
              <w:t>2.证明文件：</w:t>
            </w:r>
          </w:p>
          <w:p>
            <w:pPr>
              <w:textAlignment w:val="baseline"/>
              <w:rPr>
                <w:rFonts w:eastAsia="Times New Roman"/>
                <w:color w:val="auto"/>
                <w:sz w:val="24"/>
                <w:szCs w:val="24"/>
              </w:rPr>
            </w:pPr>
            <w:r>
              <w:rPr>
                <w:rFonts w:hint="eastAsia" w:eastAsia="Times New Roman"/>
                <w:color w:val="auto"/>
                <w:sz w:val="24"/>
                <w:szCs w:val="24"/>
              </w:rPr>
              <w:t>提供上述证明文件扫描件或复印件并加盖投标人公章，未按要求提供或提供不清晰导致采购小组无法判断的不得分。原件备查。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5</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认证情况</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6</w:t>
            </w:r>
          </w:p>
        </w:tc>
        <w:tc>
          <w:tcPr>
            <w:tcW w:w="1106" w:type="dxa"/>
            <w:shd w:val="clear" w:color="auto" w:fill="auto"/>
            <w:vAlign w:val="center"/>
          </w:tcPr>
          <w:p>
            <w:pPr>
              <w:textAlignment w:val="baseline"/>
              <w:rPr>
                <w:rFonts w:eastAsia="Times New Roman"/>
                <w:color w:val="auto"/>
                <w:sz w:val="24"/>
                <w:szCs w:val="24"/>
                <w:lang w:val="sq-AL"/>
              </w:rPr>
            </w:pPr>
            <w:r>
              <w:rPr>
                <w:rStyle w:val="21"/>
                <w:rFonts w:hint="eastAsia" w:eastAsia="Times New Roman"/>
                <w:color w:val="auto"/>
                <w:sz w:val="24"/>
                <w:szCs w:val="24"/>
              </w:rPr>
              <w:t>采购小组 打分</w:t>
            </w:r>
          </w:p>
        </w:tc>
        <w:tc>
          <w:tcPr>
            <w:tcW w:w="5137" w:type="dxa"/>
            <w:shd w:val="clear" w:color="auto" w:fill="auto"/>
            <w:vAlign w:val="center"/>
          </w:tcPr>
          <w:p>
            <w:pPr>
              <w:textAlignment w:val="baseline"/>
              <w:rPr>
                <w:rStyle w:val="21"/>
                <w:rFonts w:eastAsia="Times New Roman"/>
                <w:color w:val="auto"/>
                <w:sz w:val="24"/>
                <w:szCs w:val="24"/>
                <w:lang w:val="sq-AL"/>
              </w:rPr>
            </w:pPr>
            <w:r>
              <w:rPr>
                <w:rStyle w:val="21"/>
                <w:rFonts w:hint="eastAsia" w:eastAsia="Times New Roman"/>
                <w:color w:val="auto"/>
                <w:sz w:val="24"/>
                <w:szCs w:val="24"/>
                <w:lang w:val="sq-AL"/>
              </w:rPr>
              <w:t>1.评审标准：</w:t>
            </w:r>
          </w:p>
          <w:p>
            <w:pPr>
              <w:textAlignment w:val="baseline"/>
              <w:rPr>
                <w:rStyle w:val="21"/>
                <w:rFonts w:eastAsia="Times New Roman"/>
                <w:color w:val="auto"/>
                <w:sz w:val="24"/>
                <w:szCs w:val="24"/>
                <w:lang w:val="sq-AL"/>
              </w:rPr>
            </w:pPr>
            <w:r>
              <w:rPr>
                <w:rStyle w:val="21"/>
                <w:rFonts w:hint="eastAsia" w:eastAsia="Times New Roman"/>
                <w:color w:val="auto"/>
                <w:sz w:val="24"/>
                <w:szCs w:val="24"/>
              </w:rPr>
              <w:t>（1）通过</w:t>
            </w:r>
            <w:r>
              <w:rPr>
                <w:rStyle w:val="21"/>
                <w:rFonts w:hint="eastAsia" w:eastAsia="Times New Roman"/>
                <w:color w:val="auto"/>
                <w:sz w:val="24"/>
                <w:szCs w:val="24"/>
                <w:lang w:val="sq-AL"/>
              </w:rPr>
              <w:t>质量管理体系认证证书；</w:t>
            </w:r>
          </w:p>
          <w:p>
            <w:pPr>
              <w:textAlignment w:val="baseline"/>
              <w:rPr>
                <w:rStyle w:val="21"/>
                <w:rFonts w:eastAsia="Times New Roman"/>
                <w:color w:val="auto"/>
                <w:sz w:val="24"/>
                <w:szCs w:val="24"/>
                <w:lang w:val="sq-AL"/>
              </w:rPr>
            </w:pPr>
            <w:r>
              <w:rPr>
                <w:rStyle w:val="21"/>
                <w:rFonts w:hint="eastAsia" w:eastAsia="Times New Roman"/>
                <w:color w:val="auto"/>
                <w:sz w:val="24"/>
                <w:szCs w:val="24"/>
                <w:lang w:val="sq-AL"/>
              </w:rPr>
              <w:t>（</w:t>
            </w:r>
            <w:r>
              <w:rPr>
                <w:rStyle w:val="21"/>
                <w:rFonts w:hint="eastAsia" w:eastAsia="Times New Roman"/>
                <w:color w:val="auto"/>
                <w:sz w:val="24"/>
                <w:szCs w:val="24"/>
              </w:rPr>
              <w:t>2</w:t>
            </w:r>
            <w:r>
              <w:rPr>
                <w:rStyle w:val="21"/>
                <w:rFonts w:hint="eastAsia" w:eastAsia="Times New Roman"/>
                <w:color w:val="auto"/>
                <w:sz w:val="24"/>
                <w:szCs w:val="24"/>
                <w:lang w:val="sq-AL"/>
              </w:rPr>
              <w:t>）职业健康安全管理体系认证证书；</w:t>
            </w:r>
          </w:p>
          <w:p>
            <w:pPr>
              <w:textAlignment w:val="baseline"/>
              <w:rPr>
                <w:rStyle w:val="21"/>
                <w:rFonts w:eastAsia="Times New Roman"/>
                <w:color w:val="auto"/>
                <w:sz w:val="24"/>
                <w:szCs w:val="24"/>
                <w:lang w:val="sq-AL"/>
              </w:rPr>
            </w:pPr>
            <w:r>
              <w:rPr>
                <w:rStyle w:val="21"/>
                <w:rFonts w:hint="eastAsia" w:eastAsia="Times New Roman"/>
                <w:color w:val="auto"/>
                <w:sz w:val="24"/>
                <w:szCs w:val="24"/>
                <w:lang w:val="sq-AL"/>
              </w:rPr>
              <w:t>（</w:t>
            </w:r>
            <w:r>
              <w:rPr>
                <w:rStyle w:val="21"/>
                <w:rFonts w:hint="eastAsia" w:eastAsia="Times New Roman"/>
                <w:color w:val="auto"/>
                <w:sz w:val="24"/>
                <w:szCs w:val="24"/>
              </w:rPr>
              <w:t>3</w:t>
            </w:r>
            <w:r>
              <w:rPr>
                <w:rStyle w:val="21"/>
                <w:rFonts w:hint="eastAsia" w:eastAsia="Times New Roman"/>
                <w:color w:val="auto"/>
                <w:sz w:val="24"/>
                <w:szCs w:val="24"/>
                <w:lang w:val="sq-AL"/>
              </w:rPr>
              <w:t>）环境管理体系认证证书；</w:t>
            </w:r>
          </w:p>
          <w:p>
            <w:pPr>
              <w:textAlignment w:val="baseline"/>
              <w:rPr>
                <w:rStyle w:val="21"/>
                <w:rFonts w:eastAsia="Times New Roman"/>
                <w:color w:val="auto"/>
                <w:sz w:val="24"/>
                <w:szCs w:val="24"/>
              </w:rPr>
            </w:pPr>
            <w:r>
              <w:rPr>
                <w:rStyle w:val="21"/>
                <w:rFonts w:hint="eastAsia" w:eastAsia="Times New Roman"/>
                <w:color w:val="auto"/>
                <w:sz w:val="24"/>
                <w:szCs w:val="24"/>
                <w:lang w:val="sq-AL"/>
              </w:rPr>
              <w:t>（</w:t>
            </w:r>
            <w:r>
              <w:rPr>
                <w:rStyle w:val="21"/>
                <w:rFonts w:hint="eastAsia" w:eastAsia="Times New Roman"/>
                <w:color w:val="auto"/>
                <w:sz w:val="24"/>
                <w:szCs w:val="24"/>
              </w:rPr>
              <w:t>4</w:t>
            </w:r>
            <w:r>
              <w:rPr>
                <w:rStyle w:val="21"/>
                <w:rFonts w:hint="eastAsia" w:eastAsia="Times New Roman"/>
                <w:color w:val="auto"/>
                <w:sz w:val="24"/>
                <w:szCs w:val="24"/>
                <w:lang w:val="sq-AL"/>
              </w:rPr>
              <w:t>）</w:t>
            </w:r>
            <w:r>
              <w:rPr>
                <w:rStyle w:val="21"/>
                <w:rFonts w:hint="eastAsia" w:eastAsia="Times New Roman"/>
                <w:color w:val="auto"/>
                <w:sz w:val="24"/>
                <w:szCs w:val="24"/>
              </w:rPr>
              <w:t>反贿赂管理体系认证证书；</w:t>
            </w:r>
          </w:p>
          <w:p>
            <w:pPr>
              <w:textAlignment w:val="baseline"/>
              <w:rPr>
                <w:rStyle w:val="21"/>
                <w:rFonts w:eastAsia="Times New Roman"/>
                <w:color w:val="auto"/>
                <w:sz w:val="24"/>
                <w:szCs w:val="24"/>
              </w:rPr>
            </w:pPr>
            <w:r>
              <w:rPr>
                <w:rStyle w:val="21"/>
                <w:rFonts w:hint="eastAsia" w:eastAsia="Times New Roman"/>
                <w:color w:val="auto"/>
                <w:sz w:val="24"/>
                <w:szCs w:val="24"/>
              </w:rPr>
              <w:t>提供四个证书得6分，提供三个证书的得4分，提供两个证书的得2分，其他情况不得分。</w:t>
            </w:r>
          </w:p>
          <w:p>
            <w:pPr>
              <w:textAlignment w:val="baseline"/>
              <w:rPr>
                <w:rStyle w:val="21"/>
                <w:rFonts w:eastAsia="Times New Roman"/>
                <w:color w:val="auto"/>
                <w:sz w:val="24"/>
                <w:szCs w:val="24"/>
                <w:lang w:val="sq-AL"/>
              </w:rPr>
            </w:pPr>
            <w:r>
              <w:rPr>
                <w:rStyle w:val="21"/>
                <w:rFonts w:hint="eastAsia" w:eastAsia="Times New Roman"/>
                <w:color w:val="auto"/>
                <w:sz w:val="24"/>
                <w:szCs w:val="24"/>
                <w:lang w:val="sq-AL"/>
              </w:rPr>
              <w:t>2.证明文件：</w:t>
            </w:r>
          </w:p>
          <w:p>
            <w:pPr>
              <w:textAlignment w:val="baseline"/>
              <w:rPr>
                <w:rStyle w:val="21"/>
                <w:rFonts w:eastAsia="Times New Roman"/>
                <w:color w:val="auto"/>
                <w:sz w:val="24"/>
                <w:szCs w:val="24"/>
              </w:rPr>
            </w:pPr>
            <w:r>
              <w:rPr>
                <w:rStyle w:val="21"/>
                <w:rFonts w:hint="eastAsia" w:eastAsia="Times New Roman"/>
                <w:color w:val="auto"/>
                <w:sz w:val="24"/>
                <w:szCs w:val="24"/>
              </w:rPr>
              <w:t>提供有效证书扫描件或复印件并加盖投标人公章，原件备查，资料不清晰的视为无效。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5</w:t>
            </w:r>
          </w:p>
        </w:tc>
        <w:tc>
          <w:tcPr>
            <w:tcW w:w="1425"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诚信评审</w:t>
            </w:r>
          </w:p>
        </w:tc>
        <w:tc>
          <w:tcPr>
            <w:tcW w:w="904" w:type="dxa"/>
            <w:shd w:val="clear" w:color="auto" w:fill="auto"/>
            <w:vAlign w:val="center"/>
          </w:tcPr>
          <w:p>
            <w:pPr>
              <w:jc w:val="center"/>
              <w:textAlignment w:val="baseline"/>
              <w:rPr>
                <w:rStyle w:val="21"/>
                <w:rFonts w:eastAsia="Times New Roman"/>
                <w:color w:val="auto"/>
                <w:sz w:val="24"/>
                <w:szCs w:val="24"/>
              </w:rPr>
            </w:pPr>
            <w:r>
              <w:rPr>
                <w:rStyle w:val="21"/>
                <w:rFonts w:eastAsia="Times New Roman"/>
                <w:color w:val="auto"/>
                <w:sz w:val="24"/>
                <w:szCs w:val="24"/>
              </w:rPr>
              <w:t>5</w:t>
            </w:r>
          </w:p>
        </w:tc>
        <w:tc>
          <w:tcPr>
            <w:tcW w:w="1106" w:type="dxa"/>
            <w:shd w:val="clear" w:color="auto" w:fill="auto"/>
            <w:vAlign w:val="center"/>
          </w:tcPr>
          <w:p>
            <w:pPr>
              <w:jc w:val="center"/>
              <w:textAlignment w:val="baseline"/>
              <w:rPr>
                <w:rStyle w:val="21"/>
                <w:rFonts w:eastAsia="Times New Roman"/>
                <w:color w:val="auto"/>
                <w:sz w:val="24"/>
                <w:szCs w:val="24"/>
              </w:rPr>
            </w:pPr>
            <w:r>
              <w:rPr>
                <w:rStyle w:val="21"/>
                <w:rFonts w:hint="eastAsia" w:eastAsia="Times New Roman"/>
                <w:color w:val="auto"/>
                <w:sz w:val="24"/>
                <w:szCs w:val="24"/>
              </w:rPr>
              <w:t>采购小组 打分</w:t>
            </w:r>
          </w:p>
        </w:tc>
        <w:tc>
          <w:tcPr>
            <w:tcW w:w="5137" w:type="dxa"/>
            <w:shd w:val="clear" w:color="auto" w:fill="auto"/>
            <w:vAlign w:val="center"/>
          </w:tcPr>
          <w:p>
            <w:pPr>
              <w:textAlignment w:val="baseline"/>
              <w:rPr>
                <w:rStyle w:val="21"/>
                <w:rFonts w:eastAsia="Times New Roman"/>
                <w:color w:val="auto"/>
                <w:sz w:val="24"/>
                <w:szCs w:val="24"/>
              </w:rPr>
            </w:pPr>
            <w:r>
              <w:rPr>
                <w:rStyle w:val="21"/>
                <w:rFonts w:hint="eastAsia" w:eastAsia="Times New Roman"/>
                <w:color w:val="auto"/>
                <w:sz w:val="24"/>
                <w:szCs w:val="24"/>
              </w:rPr>
              <w:t xml:space="preserve">1、评审标准： </w:t>
            </w:r>
          </w:p>
          <w:p>
            <w:pPr>
              <w:textAlignment w:val="baseline"/>
              <w:rPr>
                <w:rStyle w:val="21"/>
                <w:rFonts w:eastAsia="Times New Roman"/>
                <w:color w:val="auto"/>
                <w:sz w:val="24"/>
                <w:szCs w:val="24"/>
              </w:rPr>
            </w:pPr>
            <w:r>
              <w:rPr>
                <w:rStyle w:val="21"/>
                <w:rFonts w:hint="eastAsia" w:eastAsia="Times New Roman"/>
                <w:color w:val="auto"/>
                <w:sz w:val="24"/>
                <w:szCs w:val="24"/>
              </w:rPr>
              <w:t>投标人参与政府采购活动在诚信管理中受过主管部门通报处理且仍在实施期限内的本项不得分，否则得5分。</w:t>
            </w:r>
          </w:p>
          <w:p>
            <w:pPr>
              <w:textAlignment w:val="baseline"/>
              <w:rPr>
                <w:rStyle w:val="21"/>
                <w:rFonts w:eastAsia="Times New Roman"/>
                <w:color w:val="auto"/>
                <w:sz w:val="24"/>
                <w:szCs w:val="24"/>
              </w:rPr>
            </w:pPr>
            <w:r>
              <w:rPr>
                <w:rStyle w:val="21"/>
                <w:rFonts w:hint="eastAsia" w:eastAsia="Times New Roman"/>
                <w:color w:val="auto"/>
                <w:sz w:val="24"/>
                <w:szCs w:val="24"/>
              </w:rPr>
              <w:t>2、证明文件：</w:t>
            </w:r>
          </w:p>
          <w:p>
            <w:pPr>
              <w:textAlignment w:val="baseline"/>
              <w:rPr>
                <w:rStyle w:val="21"/>
                <w:rFonts w:eastAsia="Times New Roman"/>
                <w:color w:val="auto"/>
                <w:sz w:val="24"/>
                <w:szCs w:val="24"/>
              </w:rPr>
            </w:pPr>
            <w:r>
              <w:rPr>
                <w:rStyle w:val="21"/>
                <w:rFonts w:hint="eastAsia" w:eastAsia="Times New Roman"/>
                <w:color w:val="auto"/>
                <w:sz w:val="24"/>
                <w:szCs w:val="24"/>
              </w:rPr>
              <w:t>投标人须如实提供《诚信承诺函》原件并加盖投标人公章，承诺函格式格式自拟。如若投标人承诺与实际情况不相符，将按虚假应标报相关主管部门处理。</w:t>
            </w:r>
          </w:p>
        </w:tc>
      </w:tr>
    </w:tbl>
    <w:p>
      <w:pPr>
        <w:spacing w:line="540" w:lineRule="exact"/>
        <w:ind w:firstLine="480" w:firstLineChars="200"/>
        <w:rPr>
          <w:rFonts w:ascii="黑体" w:hAnsi="黑体" w:eastAsia="黑体" w:cs="仿宋"/>
          <w:color w:val="auto"/>
          <w:sz w:val="24"/>
          <w:szCs w:val="24"/>
        </w:rPr>
      </w:pPr>
      <w:r>
        <w:rPr>
          <w:rFonts w:hint="eastAsia" w:ascii="黑体" w:hAnsi="黑体" w:eastAsia="黑体" w:cs="仿宋"/>
          <w:color w:val="auto"/>
          <w:sz w:val="24"/>
          <w:szCs w:val="24"/>
        </w:rPr>
        <w:t>五、商务需求</w:t>
      </w:r>
    </w:p>
    <w:p>
      <w:pPr>
        <w:spacing w:line="540" w:lineRule="exact"/>
        <w:ind w:firstLine="480" w:firstLineChars="200"/>
        <w:rPr>
          <w:rFonts w:ascii="仿宋_GB2312" w:hAnsi="仿宋" w:eastAsia="仿宋_GB2312" w:cs="仿宋"/>
          <w:color w:val="auto"/>
          <w:sz w:val="24"/>
          <w:szCs w:val="24"/>
        </w:rPr>
      </w:pPr>
      <w:r>
        <w:rPr>
          <w:rFonts w:hint="eastAsia" w:ascii="楷体_GB2312" w:hAnsi="楷体_GB2312" w:eastAsia="楷体_GB2312" w:cs="楷体_GB2312"/>
          <w:color w:val="auto"/>
          <w:sz w:val="24"/>
          <w:szCs w:val="24"/>
        </w:rPr>
        <w:t>（一）服务期</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2023年1月1</w:t>
      </w:r>
      <w:r>
        <w:rPr>
          <w:rFonts w:hint="eastAsia" w:ascii="仿宋_GB2312" w:hAnsi="仿宋" w:eastAsia="仿宋_GB2312" w:cs="仿宋"/>
          <w:color w:val="auto"/>
          <w:sz w:val="24"/>
          <w:szCs w:val="24"/>
          <w:lang w:val="en-US" w:eastAsia="zh-CN"/>
        </w:rPr>
        <w:t>0</w:t>
      </w:r>
      <w:r>
        <w:rPr>
          <w:rFonts w:hint="eastAsia" w:ascii="仿宋_GB2312" w:hAnsi="仿宋" w:eastAsia="仿宋_GB2312" w:cs="仿宋"/>
          <w:color w:val="auto"/>
          <w:sz w:val="24"/>
          <w:szCs w:val="24"/>
        </w:rPr>
        <w:t>日至202</w:t>
      </w:r>
      <w:r>
        <w:rPr>
          <w:rFonts w:hint="eastAsia" w:ascii="仿宋_GB2312" w:hAnsi="仿宋" w:eastAsia="仿宋_GB2312" w:cs="仿宋"/>
          <w:color w:val="auto"/>
          <w:sz w:val="24"/>
          <w:szCs w:val="24"/>
          <w:lang w:val="en-US" w:eastAsia="zh-CN"/>
        </w:rPr>
        <w:t>4</w:t>
      </w:r>
      <w:r>
        <w:rPr>
          <w:rFonts w:hint="eastAsia" w:ascii="仿宋_GB2312" w:hAnsi="仿宋" w:eastAsia="仿宋_GB2312" w:cs="仿宋"/>
          <w:color w:val="auto"/>
          <w:sz w:val="24"/>
          <w:szCs w:val="24"/>
        </w:rPr>
        <w:t>年</w:t>
      </w: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rPr>
        <w:t>月</w:t>
      </w:r>
      <w:r>
        <w:rPr>
          <w:rFonts w:hint="eastAsia" w:ascii="仿宋_GB2312" w:hAnsi="仿宋" w:eastAsia="仿宋_GB2312" w:cs="仿宋"/>
          <w:color w:val="auto"/>
          <w:sz w:val="24"/>
          <w:szCs w:val="24"/>
          <w:lang w:val="en-US" w:eastAsia="zh-CN"/>
        </w:rPr>
        <w:t>9</w:t>
      </w:r>
      <w:r>
        <w:rPr>
          <w:rFonts w:hint="eastAsia" w:ascii="仿宋_GB2312" w:hAnsi="仿宋" w:eastAsia="仿宋_GB2312" w:cs="仿宋"/>
          <w:color w:val="auto"/>
          <w:sz w:val="24"/>
          <w:szCs w:val="24"/>
        </w:rPr>
        <w:t>日。</w:t>
      </w:r>
    </w:p>
    <w:p>
      <w:pPr>
        <w:spacing w:line="540" w:lineRule="exact"/>
        <w:ind w:firstLine="480" w:firstLineChars="200"/>
        <w:rPr>
          <w:rFonts w:ascii="仿宋_GB2312" w:hAnsi="仿宋" w:eastAsia="仿宋_GB2312" w:cs="仿宋"/>
          <w:color w:val="auto"/>
          <w:sz w:val="24"/>
          <w:szCs w:val="24"/>
        </w:rPr>
      </w:pPr>
      <w:r>
        <w:rPr>
          <w:rFonts w:hint="eastAsia" w:ascii="楷体_GB2312" w:hAnsi="楷体_GB2312" w:eastAsia="楷体_GB2312" w:cs="楷体_GB2312"/>
          <w:color w:val="auto"/>
          <w:sz w:val="24"/>
          <w:szCs w:val="24"/>
        </w:rPr>
        <w:t>（二）服务地点</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深圳市坪山区坪山街道办事处。</w:t>
      </w:r>
    </w:p>
    <w:p>
      <w:pPr>
        <w:numPr>
          <w:ilvl w:val="0"/>
          <w:numId w:val="6"/>
        </w:numPr>
        <w:spacing w:line="540" w:lineRule="exact"/>
        <w:ind w:firstLine="480" w:firstLineChars="200"/>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报价要求</w:t>
      </w:r>
    </w:p>
    <w:p>
      <w:pPr>
        <w:pStyle w:val="2"/>
        <w:spacing w:line="540" w:lineRule="exact"/>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1.本项目预算总价为49.7（含）万元。</w:t>
      </w:r>
    </w:p>
    <w:p>
      <w:pPr>
        <w:spacing w:line="540" w:lineRule="exact"/>
        <w:ind w:firstLine="480" w:firstLineChars="200"/>
        <w:rPr>
          <w:rFonts w:ascii="楷体_GB2312" w:hAnsi="楷体_GB2312" w:eastAsia="楷体_GB2312" w:cs="楷体_GB2312"/>
          <w:color w:val="auto"/>
          <w:sz w:val="24"/>
          <w:szCs w:val="24"/>
        </w:rPr>
      </w:pPr>
      <w:r>
        <w:rPr>
          <w:rFonts w:hint="eastAsia" w:ascii="仿宋_GB2312" w:hAnsi="仿宋" w:eastAsia="仿宋_GB2312" w:cs="仿宋"/>
          <w:color w:val="auto"/>
          <w:sz w:val="24"/>
          <w:szCs w:val="24"/>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3.投标供应商应当根据本企业的成本自行决定报价，但不得以低于其企业成本的报价投标。</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4.投标供应商的报价不得超过项目预算金额。</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5.投标供应商的报价，应当是本项目采购范围和采购文件及合同条款上所列的各项内容中所述的全部，不得以任何理由予以重复。</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7.投标供应商应先到项目地点踏勘以充分了解项目的位置、情况、道路及任何其它足以影响投标报价的情况，任何因忽视或误解项目情况而导致的索赔或服务期限延长申请将不获批准。</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40" w:lineRule="exact"/>
        <w:ind w:firstLine="480" w:firstLineChars="200"/>
        <w:rPr>
          <w:rFonts w:ascii="仿宋_GB2312" w:hAnsi="仿宋" w:eastAsia="仿宋_GB2312" w:cs="仿宋"/>
          <w:color w:val="auto"/>
          <w:sz w:val="24"/>
          <w:szCs w:val="24"/>
        </w:rPr>
      </w:pPr>
      <w:r>
        <w:rPr>
          <w:rFonts w:hint="eastAsia" w:ascii="楷体_GB2312" w:hAnsi="楷体_GB2312" w:eastAsia="楷体_GB2312" w:cs="楷体_GB2312"/>
          <w:color w:val="auto"/>
          <w:sz w:val="24"/>
          <w:szCs w:val="24"/>
        </w:rPr>
        <w:t>（四）付款方式</w:t>
      </w:r>
    </w:p>
    <w:p>
      <w:pPr>
        <w:spacing w:line="540" w:lineRule="exact"/>
        <w:ind w:firstLine="480" w:firstLineChars="200"/>
        <w:rPr>
          <w:rFonts w:ascii="仿宋_GB2312" w:hAnsi="仿宋" w:eastAsia="仿宋_GB2312" w:cs="仿宋"/>
          <w:color w:val="auto"/>
          <w:sz w:val="24"/>
          <w:szCs w:val="24"/>
        </w:rPr>
      </w:pPr>
      <w:r>
        <w:rPr>
          <w:rFonts w:hint="eastAsia" w:ascii="仿宋" w:hAnsi="仿宋" w:eastAsia="仿宋" w:cs="仿宋"/>
          <w:color w:val="auto"/>
          <w:sz w:val="24"/>
          <w:szCs w:val="24"/>
        </w:rPr>
        <w:t>合同签订时进行具体约定。</w:t>
      </w:r>
    </w:p>
    <w:p>
      <w:pPr>
        <w:spacing w:line="540" w:lineRule="exact"/>
        <w:ind w:firstLine="480" w:firstLineChars="200"/>
        <w:rPr>
          <w:rFonts w:ascii="仿宋_GB2312" w:hAnsi="仿宋" w:eastAsia="仿宋_GB2312" w:cs="仿宋"/>
          <w:color w:val="auto"/>
          <w:sz w:val="24"/>
          <w:szCs w:val="24"/>
        </w:rPr>
      </w:pPr>
      <w:r>
        <w:rPr>
          <w:rFonts w:hint="eastAsia" w:ascii="楷体_GB2312" w:hAnsi="楷体_GB2312" w:eastAsia="楷体_GB2312" w:cs="楷体_GB2312"/>
          <w:color w:val="auto"/>
          <w:sz w:val="24"/>
          <w:szCs w:val="24"/>
        </w:rPr>
        <w:t>（五）履约担保金</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本项目无需提供保证金。</w:t>
      </w:r>
    </w:p>
    <w:p>
      <w:pPr>
        <w:spacing w:line="540" w:lineRule="exact"/>
        <w:ind w:firstLine="480" w:firstLineChars="200"/>
        <w:rPr>
          <w:rFonts w:ascii="仿宋_GB2312" w:hAnsi="仿宋" w:eastAsia="仿宋_GB2312" w:cs="仿宋"/>
          <w:color w:val="auto"/>
          <w:sz w:val="24"/>
          <w:szCs w:val="24"/>
        </w:rPr>
      </w:pPr>
      <w:r>
        <w:rPr>
          <w:rFonts w:hint="eastAsia" w:ascii="楷体_GB2312" w:hAnsi="楷体_GB2312" w:eastAsia="楷体_GB2312" w:cs="楷体_GB2312"/>
          <w:color w:val="auto"/>
          <w:sz w:val="24"/>
          <w:szCs w:val="24"/>
        </w:rPr>
        <w:t>（六）违约责任</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1、因中标单位原因，未能按约定时间和要求完成有关工作的，每延误一天，采购单位可在当期应支付服务费用中扣除千分之一的合同价款。</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2、中标单位提供的成果质量低劣，不能满足采购单位工作要求时，应继续完善相关工作，其费用由乙方承担。</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3、中标单位泄露工作中接触的涉及采购单位及第三方的秘密，给采购单位造成损失的，应当承担相关责任。</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4、由于不可抗力，致使合同无法履行时，双方应按有关法律规定及时协商处理。</w:t>
      </w:r>
    </w:p>
    <w:p>
      <w:pPr>
        <w:spacing w:line="540" w:lineRule="exact"/>
        <w:ind w:firstLine="480" w:firstLineChars="200"/>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（七）其他</w:t>
      </w:r>
    </w:p>
    <w:p>
      <w:pPr>
        <w:spacing w:line="5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中标单位应按照采购单位提供的服务合同文本签订相应合同。</w:t>
      </w:r>
    </w:p>
    <w:p>
      <w:pPr>
        <w:spacing w:line="540" w:lineRule="exact"/>
        <w:ind w:firstLine="480" w:firstLineChars="200"/>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（八）分项报价清单</w:t>
      </w:r>
    </w:p>
    <w:tbl>
      <w:tblPr>
        <w:tblStyle w:val="15"/>
        <w:tblW w:w="9148" w:type="dxa"/>
        <w:tblInd w:w="93" w:type="dxa"/>
        <w:tblLayout w:type="fixed"/>
        <w:tblCellMar>
          <w:top w:w="0" w:type="dxa"/>
          <w:left w:w="108" w:type="dxa"/>
          <w:bottom w:w="0" w:type="dxa"/>
          <w:right w:w="108" w:type="dxa"/>
        </w:tblCellMar>
      </w:tblPr>
      <w:tblGrid>
        <w:gridCol w:w="868"/>
        <w:gridCol w:w="2235"/>
        <w:gridCol w:w="4112"/>
        <w:gridCol w:w="1933"/>
      </w:tblGrid>
      <w:tr>
        <w:tblPrEx>
          <w:tblCellMar>
            <w:top w:w="0" w:type="dxa"/>
            <w:left w:w="108" w:type="dxa"/>
            <w:bottom w:w="0" w:type="dxa"/>
            <w:right w:w="108" w:type="dxa"/>
          </w:tblCellMar>
        </w:tblPrEx>
        <w:trPr>
          <w:trHeight w:val="15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服务内容</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具体工作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服务费用（元）</w:t>
            </w:r>
          </w:p>
        </w:tc>
      </w:tr>
      <w:tr>
        <w:tblPrEx>
          <w:tblCellMar>
            <w:top w:w="0" w:type="dxa"/>
            <w:left w:w="108" w:type="dxa"/>
            <w:bottom w:w="0" w:type="dxa"/>
            <w:right w:w="108" w:type="dxa"/>
          </w:tblCellMar>
        </w:tblPrEx>
        <w:trPr>
          <w:trHeight w:val="140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2235"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rPr>
                <w:rFonts w:ascii="宋体" w:hAnsi="宋体" w:cs="宋体"/>
                <w:color w:val="auto"/>
                <w:sz w:val="24"/>
                <w:szCs w:val="24"/>
              </w:rPr>
            </w:pPr>
            <w:r>
              <w:rPr>
                <w:rFonts w:hint="eastAsia" w:ascii="宋体" w:hAnsi="宋体" w:cs="宋体"/>
                <w:color w:val="auto"/>
                <w:kern w:val="0"/>
                <w:sz w:val="24"/>
                <w:szCs w:val="24"/>
                <w:lang w:bidi="ar"/>
              </w:rPr>
              <w:t>日常工作信息收集、整理，宣传稿撰写及报送</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cs="宋体"/>
                <w:color w:val="auto"/>
                <w:sz w:val="24"/>
                <w:szCs w:val="24"/>
              </w:rPr>
            </w:pPr>
            <w:r>
              <w:rPr>
                <w:rFonts w:hint="eastAsia"/>
                <w:color w:val="auto"/>
                <w:sz w:val="24"/>
                <w:szCs w:val="24"/>
              </w:rPr>
              <w:t>负责日常工作数据、照片、视频等信息的收集、整理、归档。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r>
        <w:tblPrEx>
          <w:tblCellMar>
            <w:top w:w="0" w:type="dxa"/>
            <w:left w:w="108" w:type="dxa"/>
            <w:bottom w:w="0" w:type="dxa"/>
            <w:right w:w="108" w:type="dxa"/>
          </w:tblCellMar>
        </w:tblPrEx>
        <w:trPr>
          <w:trHeight w:val="15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2235"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cs="宋体"/>
                <w:color w:val="auto"/>
                <w:kern w:val="0"/>
                <w:sz w:val="24"/>
                <w:szCs w:val="24"/>
                <w:lang w:bidi="ar"/>
              </w:rPr>
            </w:pP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color w:val="auto"/>
                <w:sz w:val="24"/>
                <w:szCs w:val="24"/>
              </w:rPr>
            </w:pPr>
            <w:r>
              <w:rPr>
                <w:rFonts w:hint="eastAsia"/>
                <w:color w:val="auto"/>
                <w:sz w:val="24"/>
                <w:szCs w:val="24"/>
              </w:rPr>
              <w:t>负责工作动态撰写，宣传稿的草拟、审核和报批；负责联系新闻媒体，协助采购单位加强宣传工作的统筹和规划。</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r>
        <w:tblPrEx>
          <w:tblCellMar>
            <w:top w:w="0" w:type="dxa"/>
            <w:left w:w="108" w:type="dxa"/>
            <w:bottom w:w="0" w:type="dxa"/>
            <w:right w:w="108" w:type="dxa"/>
          </w:tblCellMar>
        </w:tblPrEx>
        <w:trPr>
          <w:trHeight w:val="15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22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土地整备法律、法规和政策宣传</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cs="宋体"/>
                <w:color w:val="auto"/>
                <w:sz w:val="24"/>
                <w:szCs w:val="24"/>
              </w:rPr>
            </w:pPr>
            <w:r>
              <w:rPr>
                <w:rFonts w:hint="eastAsia"/>
                <w:color w:val="auto"/>
                <w:sz w:val="24"/>
                <w:szCs w:val="24"/>
              </w:rPr>
              <w:t>负责开展对新入职的工作人员的法律、法规和政策宣讲；负责入户开展法律法规和政策宣传。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r>
        <w:tblPrEx>
          <w:tblCellMar>
            <w:top w:w="0" w:type="dxa"/>
            <w:left w:w="108" w:type="dxa"/>
            <w:bottom w:w="0" w:type="dxa"/>
            <w:right w:w="108" w:type="dxa"/>
          </w:tblCellMar>
        </w:tblPrEx>
        <w:trPr>
          <w:trHeight w:val="153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4</w:t>
            </w:r>
          </w:p>
        </w:tc>
        <w:tc>
          <w:tcPr>
            <w:tcW w:w="223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szCs w:val="24"/>
                <w:lang w:bidi="ar"/>
              </w:rPr>
            </w:pP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color w:val="auto"/>
                <w:sz w:val="24"/>
                <w:szCs w:val="24"/>
              </w:rPr>
            </w:pPr>
            <w:r>
              <w:rPr>
                <w:rFonts w:hint="eastAsia"/>
                <w:color w:val="auto"/>
                <w:sz w:val="24"/>
                <w:szCs w:val="24"/>
              </w:rPr>
              <w:t>负责对不配合土地整备和房屋征收补偿的被补偿对象进行法律、法规和政策宣传。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r>
        <w:tblPrEx>
          <w:tblCellMar>
            <w:top w:w="0" w:type="dxa"/>
            <w:left w:w="108" w:type="dxa"/>
            <w:bottom w:w="0" w:type="dxa"/>
            <w:right w:w="108" w:type="dxa"/>
          </w:tblCellMar>
        </w:tblPrEx>
        <w:trPr>
          <w:trHeight w:val="18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土地整备</w:t>
            </w:r>
            <w:r>
              <w:rPr>
                <w:rFonts w:hint="eastAsia"/>
                <w:color w:val="auto"/>
                <w:sz w:val="24"/>
                <w:szCs w:val="24"/>
              </w:rPr>
              <w:t>房屋征收</w:t>
            </w:r>
            <w:r>
              <w:rPr>
                <w:rFonts w:hint="eastAsia" w:ascii="宋体" w:hAnsi="宋体" w:cs="宋体"/>
                <w:color w:val="auto"/>
                <w:kern w:val="0"/>
                <w:sz w:val="24"/>
                <w:szCs w:val="24"/>
                <w:lang w:bidi="ar"/>
              </w:rPr>
              <w:t>确权</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cs="宋体"/>
                <w:color w:val="auto"/>
                <w:sz w:val="24"/>
                <w:szCs w:val="24"/>
              </w:rPr>
            </w:pPr>
            <w:r>
              <w:rPr>
                <w:rFonts w:hint="eastAsia"/>
                <w:color w:val="auto"/>
                <w:sz w:val="24"/>
                <w:szCs w:val="24"/>
              </w:rPr>
              <w:t>负责房屋征收前期调研、了解权利人基本状况、核实确权所需的信息、处理确权疑难问题等其他具体工作。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r>
        <w:tblPrEx>
          <w:tblCellMar>
            <w:top w:w="0" w:type="dxa"/>
            <w:left w:w="108" w:type="dxa"/>
            <w:bottom w:w="0" w:type="dxa"/>
            <w:right w:w="108" w:type="dxa"/>
          </w:tblCellMar>
        </w:tblPrEx>
        <w:trPr>
          <w:trHeight w:val="1060" w:hRule="atLeast"/>
        </w:trPr>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合计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p>
        </w:tc>
      </w:tr>
    </w:tbl>
    <w:p>
      <w:pPr>
        <w:spacing w:line="540" w:lineRule="exact"/>
        <w:ind w:firstLine="480" w:firstLineChars="200"/>
        <w:rPr>
          <w:rFonts w:ascii="楷体_GB2312" w:hAnsi="楷体_GB2312" w:eastAsia="楷体_GB2312" w:cs="楷体_GB2312"/>
          <w:color w:val="auto"/>
          <w:sz w:val="24"/>
          <w:szCs w:val="24"/>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p>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IkIkNgAAAAMAQAADwAAAAAAAAABACAAAAA4AAAAZHJzL2Rvd25yZXYueG1sUEsBAhQA&#10;FAAAAAgAh07iQKAXbrMVAgAAGQQAAA4AAAAAAAAAAQAgAAAAPQEAAGRycy9lMm9Eb2MueG1sUEsF&#10;BgAAAAAGAAYAWQEAAMQFAAAAAA==&#10;">
              <v:fill on="f" focussize="0,0"/>
              <v:stroke on="f" weight="0.5pt"/>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F87A5"/>
    <w:multiLevelType w:val="singleLevel"/>
    <w:tmpl w:val="CDFF87A5"/>
    <w:lvl w:ilvl="0" w:tentative="0">
      <w:start w:val="3"/>
      <w:numFmt w:val="chineseCounting"/>
      <w:suff w:val="nothing"/>
      <w:lvlText w:val="（%1）"/>
      <w:lvlJc w:val="left"/>
      <w:rPr>
        <w:rFonts w:hint="eastAsia"/>
      </w:rPr>
    </w:lvl>
  </w:abstractNum>
  <w:abstractNum w:abstractNumId="1">
    <w:nsid w:val="FE9F9685"/>
    <w:multiLevelType w:val="singleLevel"/>
    <w:tmpl w:val="FE9F9685"/>
    <w:lvl w:ilvl="0" w:tentative="0">
      <w:start w:val="1"/>
      <w:numFmt w:val="decimal"/>
      <w:suff w:val="nothing"/>
      <w:lvlText w:val="%1、"/>
      <w:lvlJc w:val="left"/>
    </w:lvl>
  </w:abstractNum>
  <w:abstractNum w:abstractNumId="2">
    <w:nsid w:val="462C51C1"/>
    <w:multiLevelType w:val="singleLevel"/>
    <w:tmpl w:val="462C51C1"/>
    <w:lvl w:ilvl="0" w:tentative="0">
      <w:start w:val="1"/>
      <w:numFmt w:val="decimal"/>
      <w:lvlText w:val="%1."/>
      <w:lvlJc w:val="left"/>
      <w:pPr>
        <w:tabs>
          <w:tab w:val="left" w:pos="312"/>
        </w:tabs>
      </w:pPr>
    </w:lvl>
  </w:abstractNum>
  <w:abstractNum w:abstractNumId="3">
    <w:nsid w:val="4D6F6E9F"/>
    <w:multiLevelType w:val="multilevel"/>
    <w:tmpl w:val="4D6F6E9F"/>
    <w:lvl w:ilvl="0" w:tentative="0">
      <w:start w:val="1"/>
      <w:numFmt w:val="decimal"/>
      <w:lvlText w:val="（%1）"/>
      <w:lvlJc w:val="left"/>
      <w:pPr>
        <w:ind w:left="720" w:hanging="7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EF2A64"/>
    <w:multiLevelType w:val="multilevel"/>
    <w:tmpl w:val="5FEF2A64"/>
    <w:lvl w:ilvl="0" w:tentative="0">
      <w:start w:val="1"/>
      <w:numFmt w:val="decimal"/>
      <w:lvlText w:val="（%1）"/>
      <w:lvlJc w:val="left"/>
      <w:pPr>
        <w:ind w:left="720" w:hanging="7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A06A15"/>
    <w:multiLevelType w:val="multilevel"/>
    <w:tmpl w:val="74A06A15"/>
    <w:lvl w:ilvl="0" w:tentative="0">
      <w:start w:val="1"/>
      <w:numFmt w:val="decimal"/>
      <w:lvlText w:val="（%1）"/>
      <w:lvlJc w:val="left"/>
      <w:pPr>
        <w:ind w:left="1076" w:hanging="7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zRkMTllOWVlNTM5YmRiODU4YzI5NzJjMzRjZGQifQ=="/>
  </w:docVars>
  <w:rsids>
    <w:rsidRoot w:val="00886347"/>
    <w:rsid w:val="00000725"/>
    <w:rsid w:val="0001211D"/>
    <w:rsid w:val="00017ECA"/>
    <w:rsid w:val="00026F61"/>
    <w:rsid w:val="00045C80"/>
    <w:rsid w:val="0008769B"/>
    <w:rsid w:val="000937F0"/>
    <w:rsid w:val="000A3B7C"/>
    <w:rsid w:val="000A435A"/>
    <w:rsid w:val="000C1137"/>
    <w:rsid w:val="000C4093"/>
    <w:rsid w:val="000C48AA"/>
    <w:rsid w:val="000D3133"/>
    <w:rsid w:val="000E4EEE"/>
    <w:rsid w:val="000E4F89"/>
    <w:rsid w:val="000F3F6D"/>
    <w:rsid w:val="00105496"/>
    <w:rsid w:val="0011478A"/>
    <w:rsid w:val="001167D8"/>
    <w:rsid w:val="001306E3"/>
    <w:rsid w:val="00135721"/>
    <w:rsid w:val="0013726E"/>
    <w:rsid w:val="001503D9"/>
    <w:rsid w:val="0016484E"/>
    <w:rsid w:val="00170019"/>
    <w:rsid w:val="00170BE0"/>
    <w:rsid w:val="00172A8E"/>
    <w:rsid w:val="00174DC8"/>
    <w:rsid w:val="00186375"/>
    <w:rsid w:val="00190557"/>
    <w:rsid w:val="001A7A59"/>
    <w:rsid w:val="001B0AC7"/>
    <w:rsid w:val="001B5F5B"/>
    <w:rsid w:val="001B7B5D"/>
    <w:rsid w:val="001C06E3"/>
    <w:rsid w:val="001C3A99"/>
    <w:rsid w:val="001D5EF4"/>
    <w:rsid w:val="001E2A70"/>
    <w:rsid w:val="001E37C3"/>
    <w:rsid w:val="001F0BA8"/>
    <w:rsid w:val="001F66EA"/>
    <w:rsid w:val="00204097"/>
    <w:rsid w:val="00205F68"/>
    <w:rsid w:val="00215CF6"/>
    <w:rsid w:val="00216717"/>
    <w:rsid w:val="00217B19"/>
    <w:rsid w:val="0022060E"/>
    <w:rsid w:val="00221BDA"/>
    <w:rsid w:val="00225485"/>
    <w:rsid w:val="002342F7"/>
    <w:rsid w:val="00236C7C"/>
    <w:rsid w:val="00250ADC"/>
    <w:rsid w:val="00253D26"/>
    <w:rsid w:val="0028134C"/>
    <w:rsid w:val="002932D1"/>
    <w:rsid w:val="00295501"/>
    <w:rsid w:val="002A654A"/>
    <w:rsid w:val="002B412D"/>
    <w:rsid w:val="002B4763"/>
    <w:rsid w:val="002C2DB1"/>
    <w:rsid w:val="002C3E3C"/>
    <w:rsid w:val="002C5647"/>
    <w:rsid w:val="002D55BB"/>
    <w:rsid w:val="002D5972"/>
    <w:rsid w:val="002F0CE6"/>
    <w:rsid w:val="002F4014"/>
    <w:rsid w:val="00301FC9"/>
    <w:rsid w:val="00326F61"/>
    <w:rsid w:val="00331061"/>
    <w:rsid w:val="003369CE"/>
    <w:rsid w:val="00345B5D"/>
    <w:rsid w:val="003516A5"/>
    <w:rsid w:val="00354D39"/>
    <w:rsid w:val="00360A25"/>
    <w:rsid w:val="0036405E"/>
    <w:rsid w:val="003650EA"/>
    <w:rsid w:val="003659C7"/>
    <w:rsid w:val="00383BF8"/>
    <w:rsid w:val="003D381D"/>
    <w:rsid w:val="003E5A4B"/>
    <w:rsid w:val="003F04B1"/>
    <w:rsid w:val="003F3E1B"/>
    <w:rsid w:val="00411A09"/>
    <w:rsid w:val="00414AD3"/>
    <w:rsid w:val="00415CC6"/>
    <w:rsid w:val="004229EE"/>
    <w:rsid w:val="004400FD"/>
    <w:rsid w:val="0044255C"/>
    <w:rsid w:val="004557A3"/>
    <w:rsid w:val="00463762"/>
    <w:rsid w:val="004823FA"/>
    <w:rsid w:val="004835F6"/>
    <w:rsid w:val="00492FF2"/>
    <w:rsid w:val="00495E40"/>
    <w:rsid w:val="004A1D8A"/>
    <w:rsid w:val="004A2EBA"/>
    <w:rsid w:val="004B2867"/>
    <w:rsid w:val="004B7001"/>
    <w:rsid w:val="004D158F"/>
    <w:rsid w:val="004E28C4"/>
    <w:rsid w:val="004E45D9"/>
    <w:rsid w:val="00501A9A"/>
    <w:rsid w:val="00502128"/>
    <w:rsid w:val="00502A62"/>
    <w:rsid w:val="00506633"/>
    <w:rsid w:val="00511466"/>
    <w:rsid w:val="00517930"/>
    <w:rsid w:val="00523E52"/>
    <w:rsid w:val="0054165F"/>
    <w:rsid w:val="0056754B"/>
    <w:rsid w:val="00575506"/>
    <w:rsid w:val="00592D72"/>
    <w:rsid w:val="0059797A"/>
    <w:rsid w:val="005A3E33"/>
    <w:rsid w:val="005B45C2"/>
    <w:rsid w:val="005C1882"/>
    <w:rsid w:val="005C4438"/>
    <w:rsid w:val="005E44D4"/>
    <w:rsid w:val="005E4BAF"/>
    <w:rsid w:val="005F0A01"/>
    <w:rsid w:val="005F3703"/>
    <w:rsid w:val="00635BCB"/>
    <w:rsid w:val="0065500A"/>
    <w:rsid w:val="0065711B"/>
    <w:rsid w:val="00664DE7"/>
    <w:rsid w:val="00672125"/>
    <w:rsid w:val="006740D1"/>
    <w:rsid w:val="00676552"/>
    <w:rsid w:val="00682146"/>
    <w:rsid w:val="00683C07"/>
    <w:rsid w:val="0068594B"/>
    <w:rsid w:val="00693207"/>
    <w:rsid w:val="006A1A56"/>
    <w:rsid w:val="006A3069"/>
    <w:rsid w:val="006B6422"/>
    <w:rsid w:val="006D4EF1"/>
    <w:rsid w:val="006E5923"/>
    <w:rsid w:val="006E5A56"/>
    <w:rsid w:val="00710C79"/>
    <w:rsid w:val="00717F95"/>
    <w:rsid w:val="00720093"/>
    <w:rsid w:val="00723482"/>
    <w:rsid w:val="00726440"/>
    <w:rsid w:val="0074456A"/>
    <w:rsid w:val="00766015"/>
    <w:rsid w:val="00770FA1"/>
    <w:rsid w:val="007722C3"/>
    <w:rsid w:val="007857AC"/>
    <w:rsid w:val="007902F3"/>
    <w:rsid w:val="007918C1"/>
    <w:rsid w:val="0079698D"/>
    <w:rsid w:val="00797CE5"/>
    <w:rsid w:val="007A01BF"/>
    <w:rsid w:val="007B48A6"/>
    <w:rsid w:val="007B4A01"/>
    <w:rsid w:val="007D029D"/>
    <w:rsid w:val="007D6879"/>
    <w:rsid w:val="007E32B8"/>
    <w:rsid w:val="007F614B"/>
    <w:rsid w:val="008047BB"/>
    <w:rsid w:val="00831C39"/>
    <w:rsid w:val="00836960"/>
    <w:rsid w:val="00847778"/>
    <w:rsid w:val="00857D7B"/>
    <w:rsid w:val="00864091"/>
    <w:rsid w:val="00886347"/>
    <w:rsid w:val="008951DC"/>
    <w:rsid w:val="008A754E"/>
    <w:rsid w:val="008B77C8"/>
    <w:rsid w:val="008C10D7"/>
    <w:rsid w:val="008D2B32"/>
    <w:rsid w:val="008D3731"/>
    <w:rsid w:val="008E305C"/>
    <w:rsid w:val="008F2646"/>
    <w:rsid w:val="00913393"/>
    <w:rsid w:val="0091596B"/>
    <w:rsid w:val="00932240"/>
    <w:rsid w:val="00932BA4"/>
    <w:rsid w:val="00933117"/>
    <w:rsid w:val="009448C5"/>
    <w:rsid w:val="00945331"/>
    <w:rsid w:val="00947738"/>
    <w:rsid w:val="00950305"/>
    <w:rsid w:val="00952181"/>
    <w:rsid w:val="009538DD"/>
    <w:rsid w:val="0096365D"/>
    <w:rsid w:val="00963B43"/>
    <w:rsid w:val="00987AA6"/>
    <w:rsid w:val="0099480A"/>
    <w:rsid w:val="009A2CC1"/>
    <w:rsid w:val="009A2DA0"/>
    <w:rsid w:val="009A3BDC"/>
    <w:rsid w:val="009A6207"/>
    <w:rsid w:val="009B7AFE"/>
    <w:rsid w:val="009C73C6"/>
    <w:rsid w:val="009D2C52"/>
    <w:rsid w:val="009E18BB"/>
    <w:rsid w:val="009E531A"/>
    <w:rsid w:val="009F0BE3"/>
    <w:rsid w:val="00A0035A"/>
    <w:rsid w:val="00A05757"/>
    <w:rsid w:val="00A11DC6"/>
    <w:rsid w:val="00A249EC"/>
    <w:rsid w:val="00A317D6"/>
    <w:rsid w:val="00A3442D"/>
    <w:rsid w:val="00A44EA0"/>
    <w:rsid w:val="00A451C7"/>
    <w:rsid w:val="00A45225"/>
    <w:rsid w:val="00A4638E"/>
    <w:rsid w:val="00A46793"/>
    <w:rsid w:val="00A4780B"/>
    <w:rsid w:val="00A65B3F"/>
    <w:rsid w:val="00A74673"/>
    <w:rsid w:val="00A86590"/>
    <w:rsid w:val="00AA4B96"/>
    <w:rsid w:val="00AB1168"/>
    <w:rsid w:val="00AB1D97"/>
    <w:rsid w:val="00AB5B9F"/>
    <w:rsid w:val="00AD16A1"/>
    <w:rsid w:val="00AE769F"/>
    <w:rsid w:val="00AF039E"/>
    <w:rsid w:val="00AF19C3"/>
    <w:rsid w:val="00AF6B9B"/>
    <w:rsid w:val="00B05823"/>
    <w:rsid w:val="00B25C8B"/>
    <w:rsid w:val="00B3074D"/>
    <w:rsid w:val="00B424A3"/>
    <w:rsid w:val="00B45A9E"/>
    <w:rsid w:val="00B5773A"/>
    <w:rsid w:val="00B77088"/>
    <w:rsid w:val="00B8208B"/>
    <w:rsid w:val="00B966BC"/>
    <w:rsid w:val="00B96B2F"/>
    <w:rsid w:val="00BA07AF"/>
    <w:rsid w:val="00BA7738"/>
    <w:rsid w:val="00BB2723"/>
    <w:rsid w:val="00BB3AEF"/>
    <w:rsid w:val="00BC3C39"/>
    <w:rsid w:val="00BC4600"/>
    <w:rsid w:val="00BC7AB6"/>
    <w:rsid w:val="00BD60CF"/>
    <w:rsid w:val="00BF262B"/>
    <w:rsid w:val="00C14E62"/>
    <w:rsid w:val="00C222D7"/>
    <w:rsid w:val="00C22A7D"/>
    <w:rsid w:val="00C30D67"/>
    <w:rsid w:val="00C3294E"/>
    <w:rsid w:val="00C348A6"/>
    <w:rsid w:val="00C42A69"/>
    <w:rsid w:val="00C525E3"/>
    <w:rsid w:val="00C60910"/>
    <w:rsid w:val="00C64D0F"/>
    <w:rsid w:val="00C71503"/>
    <w:rsid w:val="00C75607"/>
    <w:rsid w:val="00C76647"/>
    <w:rsid w:val="00C808A1"/>
    <w:rsid w:val="00C81153"/>
    <w:rsid w:val="00C86A81"/>
    <w:rsid w:val="00CA5D18"/>
    <w:rsid w:val="00CA6CF1"/>
    <w:rsid w:val="00CB3B7F"/>
    <w:rsid w:val="00CB59E7"/>
    <w:rsid w:val="00CC3E56"/>
    <w:rsid w:val="00CC5CF5"/>
    <w:rsid w:val="00CC7D6D"/>
    <w:rsid w:val="00CE10C8"/>
    <w:rsid w:val="00CE3D6B"/>
    <w:rsid w:val="00CE70BD"/>
    <w:rsid w:val="00D0327B"/>
    <w:rsid w:val="00D0334B"/>
    <w:rsid w:val="00D06385"/>
    <w:rsid w:val="00D41D72"/>
    <w:rsid w:val="00D53B9E"/>
    <w:rsid w:val="00D54047"/>
    <w:rsid w:val="00D77317"/>
    <w:rsid w:val="00D80CD7"/>
    <w:rsid w:val="00DA19D6"/>
    <w:rsid w:val="00DB7B77"/>
    <w:rsid w:val="00DC2489"/>
    <w:rsid w:val="00DE156C"/>
    <w:rsid w:val="00E35B2B"/>
    <w:rsid w:val="00E35B30"/>
    <w:rsid w:val="00E5450D"/>
    <w:rsid w:val="00E558A5"/>
    <w:rsid w:val="00E65059"/>
    <w:rsid w:val="00E81970"/>
    <w:rsid w:val="00E87C29"/>
    <w:rsid w:val="00E93583"/>
    <w:rsid w:val="00E9718F"/>
    <w:rsid w:val="00EA176A"/>
    <w:rsid w:val="00EA5D32"/>
    <w:rsid w:val="00EB3A80"/>
    <w:rsid w:val="00EC1A0B"/>
    <w:rsid w:val="00ED0E2C"/>
    <w:rsid w:val="00ED20D4"/>
    <w:rsid w:val="00ED5361"/>
    <w:rsid w:val="00ED6C4D"/>
    <w:rsid w:val="00EE4A06"/>
    <w:rsid w:val="00EF43D2"/>
    <w:rsid w:val="00F02801"/>
    <w:rsid w:val="00F101C3"/>
    <w:rsid w:val="00F110CF"/>
    <w:rsid w:val="00F3159E"/>
    <w:rsid w:val="00F43EC0"/>
    <w:rsid w:val="00F52837"/>
    <w:rsid w:val="00F71500"/>
    <w:rsid w:val="00F74780"/>
    <w:rsid w:val="00F74E85"/>
    <w:rsid w:val="00F80649"/>
    <w:rsid w:val="00F83523"/>
    <w:rsid w:val="00F8464D"/>
    <w:rsid w:val="00F87E8A"/>
    <w:rsid w:val="00F9289C"/>
    <w:rsid w:val="00FA4E47"/>
    <w:rsid w:val="00FB45C1"/>
    <w:rsid w:val="00FC71A7"/>
    <w:rsid w:val="00FC7213"/>
    <w:rsid w:val="00FD32D3"/>
    <w:rsid w:val="00FD3FE6"/>
    <w:rsid w:val="00FD4EE2"/>
    <w:rsid w:val="00FF113A"/>
    <w:rsid w:val="00FF2EC4"/>
    <w:rsid w:val="012B3C86"/>
    <w:rsid w:val="01575593"/>
    <w:rsid w:val="03790876"/>
    <w:rsid w:val="039743D1"/>
    <w:rsid w:val="03E03C85"/>
    <w:rsid w:val="044E5A33"/>
    <w:rsid w:val="061511F2"/>
    <w:rsid w:val="07A370AA"/>
    <w:rsid w:val="08002A0C"/>
    <w:rsid w:val="086B774F"/>
    <w:rsid w:val="08F1285C"/>
    <w:rsid w:val="091A3FBF"/>
    <w:rsid w:val="097C1635"/>
    <w:rsid w:val="09F33C22"/>
    <w:rsid w:val="0A4D126B"/>
    <w:rsid w:val="0A907B1A"/>
    <w:rsid w:val="0AC01D1D"/>
    <w:rsid w:val="0B845D81"/>
    <w:rsid w:val="0D21433D"/>
    <w:rsid w:val="0E6F2627"/>
    <w:rsid w:val="0F9646D8"/>
    <w:rsid w:val="10283906"/>
    <w:rsid w:val="10C975AC"/>
    <w:rsid w:val="138C3F13"/>
    <w:rsid w:val="14B41130"/>
    <w:rsid w:val="15071E33"/>
    <w:rsid w:val="15080B11"/>
    <w:rsid w:val="153915FC"/>
    <w:rsid w:val="17176687"/>
    <w:rsid w:val="17A1524D"/>
    <w:rsid w:val="17AA7B9D"/>
    <w:rsid w:val="194B4616"/>
    <w:rsid w:val="19A73ECD"/>
    <w:rsid w:val="19F43953"/>
    <w:rsid w:val="1A27767A"/>
    <w:rsid w:val="1A863F24"/>
    <w:rsid w:val="1B6F58C0"/>
    <w:rsid w:val="1D615248"/>
    <w:rsid w:val="1F77426F"/>
    <w:rsid w:val="1FA22391"/>
    <w:rsid w:val="1FE21258"/>
    <w:rsid w:val="21D424EB"/>
    <w:rsid w:val="229A7965"/>
    <w:rsid w:val="22B511B5"/>
    <w:rsid w:val="22F6235A"/>
    <w:rsid w:val="23E04ECA"/>
    <w:rsid w:val="24172EC8"/>
    <w:rsid w:val="25C428AA"/>
    <w:rsid w:val="2666206C"/>
    <w:rsid w:val="275B9FD8"/>
    <w:rsid w:val="2776242C"/>
    <w:rsid w:val="284E28C8"/>
    <w:rsid w:val="2AB0708E"/>
    <w:rsid w:val="2BDB74B8"/>
    <w:rsid w:val="2D156C47"/>
    <w:rsid w:val="2D162B44"/>
    <w:rsid w:val="2DFF14F9"/>
    <w:rsid w:val="2EE476C8"/>
    <w:rsid w:val="2F385478"/>
    <w:rsid w:val="2FFA4888"/>
    <w:rsid w:val="30406039"/>
    <w:rsid w:val="308E0FCC"/>
    <w:rsid w:val="30FD667A"/>
    <w:rsid w:val="31545CD3"/>
    <w:rsid w:val="35A9612B"/>
    <w:rsid w:val="36A2168E"/>
    <w:rsid w:val="3777399F"/>
    <w:rsid w:val="38362A3B"/>
    <w:rsid w:val="38D95F23"/>
    <w:rsid w:val="39474F60"/>
    <w:rsid w:val="3A8A51D2"/>
    <w:rsid w:val="3AED9574"/>
    <w:rsid w:val="3B0C05AB"/>
    <w:rsid w:val="3BDB7A9D"/>
    <w:rsid w:val="3EFF60A5"/>
    <w:rsid w:val="3F7B1EC3"/>
    <w:rsid w:val="3F7B6D9F"/>
    <w:rsid w:val="3FA07FC0"/>
    <w:rsid w:val="3FA83B0C"/>
    <w:rsid w:val="3FE8193F"/>
    <w:rsid w:val="40092AA7"/>
    <w:rsid w:val="412164E0"/>
    <w:rsid w:val="423B3764"/>
    <w:rsid w:val="43CA1F4C"/>
    <w:rsid w:val="44861F72"/>
    <w:rsid w:val="456D3FED"/>
    <w:rsid w:val="45AA0659"/>
    <w:rsid w:val="45FA65E0"/>
    <w:rsid w:val="46AC43B3"/>
    <w:rsid w:val="470E77CF"/>
    <w:rsid w:val="48D46B82"/>
    <w:rsid w:val="49242021"/>
    <w:rsid w:val="49705C6D"/>
    <w:rsid w:val="4BF672C9"/>
    <w:rsid w:val="4CC83AC9"/>
    <w:rsid w:val="4D2D2451"/>
    <w:rsid w:val="4E9B57A9"/>
    <w:rsid w:val="4EB364D6"/>
    <w:rsid w:val="4EDF1E0A"/>
    <w:rsid w:val="4EFD5758"/>
    <w:rsid w:val="4F25598B"/>
    <w:rsid w:val="4FAC4126"/>
    <w:rsid w:val="4FBA2ADF"/>
    <w:rsid w:val="4FEF9A1B"/>
    <w:rsid w:val="51F45564"/>
    <w:rsid w:val="51F583B6"/>
    <w:rsid w:val="529E4AE0"/>
    <w:rsid w:val="54F948BD"/>
    <w:rsid w:val="550C30D3"/>
    <w:rsid w:val="5668492C"/>
    <w:rsid w:val="57CB4B9B"/>
    <w:rsid w:val="57D950A6"/>
    <w:rsid w:val="58FB7A0F"/>
    <w:rsid w:val="590B120F"/>
    <w:rsid w:val="592C6EC4"/>
    <w:rsid w:val="598B4789"/>
    <w:rsid w:val="5A6D5243"/>
    <w:rsid w:val="5A6F5746"/>
    <w:rsid w:val="5AA013CD"/>
    <w:rsid w:val="5B2C4252"/>
    <w:rsid w:val="5B5B0D2D"/>
    <w:rsid w:val="5B7311D4"/>
    <w:rsid w:val="5D103272"/>
    <w:rsid w:val="5DFE53EB"/>
    <w:rsid w:val="5E3D098F"/>
    <w:rsid w:val="5EC91951"/>
    <w:rsid w:val="5F1F413B"/>
    <w:rsid w:val="5F3B05CF"/>
    <w:rsid w:val="61A82C05"/>
    <w:rsid w:val="6391591E"/>
    <w:rsid w:val="63ED206A"/>
    <w:rsid w:val="64FA47DA"/>
    <w:rsid w:val="65B36EAA"/>
    <w:rsid w:val="65ED20A6"/>
    <w:rsid w:val="65FA58EF"/>
    <w:rsid w:val="661D611F"/>
    <w:rsid w:val="662FC6B6"/>
    <w:rsid w:val="6673616B"/>
    <w:rsid w:val="668A0972"/>
    <w:rsid w:val="67EC2207"/>
    <w:rsid w:val="69D5658D"/>
    <w:rsid w:val="6B8E186C"/>
    <w:rsid w:val="6DC02F24"/>
    <w:rsid w:val="6E507836"/>
    <w:rsid w:val="6ECF7F99"/>
    <w:rsid w:val="6F7266DD"/>
    <w:rsid w:val="6F891F28"/>
    <w:rsid w:val="6FB8735C"/>
    <w:rsid w:val="702D584E"/>
    <w:rsid w:val="70593889"/>
    <w:rsid w:val="70D13DED"/>
    <w:rsid w:val="72640EEC"/>
    <w:rsid w:val="731C1B80"/>
    <w:rsid w:val="738978FE"/>
    <w:rsid w:val="73FB6F64"/>
    <w:rsid w:val="74AC10AC"/>
    <w:rsid w:val="75353045"/>
    <w:rsid w:val="754540A0"/>
    <w:rsid w:val="75604C1F"/>
    <w:rsid w:val="76AB552F"/>
    <w:rsid w:val="79DF3B1D"/>
    <w:rsid w:val="7A647F5B"/>
    <w:rsid w:val="7BCA1F7B"/>
    <w:rsid w:val="7BE00B73"/>
    <w:rsid w:val="7C9E01D7"/>
    <w:rsid w:val="7E8272D7"/>
    <w:rsid w:val="7E957EDF"/>
    <w:rsid w:val="7F643FFD"/>
    <w:rsid w:val="7FBE28F3"/>
    <w:rsid w:val="7FD10742"/>
    <w:rsid w:val="7FF13355"/>
    <w:rsid w:val="7FFB8D00"/>
    <w:rsid w:val="7FFCF181"/>
    <w:rsid w:val="7FFF81C1"/>
    <w:rsid w:val="96F30DB8"/>
    <w:rsid w:val="9C39AE4D"/>
    <w:rsid w:val="9FDF4F03"/>
    <w:rsid w:val="ADF75702"/>
    <w:rsid w:val="BA7B23C6"/>
    <w:rsid w:val="BABF63B9"/>
    <w:rsid w:val="CBF97308"/>
    <w:rsid w:val="CFF72132"/>
    <w:rsid w:val="D5FF9864"/>
    <w:rsid w:val="D776FEA4"/>
    <w:rsid w:val="D7E6C954"/>
    <w:rsid w:val="DEEBB74B"/>
    <w:rsid w:val="DFF62EAB"/>
    <w:rsid w:val="E77FA963"/>
    <w:rsid w:val="EBFF1941"/>
    <w:rsid w:val="EFFF0566"/>
    <w:rsid w:val="F4ED231F"/>
    <w:rsid w:val="F74DB187"/>
    <w:rsid w:val="F7F78ACD"/>
    <w:rsid w:val="F7FECCE4"/>
    <w:rsid w:val="FBDFC13C"/>
    <w:rsid w:val="FDF7C0FC"/>
    <w:rsid w:val="FE734873"/>
    <w:rsid w:val="FEF649AB"/>
    <w:rsid w:val="FF1D7C05"/>
    <w:rsid w:val="FF6DBA2F"/>
    <w:rsid w:val="FFFBA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link w:val="30"/>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link w:val="32"/>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0"/>
    <w:rPr>
      <w:rFonts w:ascii="Times New Roman" w:hAnsi="Times New Roman"/>
      <w:sz w:val="32"/>
      <w:szCs w:val="24"/>
    </w:rPr>
  </w:style>
  <w:style w:type="paragraph" w:styleId="6">
    <w:name w:val="Normal Indent"/>
    <w:basedOn w:val="1"/>
    <w:qFormat/>
    <w:uiPriority w:val="0"/>
    <w:pPr>
      <w:spacing w:line="560" w:lineRule="exact"/>
      <w:ind w:firstLine="420" w:firstLineChars="200"/>
    </w:p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unhideWhenUsed/>
    <w:qFormat/>
    <w:uiPriority w:val="99"/>
    <w:pPr>
      <w:jc w:val="left"/>
    </w:p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unhideWhenUsed/>
    <w:qFormat/>
    <w:uiPriority w:val="99"/>
    <w:pPr>
      <w:snapToGrid w:val="0"/>
      <w:jc w:val="left"/>
    </w:pPr>
    <w:rPr>
      <w:sz w:val="18"/>
    </w:rPr>
  </w:style>
  <w:style w:type="table" w:styleId="16">
    <w:name w:val="Table Gri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footnote reference"/>
    <w:basedOn w:val="17"/>
    <w:semiHidden/>
    <w:unhideWhenUsed/>
    <w:qFormat/>
    <w:uiPriority w:val="99"/>
    <w:rPr>
      <w:vertAlign w:val="superscript"/>
    </w:rPr>
  </w:style>
  <w:style w:type="character" w:customStyle="1" w:styleId="20">
    <w:name w:val="UserStyle_0"/>
    <w:basedOn w:val="21"/>
    <w:qFormat/>
    <w:uiPriority w:val="0"/>
    <w:rPr>
      <w:rFonts w:ascii="Calibri" w:hAnsi="Calibri" w:eastAsia="宋体" w:cs="Times New Roman"/>
      <w:kern w:val="2"/>
      <w:sz w:val="21"/>
      <w:szCs w:val="22"/>
      <w:lang w:val="en-US" w:eastAsia="zh-CN" w:bidi="ar-SA"/>
    </w:rPr>
  </w:style>
  <w:style w:type="character" w:customStyle="1" w:styleId="21">
    <w:name w:val="NormalCharacter"/>
    <w:semiHidden/>
    <w:qFormat/>
    <w:uiPriority w:val="0"/>
  </w:style>
  <w:style w:type="paragraph" w:customStyle="1" w:styleId="22">
    <w:name w:val="列出段落2"/>
    <w:basedOn w:val="1"/>
    <w:next w:val="23"/>
    <w:qFormat/>
    <w:uiPriority w:val="34"/>
    <w:pPr>
      <w:ind w:firstLine="420" w:firstLineChars="200"/>
    </w:pPr>
    <w:rPr>
      <w:kern w:val="0"/>
      <w:sz w:val="20"/>
      <w:szCs w:val="20"/>
    </w:rPr>
  </w:style>
  <w:style w:type="paragraph" w:customStyle="1" w:styleId="23">
    <w:name w:val="xl591"/>
    <w:basedOn w:val="1"/>
    <w:next w:val="7"/>
    <w:qFormat/>
    <w:uiPriority w:val="99"/>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34"/>
    <w:pPr>
      <w:ind w:firstLine="420" w:firstLineChars="200"/>
    </w:pPr>
  </w:style>
  <w:style w:type="paragraph" w:customStyle="1" w:styleId="25">
    <w:name w:val="Char Char Char Char Char Char1 Char"/>
    <w:basedOn w:val="8"/>
    <w:qFormat/>
    <w:uiPriority w:val="0"/>
    <w:pPr>
      <w:adjustRightInd w:val="0"/>
      <w:spacing w:line="436" w:lineRule="exact"/>
      <w:ind w:left="357"/>
      <w:jc w:val="left"/>
      <w:outlineLvl w:val="3"/>
    </w:pPr>
    <w:rPr>
      <w:rFonts w:ascii="Times New Roman" w:hAnsi="Times New Roman"/>
      <w:szCs w:val="24"/>
    </w:rPr>
  </w:style>
  <w:style w:type="character" w:customStyle="1" w:styleId="26">
    <w:name w:val="页眉 字符"/>
    <w:link w:val="13"/>
    <w:semiHidden/>
    <w:qFormat/>
    <w:uiPriority w:val="99"/>
    <w:rPr>
      <w:sz w:val="18"/>
      <w:szCs w:val="18"/>
    </w:rPr>
  </w:style>
  <w:style w:type="character" w:customStyle="1" w:styleId="27">
    <w:name w:val="页脚 字符"/>
    <w:link w:val="12"/>
    <w:qFormat/>
    <w:uiPriority w:val="99"/>
    <w:rPr>
      <w:sz w:val="18"/>
      <w:szCs w:val="18"/>
    </w:rPr>
  </w:style>
  <w:style w:type="character" w:customStyle="1" w:styleId="28">
    <w:name w:val="正文文本 字符"/>
    <w:link w:val="2"/>
    <w:qFormat/>
    <w:uiPriority w:val="0"/>
    <w:rPr>
      <w:rFonts w:ascii="Times New Roman" w:hAnsi="Times New Roman" w:eastAsia="宋体" w:cs="Times New Roman"/>
      <w:sz w:val="32"/>
      <w:szCs w:val="24"/>
    </w:rPr>
  </w:style>
  <w:style w:type="character" w:customStyle="1" w:styleId="29">
    <w:name w:val="日期 字符"/>
    <w:basedOn w:val="17"/>
    <w:link w:val="10"/>
    <w:semiHidden/>
    <w:qFormat/>
    <w:uiPriority w:val="99"/>
  </w:style>
  <w:style w:type="character" w:customStyle="1" w:styleId="30">
    <w:name w:val="标题 2 字符"/>
    <w:link w:val="3"/>
    <w:qFormat/>
    <w:uiPriority w:val="0"/>
    <w:rPr>
      <w:rFonts w:ascii="宋体" w:hAnsi="宋体" w:eastAsia="宋体" w:cs="Times New Roman"/>
      <w:b/>
      <w:kern w:val="0"/>
      <w:sz w:val="24"/>
      <w:szCs w:val="20"/>
    </w:rPr>
  </w:style>
  <w:style w:type="character" w:customStyle="1" w:styleId="31">
    <w:name w:val="标题 4 字符"/>
    <w:link w:val="5"/>
    <w:qFormat/>
    <w:uiPriority w:val="9"/>
    <w:rPr>
      <w:rFonts w:ascii="Cambria" w:hAnsi="Cambria" w:eastAsia="宋体" w:cs="Times New Roman"/>
      <w:b/>
      <w:bCs/>
      <w:sz w:val="28"/>
      <w:szCs w:val="28"/>
    </w:rPr>
  </w:style>
  <w:style w:type="character" w:customStyle="1" w:styleId="32">
    <w:name w:val="标题 3 字符"/>
    <w:link w:val="4"/>
    <w:semiHidden/>
    <w:qFormat/>
    <w:uiPriority w:val="9"/>
    <w:rPr>
      <w:b/>
      <w:bCs/>
      <w:sz w:val="32"/>
      <w:szCs w:val="32"/>
    </w:rPr>
  </w:style>
  <w:style w:type="character" w:customStyle="1" w:styleId="33">
    <w:name w:val="批注框文本 字符"/>
    <w:link w:val="11"/>
    <w:semiHidden/>
    <w:qFormat/>
    <w:uiPriority w:val="99"/>
    <w:rPr>
      <w:kern w:val="2"/>
      <w:sz w:val="18"/>
      <w:szCs w:val="18"/>
    </w:rPr>
  </w:style>
  <w:style w:type="paragraph" w:customStyle="1" w:styleId="34">
    <w:name w:val="样式1"/>
    <w:basedOn w:val="14"/>
    <w:qFormat/>
    <w:uiPriority w:val="0"/>
    <w:rPr>
      <w:sz w:val="21"/>
    </w:rPr>
  </w:style>
  <w:style w:type="paragraph" w:customStyle="1" w:styleId="35">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4478</Words>
  <Characters>4572</Characters>
  <Lines>34</Lines>
  <Paragraphs>9</Paragraphs>
  <TotalTime>1</TotalTime>
  <ScaleCrop>false</ScaleCrop>
  <LinksUpToDate>false</LinksUpToDate>
  <CharactersWithSpaces>4596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2019-04-11T07:51:00Z</dcterms:created>
  <dc:creator>袁峰</dc:creator>
  <cp:lastModifiedBy>jjh</cp:lastModifiedBy>
  <cp:lastPrinted>2019-04-01T03:32:00Z</cp:lastPrinted>
  <dcterms:modified xsi:type="dcterms:W3CDTF">2023-01-03T15:18:55Z</dcterms:modified>
  <dc:title>深财购〔2019〕27号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AC16C2B2618349069A15909E1597E99C</vt:lpwstr>
  </property>
</Properties>
</file>