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2022年度坪山工会社会工作征文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获奖情况一览表</w:t>
      </w:r>
    </w:p>
    <w:tbl>
      <w:tblPr>
        <w:tblStyle w:val="4"/>
        <w:tblW w:w="10785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36"/>
        <w:gridCol w:w="5194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文章名称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雷丹丹、杨淅杭、刘静 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汇聚党工资源，盘活基层工会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叶夏滢、吴丽霞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精准优化强服务，多措并举真落实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钟浩文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发挥职工联络员力量，劳资纠纷早知道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唤回迷路的感情——理性情绪治疗模式介入情感纠纷个案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关春燕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工会交流日——学习不停步，奋斗不止息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连海燕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构建和谐劳动关系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刘虹利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多方联动共调解，化解纠纷促和谐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刘兴旺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个案管理在解决农民工“忧薪事”调解个案中的应用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廖晖、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阮洁如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心理赋能计划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持续关爱员工心理健康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王伟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构建和谐劳资关系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实现员工稳定收入与企业发展双赢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翁利</w:t>
            </w:r>
          </w:p>
        </w:tc>
        <w:tc>
          <w:tcPr>
            <w:tcW w:w="5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合格家人共筑温馨家园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0257A"/>
    <w:rsid w:val="1EC0257A"/>
    <w:rsid w:val="6D535020"/>
    <w:rsid w:val="7BF7676D"/>
    <w:rsid w:val="DFEE02EA"/>
    <w:rsid w:val="F77F2702"/>
    <w:rsid w:val="FA79C1BB"/>
    <w:rsid w:val="FF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2018-09-12T09:33:00Z</dcterms:created>
  <dc:creator>区总-小郑</dc:creator>
  <cp:lastModifiedBy>yz</cp:lastModifiedBy>
  <cp:lastPrinted>2022-06-15T10:20:07Z</cp:lastPrinted>
  <dcterms:modified xsi:type="dcterms:W3CDTF">2022-06-15T10:20:11Z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