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附件</w:t>
      </w:r>
      <w:r>
        <w:rPr>
          <w:rFonts w:hint="eastAsia" w:ascii="仿宋_GB2312" w:hAnsi="仿宋_GB2312" w:eastAsia="仿宋_GB2312" w:cs="仿宋_GB2312"/>
          <w:sz w:val="32"/>
          <w:szCs w:val="32"/>
          <w:u w:val="none"/>
        </w:rPr>
        <w:t>6</w:t>
      </w:r>
    </w:p>
    <w:p>
      <w:pPr>
        <w:spacing w:line="560" w:lineRule="exact"/>
        <w:jc w:val="center"/>
        <w:rPr>
          <w:rFonts w:ascii="方正小标宋简体" w:hAnsi="方正小标宋简体" w:eastAsia="方正小标宋简体" w:cs="方正小标宋简体"/>
          <w:sz w:val="32"/>
          <w:szCs w:val="32"/>
          <w:u w:val="none"/>
        </w:rPr>
      </w:pPr>
      <w:bookmarkStart w:id="0" w:name="_GoBack"/>
      <w:r>
        <w:rPr>
          <w:rFonts w:hint="eastAsia" w:ascii="方正小标宋简体" w:hAnsi="方正小标宋简体" w:eastAsia="方正小标宋简体" w:cs="方正小标宋简体"/>
          <w:sz w:val="32"/>
          <w:szCs w:val="32"/>
          <w:u w:val="none"/>
        </w:rPr>
        <w:t>坪山区建设工程承包商（造价咨询）履约评分标准表</w:t>
      </w:r>
    </w:p>
    <w:bookmarkEnd w:id="0"/>
    <w:tbl>
      <w:tblPr>
        <w:tblStyle w:val="4"/>
        <w:tblW w:w="8505" w:type="dxa"/>
        <w:tblInd w:w="-5" w:type="dxa"/>
        <w:tblLayout w:type="fixed"/>
        <w:tblCellMar>
          <w:top w:w="0" w:type="dxa"/>
          <w:left w:w="108" w:type="dxa"/>
          <w:bottom w:w="0" w:type="dxa"/>
          <w:right w:w="108" w:type="dxa"/>
        </w:tblCellMar>
      </w:tblPr>
      <w:tblGrid>
        <w:gridCol w:w="567"/>
        <w:gridCol w:w="1119"/>
        <w:gridCol w:w="582"/>
        <w:gridCol w:w="851"/>
        <w:gridCol w:w="1409"/>
        <w:gridCol w:w="1075"/>
        <w:gridCol w:w="2194"/>
        <w:gridCol w:w="708"/>
      </w:tblGrid>
      <w:tr>
        <w:tblPrEx>
          <w:tblLayout w:type="fixed"/>
          <w:tblCellMar>
            <w:top w:w="0" w:type="dxa"/>
            <w:left w:w="108" w:type="dxa"/>
            <w:bottom w:w="0" w:type="dxa"/>
            <w:right w:w="108" w:type="dxa"/>
          </w:tblCellMar>
        </w:tblPrEx>
        <w:trPr>
          <w:trHeight w:val="525"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b/>
                <w:bCs/>
                <w:kern w:val="0"/>
                <w:sz w:val="44"/>
                <w:szCs w:val="44"/>
                <w:u w:val="none"/>
              </w:rPr>
            </w:pPr>
            <w:r>
              <w:rPr>
                <w:rFonts w:hint="eastAsia" w:ascii="宋体" w:hAnsi="宋体" w:eastAsia="宋体" w:cs="宋体"/>
                <w:kern w:val="0"/>
                <w:szCs w:val="21"/>
                <w:u w:val="none"/>
              </w:rPr>
              <w:t>评价形式</w:t>
            </w:r>
          </w:p>
        </w:tc>
        <w:tc>
          <w:tcPr>
            <w:tcW w:w="6819"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10" w:firstLineChars="100"/>
              <w:jc w:val="center"/>
              <w:rPr>
                <w:rFonts w:ascii="宋体" w:hAnsi="宋体" w:eastAsia="宋体" w:cs="宋体"/>
                <w:b/>
                <w:bCs/>
                <w:kern w:val="0"/>
                <w:sz w:val="44"/>
                <w:szCs w:val="44"/>
                <w:u w:val="none"/>
              </w:rPr>
            </w:pPr>
            <w:r>
              <w:rPr>
                <w:rFonts w:hint="eastAsia" w:ascii="宋体" w:hAnsi="宋体" w:eastAsia="宋体" w:cs="Times New Roman"/>
                <w:szCs w:val="21"/>
                <w:u w:val="none"/>
              </w:rPr>
              <w:t>单项工程最终履约评价</w:t>
            </w:r>
          </w:p>
        </w:tc>
      </w:tr>
      <w:tr>
        <w:tblPrEx>
          <w:tblLayout w:type="fixed"/>
          <w:tblCellMar>
            <w:top w:w="0" w:type="dxa"/>
            <w:left w:w="108" w:type="dxa"/>
            <w:bottom w:w="0" w:type="dxa"/>
            <w:right w:w="108" w:type="dxa"/>
          </w:tblCellMar>
        </w:tblPrEx>
        <w:trPr>
          <w:trHeight w:val="450"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工程名称</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07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承包商</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r>
      <w:tr>
        <w:tblPrEx>
          <w:tblLayout w:type="fixed"/>
          <w:tblCellMar>
            <w:top w:w="0" w:type="dxa"/>
            <w:left w:w="108" w:type="dxa"/>
            <w:bottom w:w="0" w:type="dxa"/>
            <w:right w:w="108" w:type="dxa"/>
          </w:tblCellMar>
        </w:tblPrEx>
        <w:trPr>
          <w:trHeight w:val="450"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总得分</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07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评价等级</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□优秀</w:t>
            </w:r>
            <w:r>
              <w:rPr>
                <w:rFonts w:ascii="宋体" w:hAnsi="宋体" w:eastAsia="宋体" w:cs="宋体"/>
                <w:kern w:val="0"/>
                <w:szCs w:val="21"/>
                <w:u w:val="none"/>
              </w:rPr>
              <w:t xml:space="preserve">  </w:t>
            </w:r>
            <w:r>
              <w:rPr>
                <w:rFonts w:hint="eastAsia" w:ascii="宋体" w:hAnsi="宋体" w:eastAsia="宋体" w:cs="宋体"/>
                <w:kern w:val="0"/>
                <w:szCs w:val="21"/>
                <w:u w:val="none"/>
              </w:rPr>
              <w:t>□良好</w:t>
            </w:r>
          </w:p>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 xml:space="preserve">  □</w:t>
            </w:r>
            <w:r>
              <w:rPr>
                <w:rFonts w:hint="eastAsia" w:ascii="宋体" w:hAnsi="宋体" w:eastAsia="宋体" w:cs="宋体"/>
                <w:kern w:val="0"/>
                <w:szCs w:val="21"/>
                <w:u w:val="none"/>
              </w:rPr>
              <w:t>一般</w:t>
            </w:r>
            <w:r>
              <w:rPr>
                <w:rFonts w:ascii="宋体" w:hAnsi="宋体" w:eastAsia="宋体" w:cs="宋体"/>
                <w:kern w:val="0"/>
                <w:szCs w:val="21"/>
                <w:u w:val="none"/>
              </w:rPr>
              <w:t xml:space="preserve">  </w:t>
            </w:r>
            <w:r>
              <w:rPr>
                <w:rFonts w:hint="eastAsia" w:ascii="宋体" w:hAnsi="宋体" w:eastAsia="宋体" w:cs="宋体"/>
                <w:kern w:val="0"/>
                <w:szCs w:val="21"/>
                <w:u w:val="none"/>
              </w:rPr>
              <w:t>□不合格</w:t>
            </w:r>
          </w:p>
        </w:tc>
      </w:tr>
      <w:tr>
        <w:tblPrEx>
          <w:tblLayout w:type="fixed"/>
          <w:tblCellMar>
            <w:top w:w="0" w:type="dxa"/>
            <w:left w:w="108" w:type="dxa"/>
            <w:bottom w:w="0" w:type="dxa"/>
            <w:right w:w="108" w:type="dxa"/>
          </w:tblCellMar>
        </w:tblPrEx>
        <w:trPr>
          <w:trHeight w:val="450"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建设单位</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07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评价时间</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年</w:t>
            </w:r>
            <w:r>
              <w:rPr>
                <w:rFonts w:ascii="宋体" w:hAnsi="宋体" w:eastAsia="宋体" w:cs="Times New Roman"/>
                <w:szCs w:val="21"/>
                <w:u w:val="none"/>
              </w:rPr>
              <w:t xml:space="preserve">   </w:t>
            </w:r>
            <w:r>
              <w:rPr>
                <w:rFonts w:hint="eastAsia" w:ascii="宋体" w:hAnsi="宋体" w:eastAsia="宋体" w:cs="Times New Roman"/>
                <w:szCs w:val="21"/>
                <w:u w:val="none"/>
              </w:rPr>
              <w:t>月</w:t>
            </w:r>
            <w:r>
              <w:rPr>
                <w:rFonts w:ascii="宋体" w:hAnsi="宋体" w:eastAsia="宋体" w:cs="Times New Roman"/>
                <w:szCs w:val="21"/>
                <w:u w:val="none"/>
              </w:rPr>
              <w:t xml:space="preserve">   </w:t>
            </w:r>
            <w:r>
              <w:rPr>
                <w:rFonts w:hint="eastAsia" w:ascii="宋体" w:hAnsi="宋体" w:eastAsia="宋体" w:cs="Times New Roman"/>
                <w:szCs w:val="21"/>
                <w:u w:val="none"/>
              </w:rPr>
              <w:t>日</w:t>
            </w:r>
          </w:p>
        </w:tc>
      </w:tr>
      <w:tr>
        <w:tblPrEx>
          <w:tblLayout w:type="fixed"/>
          <w:tblCellMar>
            <w:top w:w="0" w:type="dxa"/>
            <w:left w:w="108" w:type="dxa"/>
            <w:bottom w:w="0" w:type="dxa"/>
            <w:right w:w="108" w:type="dxa"/>
          </w:tblCellMar>
        </w:tblPrEx>
        <w:trPr>
          <w:trHeight w:val="570" w:hRule="atLeast"/>
        </w:trPr>
        <w:tc>
          <w:tcPr>
            <w:tcW w:w="567"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序号</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 w:val="18"/>
                <w:szCs w:val="18"/>
                <w:u w:val="none"/>
              </w:rPr>
            </w:pPr>
            <w:r>
              <w:rPr>
                <w:rFonts w:hint="eastAsia" w:ascii="宋体" w:hAnsi="宋体" w:eastAsia="宋体" w:cs="宋体"/>
                <w:kern w:val="0"/>
                <w:sz w:val="18"/>
                <w:szCs w:val="18"/>
                <w:u w:val="none"/>
              </w:rPr>
              <w:t>分</w:t>
            </w:r>
            <w:r>
              <w:rPr>
                <w:rFonts w:ascii="宋体" w:hAnsi="宋体" w:eastAsia="宋体" w:cs="宋体"/>
                <w:kern w:val="0"/>
                <w:sz w:val="18"/>
                <w:szCs w:val="18"/>
                <w:u w:val="none"/>
              </w:rPr>
              <w:t xml:space="preserve">  </w:t>
            </w:r>
            <w:r>
              <w:rPr>
                <w:rFonts w:hint="eastAsia" w:ascii="宋体" w:hAnsi="宋体" w:eastAsia="宋体" w:cs="宋体"/>
                <w:kern w:val="0"/>
                <w:sz w:val="18"/>
                <w:szCs w:val="18"/>
                <w:u w:val="none"/>
              </w:rPr>
              <w:t>项</w:t>
            </w:r>
            <w:r>
              <w:rPr>
                <w:rFonts w:ascii="宋体" w:hAnsi="宋体" w:eastAsia="宋体" w:cs="宋体"/>
                <w:kern w:val="0"/>
                <w:sz w:val="18"/>
                <w:szCs w:val="18"/>
                <w:u w:val="none"/>
              </w:rPr>
              <w:t xml:space="preserve">  </w:t>
            </w:r>
            <w:r>
              <w:rPr>
                <w:rFonts w:hint="eastAsia" w:ascii="宋体" w:hAnsi="宋体" w:eastAsia="宋体" w:cs="宋体"/>
                <w:kern w:val="0"/>
                <w:sz w:val="18"/>
                <w:szCs w:val="18"/>
                <w:u w:val="none"/>
              </w:rPr>
              <w:t>内</w:t>
            </w:r>
            <w:r>
              <w:rPr>
                <w:rFonts w:ascii="宋体" w:hAnsi="宋体" w:eastAsia="宋体" w:cs="宋体"/>
                <w:kern w:val="0"/>
                <w:sz w:val="18"/>
                <w:szCs w:val="18"/>
                <w:u w:val="none"/>
              </w:rPr>
              <w:t xml:space="preserve">  </w:t>
            </w:r>
            <w:r>
              <w:rPr>
                <w:rFonts w:hint="eastAsia" w:ascii="宋体" w:hAnsi="宋体" w:eastAsia="宋体" w:cs="宋体"/>
                <w:kern w:val="0"/>
                <w:sz w:val="18"/>
                <w:szCs w:val="18"/>
                <w:u w:val="none"/>
              </w:rPr>
              <w:t>容</w:t>
            </w:r>
          </w:p>
        </w:tc>
        <w:tc>
          <w:tcPr>
            <w:tcW w:w="85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满分分值</w:t>
            </w:r>
          </w:p>
        </w:tc>
        <w:tc>
          <w:tcPr>
            <w:tcW w:w="4678" w:type="dxa"/>
            <w:gridSpan w:val="3"/>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评</w:t>
            </w:r>
            <w:r>
              <w:rPr>
                <w:rFonts w:ascii="宋体" w:hAnsi="宋体" w:eastAsia="宋体" w:cs="宋体"/>
                <w:kern w:val="0"/>
                <w:sz w:val="18"/>
                <w:szCs w:val="18"/>
                <w:u w:val="none"/>
              </w:rPr>
              <w:t xml:space="preserve">   </w:t>
            </w:r>
            <w:r>
              <w:rPr>
                <w:rFonts w:hint="eastAsia" w:ascii="宋体" w:hAnsi="宋体" w:eastAsia="宋体" w:cs="宋体"/>
                <w:kern w:val="0"/>
                <w:sz w:val="18"/>
                <w:szCs w:val="18"/>
                <w:u w:val="none"/>
              </w:rPr>
              <w:t>价</w:t>
            </w:r>
            <w:r>
              <w:rPr>
                <w:rFonts w:ascii="宋体" w:hAnsi="宋体" w:eastAsia="宋体" w:cs="宋体"/>
                <w:kern w:val="0"/>
                <w:sz w:val="18"/>
                <w:szCs w:val="18"/>
                <w:u w:val="none"/>
              </w:rPr>
              <w:t xml:space="preserve">   </w:t>
            </w:r>
            <w:r>
              <w:rPr>
                <w:rFonts w:hint="eastAsia" w:ascii="宋体" w:hAnsi="宋体" w:eastAsia="宋体" w:cs="宋体"/>
                <w:kern w:val="0"/>
                <w:sz w:val="18"/>
                <w:szCs w:val="18"/>
                <w:u w:val="none"/>
              </w:rPr>
              <w:t>标</w:t>
            </w:r>
            <w:r>
              <w:rPr>
                <w:rFonts w:ascii="宋体" w:hAnsi="宋体" w:eastAsia="宋体" w:cs="宋体"/>
                <w:kern w:val="0"/>
                <w:sz w:val="18"/>
                <w:szCs w:val="18"/>
                <w:u w:val="none"/>
              </w:rPr>
              <w:t xml:space="preserve">   </w:t>
            </w:r>
            <w:r>
              <w:rPr>
                <w:rFonts w:hint="eastAsia" w:ascii="宋体" w:hAnsi="宋体" w:eastAsia="宋体" w:cs="宋体"/>
                <w:kern w:val="0"/>
                <w:sz w:val="18"/>
                <w:szCs w:val="18"/>
                <w:u w:val="none"/>
              </w:rPr>
              <w:t>准</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得分</w:t>
            </w:r>
          </w:p>
        </w:tc>
      </w:tr>
      <w:tr>
        <w:tblPrEx>
          <w:tblLayout w:type="fixed"/>
          <w:tblCellMar>
            <w:top w:w="0" w:type="dxa"/>
            <w:left w:w="108" w:type="dxa"/>
            <w:bottom w:w="0" w:type="dxa"/>
            <w:right w:w="108" w:type="dxa"/>
          </w:tblCellMar>
        </w:tblPrEx>
        <w:trPr>
          <w:trHeight w:val="409" w:hRule="atLeast"/>
        </w:trPr>
        <w:tc>
          <w:tcPr>
            <w:tcW w:w="567" w:type="dxa"/>
            <w:tcBorders>
              <w:top w:val="nil"/>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黑体" w:hAnsi="黑体" w:eastAsia="黑体" w:cs="Times New Roman"/>
                <w:kern w:val="0"/>
                <w:sz w:val="24"/>
                <w:szCs w:val="24"/>
                <w:u w:val="none"/>
              </w:rPr>
            </w:pPr>
            <w:r>
              <w:rPr>
                <w:rFonts w:hint="eastAsia" w:ascii="黑体" w:hAnsi="黑体" w:eastAsia="黑体" w:cs="黑体"/>
                <w:kern w:val="0"/>
                <w:sz w:val="24"/>
                <w:szCs w:val="24"/>
                <w:u w:val="none"/>
              </w:rPr>
              <w:t>一</w:t>
            </w:r>
          </w:p>
        </w:tc>
        <w:tc>
          <w:tcPr>
            <w:tcW w:w="1701" w:type="dxa"/>
            <w:gridSpan w:val="2"/>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黑体" w:hAnsi="黑体" w:eastAsia="黑体" w:cs="Times New Roman"/>
                <w:kern w:val="0"/>
                <w:sz w:val="24"/>
                <w:szCs w:val="24"/>
                <w:u w:val="none"/>
              </w:rPr>
            </w:pPr>
            <w:r>
              <w:rPr>
                <w:rFonts w:hint="eastAsia" w:ascii="黑体" w:hAnsi="黑体" w:eastAsia="黑体" w:cs="黑体"/>
                <w:kern w:val="0"/>
                <w:sz w:val="24"/>
                <w:szCs w:val="24"/>
                <w:u w:val="none"/>
              </w:rPr>
              <w:t>人员配备</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Times New Roman"/>
                <w:kern w:val="0"/>
                <w:sz w:val="18"/>
                <w:szCs w:val="18"/>
                <w:u w:val="none"/>
              </w:rPr>
            </w:pPr>
            <w:r>
              <w:rPr>
                <w:rFonts w:ascii="新宋体" w:hAnsi="新宋体" w:eastAsia="新宋体" w:cs="仿宋_GB2312"/>
                <w:kern w:val="0"/>
                <w:sz w:val="18"/>
                <w:szCs w:val="18"/>
                <w:u w:val="none"/>
              </w:rPr>
              <w:t>14</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　</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479" w:hRule="atLeast"/>
        </w:trPr>
        <w:tc>
          <w:tcPr>
            <w:tcW w:w="567" w:type="dxa"/>
            <w:tcBorders>
              <w:top w:val="nil"/>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w:t>
            </w:r>
          </w:p>
        </w:tc>
        <w:tc>
          <w:tcPr>
            <w:tcW w:w="1701" w:type="dxa"/>
            <w:gridSpan w:val="2"/>
            <w:tcBorders>
              <w:top w:val="nil"/>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人员数量要求</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3</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3 </w:t>
            </w:r>
            <w:r>
              <w:rPr>
                <w:rFonts w:hint="eastAsia" w:ascii="新宋体" w:hAnsi="新宋体" w:eastAsia="新宋体" w:cs="仿宋_GB2312"/>
                <w:kern w:val="0"/>
                <w:sz w:val="18"/>
                <w:szCs w:val="18"/>
                <w:u w:val="none"/>
              </w:rPr>
              <w:t>分：配备的编制人员的数量满足合同及招标文件的要求；</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分：配备的编制人员的数量不满足合同及招标文件的要求。</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1230" w:hRule="atLeast"/>
        </w:trPr>
        <w:tc>
          <w:tcPr>
            <w:tcW w:w="567" w:type="dxa"/>
            <w:tcBorders>
              <w:top w:val="nil"/>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2</w:t>
            </w:r>
          </w:p>
        </w:tc>
        <w:tc>
          <w:tcPr>
            <w:tcW w:w="1701" w:type="dxa"/>
            <w:gridSpan w:val="2"/>
            <w:tcBorders>
              <w:top w:val="nil"/>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专业配置要求</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5</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4.5-5 </w:t>
            </w:r>
            <w:r>
              <w:rPr>
                <w:rFonts w:hint="eastAsia" w:ascii="新宋体" w:hAnsi="新宋体" w:eastAsia="新宋体" w:cs="仿宋_GB2312"/>
                <w:kern w:val="0"/>
                <w:sz w:val="18"/>
                <w:szCs w:val="18"/>
                <w:u w:val="none"/>
              </w:rPr>
              <w:t>分：配备的编制人员的专业满足合同及招标文件的要求且各专业人员非常稳定；</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3.5-4 </w:t>
            </w:r>
            <w:r>
              <w:rPr>
                <w:rFonts w:hint="eastAsia" w:ascii="新宋体" w:hAnsi="新宋体" w:eastAsia="新宋体" w:cs="仿宋_GB2312"/>
                <w:kern w:val="0"/>
                <w:sz w:val="18"/>
                <w:szCs w:val="18"/>
                <w:u w:val="none"/>
              </w:rPr>
              <w:t>分：配备的编制人员的专业满足合同及招标文件的要求且各专业人员比较稳定；</w:t>
            </w:r>
          </w:p>
          <w:p>
            <w:pPr>
              <w:widowControl/>
              <w:adjustRightInd w:val="0"/>
              <w:snapToGrid w:val="0"/>
              <w:spacing w:line="560" w:lineRule="exact"/>
              <w:jc w:val="left"/>
              <w:rPr>
                <w:rFonts w:ascii="新宋体" w:hAnsi="新宋体" w:eastAsia="新宋体" w:cs="仿宋_GB2312"/>
                <w:kern w:val="0"/>
                <w:sz w:val="18"/>
                <w:szCs w:val="18"/>
                <w:u w:val="none"/>
              </w:rPr>
            </w:pP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2.5-3 </w:t>
            </w:r>
            <w:r>
              <w:rPr>
                <w:rFonts w:hint="eastAsia" w:ascii="新宋体" w:hAnsi="新宋体" w:eastAsia="新宋体" w:cs="仿宋_GB2312"/>
                <w:kern w:val="0"/>
                <w:sz w:val="18"/>
                <w:szCs w:val="18"/>
                <w:u w:val="none"/>
              </w:rPr>
              <w:t>分：配备的编制人员的专业满足合同及招标文件的要求且各专业人员基本稳定；</w:t>
            </w:r>
            <w:r>
              <w:rPr>
                <w:rFonts w:ascii="新宋体" w:hAnsi="新宋体" w:eastAsia="新宋体" w:cs="仿宋_GB2312"/>
                <w:kern w:val="0"/>
                <w:sz w:val="18"/>
                <w:szCs w:val="18"/>
                <w:u w:val="none"/>
              </w:rPr>
              <w:t xml:space="preserve"> </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分：配备的编制人员的专业不满足合同及招标文件的要求或各专业人员不够稳定。</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2025"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项目负责人要求</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6</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5.5-6 </w:t>
            </w:r>
            <w:r>
              <w:rPr>
                <w:rFonts w:hint="eastAsia" w:ascii="新宋体" w:hAnsi="新宋体" w:eastAsia="新宋体" w:cs="仿宋_GB2312"/>
                <w:kern w:val="0"/>
                <w:sz w:val="18"/>
                <w:szCs w:val="18"/>
                <w:u w:val="none"/>
              </w:rPr>
              <w:t>分：配备固定的项目负责人且该负责人具有高度责任心、良好的组织协调能力和专业的业务水平；</w:t>
            </w:r>
            <w:r>
              <w:rPr>
                <w:rFonts w:ascii="新宋体" w:hAnsi="新宋体" w:eastAsia="新宋体" w:cs="Times New Roman"/>
                <w:kern w:val="0"/>
                <w:sz w:val="18"/>
                <w:szCs w:val="18"/>
                <w:u w:val="none"/>
              </w:rPr>
              <w:br w:type="textWrapping"/>
            </w: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4-5  </w:t>
            </w:r>
            <w:r>
              <w:rPr>
                <w:rFonts w:hint="eastAsia" w:ascii="新宋体" w:hAnsi="新宋体" w:eastAsia="新宋体" w:cs="仿宋_GB2312"/>
                <w:kern w:val="0"/>
                <w:sz w:val="18"/>
                <w:szCs w:val="18"/>
                <w:u w:val="none"/>
              </w:rPr>
              <w:t>分：配备固定的项目负责人且该负责人具有高度责任心、比较良好的组织协调能力和比较专业的业务水平；</w:t>
            </w:r>
            <w:r>
              <w:rPr>
                <w:rFonts w:ascii="新宋体" w:hAnsi="新宋体" w:eastAsia="新宋体" w:cs="Times New Roman"/>
                <w:kern w:val="0"/>
                <w:sz w:val="18"/>
                <w:szCs w:val="18"/>
                <w:u w:val="none"/>
              </w:rPr>
              <w:br w:type="textWrapping"/>
            </w: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3-3.5 </w:t>
            </w:r>
            <w:r>
              <w:rPr>
                <w:rFonts w:hint="eastAsia" w:ascii="新宋体" w:hAnsi="新宋体" w:eastAsia="新宋体" w:cs="仿宋_GB2312"/>
                <w:kern w:val="0"/>
                <w:sz w:val="18"/>
                <w:szCs w:val="18"/>
                <w:u w:val="none"/>
              </w:rPr>
              <w:t>分：配备固定的项目负责人且该负责人具有高度责任心、基本良好的组织协调能力和基本专业的业务水平；</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分：配备的项目负责人不固定或该负责人不具有高度责任心、良好的组织协调能力和专业的业务水平。</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616" w:hRule="atLeast"/>
        </w:trPr>
        <w:tc>
          <w:tcPr>
            <w:tcW w:w="567"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黑体" w:hAnsi="黑体" w:eastAsia="黑体" w:cs="Times New Roman"/>
                <w:kern w:val="0"/>
                <w:sz w:val="24"/>
                <w:szCs w:val="24"/>
                <w:u w:val="none"/>
              </w:rPr>
            </w:pPr>
            <w:r>
              <w:rPr>
                <w:rFonts w:hint="eastAsia" w:ascii="黑体" w:hAnsi="黑体" w:eastAsia="黑体" w:cs="黑体"/>
                <w:kern w:val="0"/>
                <w:sz w:val="24"/>
                <w:szCs w:val="24"/>
                <w:u w:val="none"/>
              </w:rPr>
              <w:t>二</w:t>
            </w:r>
          </w:p>
        </w:tc>
        <w:tc>
          <w:tcPr>
            <w:tcW w:w="17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黑体" w:hAnsi="黑体" w:eastAsia="黑体" w:cs="Times New Roman"/>
                <w:kern w:val="0"/>
                <w:sz w:val="24"/>
                <w:szCs w:val="24"/>
                <w:u w:val="none"/>
              </w:rPr>
            </w:pPr>
            <w:r>
              <w:rPr>
                <w:rFonts w:hint="eastAsia" w:ascii="黑体" w:hAnsi="黑体" w:eastAsia="黑体" w:cs="黑体"/>
                <w:kern w:val="0"/>
                <w:sz w:val="24"/>
                <w:szCs w:val="24"/>
                <w:u w:val="none"/>
              </w:rPr>
              <w:t>成果质量</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Times New Roman"/>
                <w:kern w:val="0"/>
                <w:sz w:val="18"/>
                <w:szCs w:val="18"/>
                <w:u w:val="none"/>
              </w:rPr>
            </w:pPr>
            <w:r>
              <w:rPr>
                <w:rFonts w:ascii="新宋体" w:hAnsi="新宋体" w:eastAsia="新宋体" w:cs="Times New Roman"/>
                <w:kern w:val="0"/>
                <w:sz w:val="18"/>
                <w:szCs w:val="18"/>
                <w:u w:val="none"/>
              </w:rPr>
              <w:t>61</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　</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515" w:hRule="atLeast"/>
        </w:trPr>
        <w:tc>
          <w:tcPr>
            <w:tcW w:w="567" w:type="dxa"/>
            <w:tcBorders>
              <w:top w:val="nil"/>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4</w:t>
            </w:r>
          </w:p>
        </w:tc>
        <w:tc>
          <w:tcPr>
            <w:tcW w:w="1701" w:type="dxa"/>
            <w:gridSpan w:val="2"/>
            <w:tcBorders>
              <w:top w:val="nil"/>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概算审核质量</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6</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5.5-6 </w:t>
            </w:r>
            <w:r>
              <w:rPr>
                <w:rFonts w:hint="eastAsia" w:ascii="新宋体" w:hAnsi="新宋体" w:eastAsia="新宋体" w:cs="仿宋_GB2312"/>
                <w:kern w:val="0"/>
                <w:sz w:val="18"/>
                <w:szCs w:val="18"/>
                <w:u w:val="none"/>
              </w:rPr>
              <w:t>分：概算审核全面、系统、准确、认真；</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4-5  </w:t>
            </w:r>
            <w:r>
              <w:rPr>
                <w:rFonts w:hint="eastAsia" w:ascii="新宋体" w:hAnsi="新宋体" w:eastAsia="新宋体" w:cs="仿宋_GB2312"/>
                <w:kern w:val="0"/>
                <w:sz w:val="18"/>
                <w:szCs w:val="18"/>
                <w:u w:val="none"/>
              </w:rPr>
              <w:t>分：概算审核比较全面、系统、准确、认真；</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3-3.5 </w:t>
            </w:r>
            <w:r>
              <w:rPr>
                <w:rFonts w:hint="eastAsia" w:ascii="新宋体" w:hAnsi="新宋体" w:eastAsia="新宋体" w:cs="仿宋_GB2312"/>
                <w:kern w:val="0"/>
                <w:sz w:val="18"/>
                <w:szCs w:val="18"/>
                <w:u w:val="none"/>
              </w:rPr>
              <w:t>分：概算审核基本全面、系统、准确、认真；</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分：概算审核明显不全面、不系统、不准确、不认真。</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1117"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工程量清单编制质量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Times New Roman"/>
                <w:kern w:val="0"/>
                <w:sz w:val="18"/>
                <w:szCs w:val="18"/>
                <w:u w:val="none"/>
              </w:rPr>
            </w:pPr>
            <w:r>
              <w:rPr>
                <w:rFonts w:ascii="新宋体" w:hAnsi="新宋体" w:eastAsia="新宋体" w:cs="仿宋_GB2312"/>
                <w:kern w:val="0"/>
                <w:sz w:val="18"/>
                <w:szCs w:val="18"/>
                <w:u w:val="none"/>
              </w:rPr>
              <w:t>10</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9-10 </w:t>
            </w:r>
            <w:r>
              <w:rPr>
                <w:rFonts w:hint="eastAsia" w:ascii="新宋体" w:hAnsi="新宋体" w:eastAsia="新宋体" w:cs="仿宋_GB2312"/>
                <w:kern w:val="0"/>
                <w:sz w:val="18"/>
                <w:szCs w:val="18"/>
                <w:u w:val="none"/>
              </w:rPr>
              <w:t>分：清单项目编制齐全，分类清楚，无漏项，工程量准确率在</w:t>
            </w:r>
            <w:r>
              <w:rPr>
                <w:rFonts w:ascii="新宋体" w:hAnsi="新宋体" w:eastAsia="新宋体" w:cs="仿宋_GB2312"/>
                <w:kern w:val="0"/>
                <w:sz w:val="18"/>
                <w:szCs w:val="18"/>
                <w:u w:val="none"/>
              </w:rPr>
              <w:t>97%</w:t>
            </w:r>
            <w:r>
              <w:rPr>
                <w:rFonts w:hint="eastAsia" w:ascii="新宋体" w:hAnsi="新宋体" w:eastAsia="新宋体" w:cs="仿宋_GB2312"/>
                <w:kern w:val="0"/>
                <w:sz w:val="18"/>
                <w:szCs w:val="18"/>
                <w:u w:val="none"/>
              </w:rPr>
              <w:t>以上（不含</w:t>
            </w:r>
            <w:r>
              <w:rPr>
                <w:rFonts w:ascii="新宋体" w:hAnsi="新宋体" w:eastAsia="新宋体" w:cs="仿宋_GB2312"/>
                <w:kern w:val="0"/>
                <w:sz w:val="18"/>
                <w:szCs w:val="18"/>
                <w:u w:val="none"/>
              </w:rPr>
              <w:t>97%</w:t>
            </w:r>
            <w:r>
              <w:rPr>
                <w:rFonts w:hint="eastAsia" w:ascii="新宋体" w:hAnsi="新宋体" w:eastAsia="新宋体" w:cs="仿宋_GB2312"/>
                <w:kern w:val="0"/>
                <w:sz w:val="18"/>
                <w:szCs w:val="18"/>
                <w:u w:val="none"/>
              </w:rPr>
              <w:t>）；</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7-8 </w:t>
            </w:r>
            <w:r>
              <w:rPr>
                <w:rFonts w:hint="eastAsia" w:ascii="新宋体" w:hAnsi="新宋体" w:eastAsia="新宋体" w:cs="仿宋_GB2312"/>
                <w:kern w:val="0"/>
                <w:sz w:val="18"/>
                <w:szCs w:val="18"/>
                <w:u w:val="none"/>
              </w:rPr>
              <w:t>分：清单项目编制比较齐全，分类比较清楚，无重大漏项，工程量准确率在</w:t>
            </w:r>
            <w:r>
              <w:rPr>
                <w:rFonts w:ascii="新宋体" w:hAnsi="新宋体" w:eastAsia="新宋体" w:cs="仿宋_GB2312"/>
                <w:kern w:val="0"/>
                <w:sz w:val="18"/>
                <w:szCs w:val="18"/>
                <w:u w:val="none"/>
              </w:rPr>
              <w:t>95%-97%</w:t>
            </w:r>
            <w:r>
              <w:rPr>
                <w:rFonts w:hint="eastAsia" w:ascii="新宋体" w:hAnsi="新宋体" w:eastAsia="新宋体" w:cs="仿宋_GB2312"/>
                <w:kern w:val="0"/>
                <w:sz w:val="18"/>
                <w:szCs w:val="18"/>
                <w:u w:val="none"/>
              </w:rPr>
              <w:t>之间（不含</w:t>
            </w:r>
            <w:r>
              <w:rPr>
                <w:rFonts w:ascii="新宋体" w:hAnsi="新宋体" w:eastAsia="新宋体" w:cs="仿宋_GB2312"/>
                <w:kern w:val="0"/>
                <w:sz w:val="18"/>
                <w:szCs w:val="18"/>
                <w:u w:val="none"/>
              </w:rPr>
              <w:t>95%</w:t>
            </w:r>
            <w:r>
              <w:rPr>
                <w:rFonts w:hint="eastAsia" w:ascii="新宋体" w:hAnsi="新宋体" w:eastAsia="新宋体" w:cs="仿宋_GB2312"/>
                <w:kern w:val="0"/>
                <w:sz w:val="18"/>
                <w:szCs w:val="18"/>
                <w:u w:val="none"/>
              </w:rPr>
              <w:t>）；</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5-6 </w:t>
            </w:r>
            <w:r>
              <w:rPr>
                <w:rFonts w:hint="eastAsia" w:ascii="新宋体" w:hAnsi="新宋体" w:eastAsia="新宋体" w:cs="仿宋_GB2312"/>
                <w:kern w:val="0"/>
                <w:sz w:val="18"/>
                <w:szCs w:val="18"/>
                <w:u w:val="none"/>
              </w:rPr>
              <w:t>分：清单项目编制基本齐全，分类基本清楚，无重大漏项，工程量准确率在</w:t>
            </w:r>
            <w:r>
              <w:rPr>
                <w:rFonts w:ascii="新宋体" w:hAnsi="新宋体" w:eastAsia="新宋体" w:cs="仿宋_GB2312"/>
                <w:kern w:val="0"/>
                <w:sz w:val="18"/>
                <w:szCs w:val="18"/>
                <w:u w:val="none"/>
              </w:rPr>
              <w:t>90%-95%</w:t>
            </w:r>
            <w:r>
              <w:rPr>
                <w:rFonts w:hint="eastAsia" w:ascii="新宋体" w:hAnsi="新宋体" w:eastAsia="新宋体" w:cs="仿宋_GB2312"/>
                <w:kern w:val="0"/>
                <w:sz w:val="18"/>
                <w:szCs w:val="18"/>
                <w:u w:val="none"/>
              </w:rPr>
              <w:t>之间（不含</w:t>
            </w:r>
            <w:r>
              <w:rPr>
                <w:rFonts w:ascii="新宋体" w:hAnsi="新宋体" w:eastAsia="新宋体" w:cs="仿宋_GB2312"/>
                <w:kern w:val="0"/>
                <w:sz w:val="18"/>
                <w:szCs w:val="18"/>
                <w:u w:val="none"/>
              </w:rPr>
              <w:t>90%</w:t>
            </w:r>
            <w:r>
              <w:rPr>
                <w:rFonts w:hint="eastAsia" w:ascii="新宋体" w:hAnsi="新宋体" w:eastAsia="新宋体" w:cs="仿宋_GB2312"/>
                <w:kern w:val="0"/>
                <w:sz w:val="18"/>
                <w:szCs w:val="18"/>
                <w:u w:val="none"/>
              </w:rPr>
              <w:t>）；</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分：清单项目编制不够齐全，分类不够清楚，有重大漏项，工程量准确率在</w:t>
            </w:r>
            <w:r>
              <w:rPr>
                <w:rFonts w:ascii="新宋体" w:hAnsi="新宋体" w:eastAsia="新宋体" w:cs="仿宋_GB2312"/>
                <w:kern w:val="0"/>
                <w:sz w:val="18"/>
                <w:szCs w:val="18"/>
                <w:u w:val="none"/>
              </w:rPr>
              <w:t>90%</w:t>
            </w:r>
            <w:r>
              <w:rPr>
                <w:rFonts w:hint="eastAsia" w:ascii="新宋体" w:hAnsi="新宋体" w:eastAsia="新宋体" w:cs="仿宋_GB2312"/>
                <w:kern w:val="0"/>
                <w:sz w:val="18"/>
                <w:szCs w:val="18"/>
                <w:u w:val="none"/>
              </w:rPr>
              <w:t>以下（含</w:t>
            </w:r>
            <w:r>
              <w:rPr>
                <w:rFonts w:ascii="新宋体" w:hAnsi="新宋体" w:eastAsia="新宋体" w:cs="仿宋_GB2312"/>
                <w:kern w:val="0"/>
                <w:sz w:val="18"/>
                <w:szCs w:val="18"/>
                <w:u w:val="none"/>
              </w:rPr>
              <w:t>90%</w:t>
            </w:r>
            <w:r>
              <w:rPr>
                <w:rFonts w:hint="eastAsia" w:ascii="新宋体" w:hAnsi="新宋体" w:eastAsia="新宋体" w:cs="仿宋_GB2312"/>
                <w:kern w:val="0"/>
                <w:sz w:val="18"/>
                <w:szCs w:val="18"/>
                <w:u w:val="none"/>
              </w:rPr>
              <w:t>）。</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664" w:hRule="atLeast"/>
        </w:trPr>
        <w:tc>
          <w:tcPr>
            <w:tcW w:w="567"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6</w:t>
            </w:r>
          </w:p>
        </w:tc>
        <w:tc>
          <w:tcPr>
            <w:tcW w:w="17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标底（预算）编制质量</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Times New Roman"/>
                <w:kern w:val="0"/>
                <w:sz w:val="18"/>
                <w:szCs w:val="18"/>
                <w:u w:val="none"/>
              </w:rPr>
              <w:t>8</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仿宋_GB2312"/>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7-8 </w:t>
            </w:r>
            <w:r>
              <w:rPr>
                <w:rFonts w:hint="eastAsia" w:ascii="新宋体" w:hAnsi="新宋体" w:eastAsia="新宋体" w:cs="仿宋_GB2312"/>
                <w:kern w:val="0"/>
                <w:sz w:val="18"/>
                <w:szCs w:val="18"/>
                <w:u w:val="none"/>
              </w:rPr>
              <w:t>分：报告书造价与第三方审定价（扣除审定价错误或不合理部分）相差应小于</w:t>
            </w:r>
            <w:r>
              <w:rPr>
                <w:rFonts w:ascii="新宋体" w:hAnsi="新宋体" w:eastAsia="新宋体" w:cs="仿宋_GB2312"/>
                <w:kern w:val="0"/>
                <w:sz w:val="18"/>
                <w:szCs w:val="18"/>
                <w:u w:val="none"/>
              </w:rPr>
              <w:t>3%</w:t>
            </w:r>
            <w:r>
              <w:rPr>
                <w:rFonts w:hint="eastAsia" w:ascii="新宋体" w:hAnsi="新宋体" w:eastAsia="新宋体" w:cs="仿宋_GB2312"/>
                <w:kern w:val="0"/>
                <w:sz w:val="18"/>
                <w:szCs w:val="18"/>
                <w:u w:val="none"/>
              </w:rPr>
              <w:t>（不含</w:t>
            </w:r>
            <w:r>
              <w:rPr>
                <w:rFonts w:ascii="新宋体" w:hAnsi="新宋体" w:eastAsia="新宋体" w:cs="仿宋_GB2312"/>
                <w:kern w:val="0"/>
                <w:sz w:val="18"/>
                <w:szCs w:val="18"/>
                <w:u w:val="none"/>
              </w:rPr>
              <w:t>3%</w:t>
            </w:r>
            <w:r>
              <w:rPr>
                <w:rFonts w:hint="eastAsia" w:ascii="新宋体" w:hAnsi="新宋体" w:eastAsia="新宋体" w:cs="仿宋_GB2312"/>
                <w:kern w:val="0"/>
                <w:sz w:val="18"/>
                <w:szCs w:val="18"/>
                <w:u w:val="none"/>
              </w:rPr>
              <w:t>），且主材价询价工作非常细致认真全面；</w:t>
            </w:r>
            <w:r>
              <w:rPr>
                <w:rFonts w:ascii="新宋体" w:hAnsi="新宋体" w:eastAsia="新宋体" w:cs="仿宋_GB2312"/>
                <w:kern w:val="0"/>
                <w:sz w:val="18"/>
                <w:szCs w:val="18"/>
                <w:u w:val="none"/>
              </w:rPr>
              <w:t xml:space="preserve"> </w:t>
            </w:r>
          </w:p>
          <w:p>
            <w:pPr>
              <w:widowControl/>
              <w:adjustRightInd w:val="0"/>
              <w:snapToGrid w:val="0"/>
              <w:spacing w:line="560" w:lineRule="exact"/>
              <w:jc w:val="left"/>
              <w:rPr>
                <w:rFonts w:ascii="新宋体" w:hAnsi="新宋体" w:eastAsia="新宋体" w:cs="仿宋_GB2312"/>
                <w:kern w:val="0"/>
                <w:sz w:val="18"/>
                <w:szCs w:val="18"/>
                <w:u w:val="none"/>
              </w:rPr>
            </w:pP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5-6 </w:t>
            </w:r>
            <w:r>
              <w:rPr>
                <w:rFonts w:hint="eastAsia" w:ascii="新宋体" w:hAnsi="新宋体" w:eastAsia="新宋体" w:cs="仿宋_GB2312"/>
                <w:kern w:val="0"/>
                <w:sz w:val="18"/>
                <w:szCs w:val="18"/>
                <w:u w:val="none"/>
              </w:rPr>
              <w:t>分：报告书造价与第三方审定价（扣除审定价错误或不合理部分）相差在</w:t>
            </w:r>
            <w:r>
              <w:rPr>
                <w:rFonts w:ascii="新宋体" w:hAnsi="新宋体" w:eastAsia="新宋体" w:cs="仿宋_GB2312"/>
                <w:kern w:val="0"/>
                <w:sz w:val="18"/>
                <w:szCs w:val="18"/>
                <w:u w:val="none"/>
              </w:rPr>
              <w:t>3%-5%</w:t>
            </w:r>
            <w:r>
              <w:rPr>
                <w:rFonts w:hint="eastAsia" w:ascii="新宋体" w:hAnsi="新宋体" w:eastAsia="新宋体" w:cs="仿宋_GB2312"/>
                <w:kern w:val="0"/>
                <w:sz w:val="18"/>
                <w:szCs w:val="18"/>
                <w:u w:val="none"/>
              </w:rPr>
              <w:t>之间（不含</w:t>
            </w:r>
            <w:r>
              <w:rPr>
                <w:rFonts w:ascii="新宋体" w:hAnsi="新宋体" w:eastAsia="新宋体" w:cs="仿宋_GB2312"/>
                <w:kern w:val="0"/>
                <w:sz w:val="18"/>
                <w:szCs w:val="18"/>
                <w:u w:val="none"/>
              </w:rPr>
              <w:t>5%</w:t>
            </w:r>
            <w:r>
              <w:rPr>
                <w:rFonts w:hint="eastAsia" w:ascii="新宋体" w:hAnsi="新宋体" w:eastAsia="新宋体" w:cs="仿宋_GB2312"/>
                <w:kern w:val="0"/>
                <w:sz w:val="18"/>
                <w:szCs w:val="18"/>
                <w:u w:val="none"/>
              </w:rPr>
              <w:t>），主材价询价工作比较细致认真全面；</w:t>
            </w:r>
          </w:p>
          <w:p>
            <w:pPr>
              <w:widowControl/>
              <w:adjustRightInd w:val="0"/>
              <w:snapToGrid w:val="0"/>
              <w:spacing w:line="560" w:lineRule="exact"/>
              <w:jc w:val="left"/>
              <w:rPr>
                <w:rFonts w:ascii="新宋体" w:hAnsi="新宋体" w:eastAsia="新宋体" w:cs="仿宋_GB2312"/>
                <w:kern w:val="0"/>
                <w:sz w:val="18"/>
                <w:szCs w:val="18"/>
                <w:u w:val="none"/>
              </w:rPr>
            </w:pP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4-4.5 </w:t>
            </w:r>
            <w:r>
              <w:rPr>
                <w:rFonts w:hint="eastAsia" w:ascii="新宋体" w:hAnsi="新宋体" w:eastAsia="新宋体" w:cs="仿宋_GB2312"/>
                <w:kern w:val="0"/>
                <w:sz w:val="18"/>
                <w:szCs w:val="18"/>
                <w:u w:val="none"/>
              </w:rPr>
              <w:t>分：报告书造价与第三方审定价（扣除审定价错误或不合理部分）相差在</w:t>
            </w:r>
            <w:r>
              <w:rPr>
                <w:rFonts w:ascii="新宋体" w:hAnsi="新宋体" w:eastAsia="新宋体" w:cs="仿宋_GB2312"/>
                <w:kern w:val="0"/>
                <w:sz w:val="18"/>
                <w:szCs w:val="18"/>
                <w:u w:val="none"/>
              </w:rPr>
              <w:t>5%-10%</w:t>
            </w:r>
            <w:r>
              <w:rPr>
                <w:rFonts w:hint="eastAsia" w:ascii="新宋体" w:hAnsi="新宋体" w:eastAsia="新宋体" w:cs="仿宋_GB2312"/>
                <w:kern w:val="0"/>
                <w:sz w:val="18"/>
                <w:szCs w:val="18"/>
                <w:u w:val="none"/>
              </w:rPr>
              <w:t>之间（不含</w:t>
            </w:r>
            <w:r>
              <w:rPr>
                <w:rFonts w:ascii="新宋体" w:hAnsi="新宋体" w:eastAsia="新宋体" w:cs="仿宋_GB2312"/>
                <w:kern w:val="0"/>
                <w:sz w:val="18"/>
                <w:szCs w:val="18"/>
                <w:u w:val="none"/>
              </w:rPr>
              <w:t>10%</w:t>
            </w:r>
            <w:r>
              <w:rPr>
                <w:rFonts w:hint="eastAsia" w:ascii="新宋体" w:hAnsi="新宋体" w:eastAsia="新宋体" w:cs="仿宋_GB2312"/>
                <w:kern w:val="0"/>
                <w:sz w:val="18"/>
                <w:szCs w:val="18"/>
                <w:u w:val="none"/>
              </w:rPr>
              <w:t>），主材价询价工作基本细致认真全面；</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分：报告书造价与第三方审定价（扣除审定价错误或不合理部分）相差在</w:t>
            </w:r>
            <w:r>
              <w:rPr>
                <w:rFonts w:ascii="新宋体" w:hAnsi="新宋体" w:eastAsia="新宋体" w:cs="仿宋_GB2312"/>
                <w:kern w:val="0"/>
                <w:sz w:val="18"/>
                <w:szCs w:val="18"/>
                <w:u w:val="none"/>
              </w:rPr>
              <w:t>10%</w:t>
            </w:r>
            <w:r>
              <w:rPr>
                <w:rFonts w:hint="eastAsia" w:ascii="新宋体" w:hAnsi="新宋体" w:eastAsia="新宋体" w:cs="仿宋_GB2312"/>
                <w:kern w:val="0"/>
                <w:sz w:val="18"/>
                <w:szCs w:val="18"/>
                <w:u w:val="none"/>
              </w:rPr>
              <w:t>以上（含</w:t>
            </w:r>
            <w:r>
              <w:rPr>
                <w:rFonts w:ascii="新宋体" w:hAnsi="新宋体" w:eastAsia="新宋体" w:cs="仿宋_GB2312"/>
                <w:kern w:val="0"/>
                <w:sz w:val="18"/>
                <w:szCs w:val="18"/>
                <w:u w:val="none"/>
              </w:rPr>
              <w:t>10%</w:t>
            </w:r>
            <w:r>
              <w:rPr>
                <w:rFonts w:hint="eastAsia" w:ascii="新宋体" w:hAnsi="新宋体" w:eastAsia="新宋体" w:cs="仿宋_GB2312"/>
                <w:kern w:val="0"/>
                <w:sz w:val="18"/>
                <w:szCs w:val="18"/>
                <w:u w:val="none"/>
              </w:rPr>
              <w:t>），主材价询价工作不够细致认真全面。</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2985"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招标文件编制质量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6</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5.5-6 </w:t>
            </w:r>
            <w:r>
              <w:rPr>
                <w:rFonts w:hint="eastAsia" w:ascii="新宋体" w:hAnsi="新宋体" w:eastAsia="新宋体" w:cs="仿宋_GB2312"/>
                <w:kern w:val="0"/>
                <w:sz w:val="18"/>
                <w:szCs w:val="18"/>
                <w:u w:val="none"/>
              </w:rPr>
              <w:t>分：能够认真主动地按合同要求协助发包人编制招标文件，认真、准确地编制工程量清单和有关专用条款，无缺项漏项，合理计算标底，并全面、详尽地提供有关分析表、材料设备清单</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4-5 </w:t>
            </w:r>
            <w:r>
              <w:rPr>
                <w:rFonts w:hint="eastAsia" w:ascii="新宋体" w:hAnsi="新宋体" w:eastAsia="新宋体" w:cs="仿宋_GB2312"/>
                <w:kern w:val="0"/>
                <w:sz w:val="18"/>
                <w:szCs w:val="18"/>
                <w:u w:val="none"/>
              </w:rPr>
              <w:t>分：能够比较认真主动地按合同要求协助发包人编制招标文件，比较认真、准确地编制工程量清单和有关专用条款，无重大缺项漏项，标底价格比较合理，并比较全面、详尽地提供有关分析表、材料设备清单；</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3-3.5 </w:t>
            </w:r>
            <w:r>
              <w:rPr>
                <w:rFonts w:hint="eastAsia" w:ascii="新宋体" w:hAnsi="新宋体" w:eastAsia="新宋体" w:cs="仿宋_GB2312"/>
                <w:kern w:val="0"/>
                <w:sz w:val="18"/>
                <w:szCs w:val="18"/>
                <w:u w:val="none"/>
              </w:rPr>
              <w:t>分：能够基本认真主动地按合同要求协助发包人编制招标文件，基本认真、准确地编制工程量清单和有关专用条款，无重大缺项漏项，标底价格基本合理，并基本全面、详尽地提供有关分析表、材料设备清单；</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分：不能够认真主动地按合同要求协助发包人编制招标文件，不认真、准确地编制工程量清单和有关专用条款，有重大缺项漏项，标底价格不够合理，并不能够全面、详尽地提供有关分析表、材料设备清单</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1980"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8</w:t>
            </w:r>
          </w:p>
        </w:tc>
        <w:tc>
          <w:tcPr>
            <w:tcW w:w="17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复核投标报价质量</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6</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5.5-6 </w:t>
            </w:r>
            <w:r>
              <w:rPr>
                <w:rFonts w:hint="eastAsia" w:ascii="新宋体" w:hAnsi="新宋体" w:eastAsia="新宋体" w:cs="仿宋_GB2312"/>
                <w:kern w:val="0"/>
                <w:sz w:val="18"/>
                <w:szCs w:val="18"/>
                <w:u w:val="none"/>
              </w:rPr>
              <w:t>分：能够认真负责地复核中标候选人的投标报价，分析有无不平衡报价等异常现象，提出详细的造价分析报告；</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4-5  </w:t>
            </w:r>
            <w:r>
              <w:rPr>
                <w:rFonts w:hint="eastAsia" w:ascii="新宋体" w:hAnsi="新宋体" w:eastAsia="新宋体" w:cs="仿宋_GB2312"/>
                <w:kern w:val="0"/>
                <w:sz w:val="18"/>
                <w:szCs w:val="18"/>
                <w:u w:val="none"/>
              </w:rPr>
              <w:t>分：能够比较认真负责地复核中标候选人的投标报价，分析有无不平衡报价等异常现象，提出比较详细的造价分析报告；</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3-3.5 </w:t>
            </w:r>
            <w:r>
              <w:rPr>
                <w:rFonts w:hint="eastAsia" w:ascii="新宋体" w:hAnsi="新宋体" w:eastAsia="新宋体" w:cs="仿宋_GB2312"/>
                <w:kern w:val="0"/>
                <w:sz w:val="18"/>
                <w:szCs w:val="18"/>
                <w:u w:val="none"/>
              </w:rPr>
              <w:t>分：能够基本认真负责地复核中标候选人的投标报价，分析有无</w:t>
            </w:r>
            <w:r>
              <w:rPr>
                <w:rFonts w:ascii="新宋体" w:hAnsi="新宋体" w:eastAsia="新宋体" w:cs="仿宋_GB2312"/>
                <w:kern w:val="0"/>
                <w:sz w:val="18"/>
                <w:szCs w:val="18"/>
                <w:u w:val="none"/>
              </w:rPr>
              <w:t>.</w:t>
            </w:r>
            <w:r>
              <w:rPr>
                <w:rFonts w:hint="eastAsia" w:ascii="新宋体" w:hAnsi="新宋体" w:eastAsia="新宋体" w:cs="仿宋_GB2312"/>
                <w:kern w:val="0"/>
                <w:sz w:val="18"/>
                <w:szCs w:val="18"/>
                <w:u w:val="none"/>
              </w:rPr>
              <w:t>不平衡报价等异常现象，提出基本详细的造价分析报告；</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分：不能够认真负责地复核中标候选人的投标报价，分析有无不平衡报价等异常现象，提出的造价分析报告很不详细。</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2760"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施工过程造价控制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10</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9-10 </w:t>
            </w:r>
            <w:r>
              <w:rPr>
                <w:rFonts w:hint="eastAsia" w:ascii="新宋体" w:hAnsi="新宋体" w:eastAsia="新宋体" w:cs="仿宋_GB2312"/>
                <w:kern w:val="0"/>
                <w:sz w:val="18"/>
                <w:szCs w:val="18"/>
                <w:u w:val="none"/>
              </w:rPr>
              <w:t>分：能够及时主动认真地按甲方要求复核计量支付申请、编制工程变更估算、审核工程变更预算、现场签证，认真地编制投资控制形象进度表，能及时、主动地发现并向发包人汇报任何可能影响成本的事项并提出相关改善建议；</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7-8 </w:t>
            </w:r>
            <w:r>
              <w:rPr>
                <w:rFonts w:hint="eastAsia" w:ascii="新宋体" w:hAnsi="新宋体" w:eastAsia="新宋体" w:cs="仿宋_GB2312"/>
                <w:kern w:val="0"/>
                <w:sz w:val="18"/>
                <w:szCs w:val="18"/>
                <w:u w:val="none"/>
              </w:rPr>
              <w:t>分：基本能够及时主动认真地按甲方要求复核计量支付申请、编制工程变更估算、审核工程变更预算、现场签证，比较认真地编制投资控制形象进度表，能够比较及时、主动地发现并向发包人汇报任何可能影响成本的事项并提出相关改善建议；</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5-6 </w:t>
            </w:r>
            <w:r>
              <w:rPr>
                <w:rFonts w:hint="eastAsia" w:ascii="新宋体" w:hAnsi="新宋体" w:eastAsia="新宋体" w:cs="仿宋_GB2312"/>
                <w:kern w:val="0"/>
                <w:sz w:val="18"/>
                <w:szCs w:val="18"/>
                <w:u w:val="none"/>
              </w:rPr>
              <w:t>分：基本能够按甲方要求复核计量支付申请、编制工程变更估算、审核工程变更预算、现场签证，基本认真地编制投资控制形象进度表，不能及时、主动地发现并向发包人汇报任何可能影响成本的事项并提出相关改善建议；</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不能够按甲方要求复核计量支付申请、编制工程变更估算、审核工程变更预算、现场签证，不认真地编制投资控制形象进度表，不能及时、主动地发现并向发包人汇报任何可能影响成本的事项并提出相关改善建议。</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975" w:hRule="atLeast"/>
        </w:trPr>
        <w:tc>
          <w:tcPr>
            <w:tcW w:w="567"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10</w:t>
            </w:r>
          </w:p>
        </w:tc>
        <w:tc>
          <w:tcPr>
            <w:tcW w:w="17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结算的审核质量</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10</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仿宋_GB2312"/>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9-10 </w:t>
            </w:r>
            <w:r>
              <w:rPr>
                <w:rFonts w:hint="eastAsia" w:ascii="新宋体" w:hAnsi="新宋体" w:eastAsia="新宋体" w:cs="仿宋_GB2312"/>
                <w:kern w:val="0"/>
                <w:sz w:val="18"/>
                <w:szCs w:val="18"/>
                <w:u w:val="none"/>
              </w:rPr>
              <w:t>分：结算造价与第三方审定价相差应小于</w:t>
            </w:r>
            <w:r>
              <w:rPr>
                <w:rFonts w:ascii="新宋体" w:hAnsi="新宋体" w:eastAsia="新宋体" w:cs="仿宋_GB2312"/>
                <w:kern w:val="0"/>
                <w:sz w:val="18"/>
                <w:szCs w:val="18"/>
                <w:u w:val="none"/>
              </w:rPr>
              <w:t>3%</w:t>
            </w:r>
            <w:r>
              <w:rPr>
                <w:rFonts w:hint="eastAsia" w:ascii="新宋体" w:hAnsi="新宋体" w:eastAsia="新宋体" w:cs="仿宋_GB2312"/>
                <w:kern w:val="0"/>
                <w:sz w:val="18"/>
                <w:szCs w:val="18"/>
                <w:u w:val="none"/>
              </w:rPr>
              <w:t>（不含</w:t>
            </w:r>
            <w:r>
              <w:rPr>
                <w:rFonts w:ascii="新宋体" w:hAnsi="新宋体" w:eastAsia="新宋体" w:cs="仿宋_GB2312"/>
                <w:kern w:val="0"/>
                <w:sz w:val="18"/>
                <w:szCs w:val="18"/>
                <w:u w:val="none"/>
              </w:rPr>
              <w:t>3%</w:t>
            </w:r>
            <w:r>
              <w:rPr>
                <w:rFonts w:hint="eastAsia" w:ascii="新宋体" w:hAnsi="新宋体" w:eastAsia="新宋体" w:cs="仿宋_GB2312"/>
                <w:kern w:val="0"/>
                <w:sz w:val="18"/>
                <w:szCs w:val="18"/>
                <w:u w:val="none"/>
              </w:rPr>
              <w:t>）；</w:t>
            </w:r>
            <w:r>
              <w:rPr>
                <w:rFonts w:ascii="新宋体" w:hAnsi="新宋体" w:eastAsia="新宋体" w:cs="仿宋_GB2312"/>
                <w:kern w:val="0"/>
                <w:sz w:val="18"/>
                <w:szCs w:val="18"/>
                <w:u w:val="none"/>
              </w:rPr>
              <w:t xml:space="preserve">                                         </w:t>
            </w:r>
          </w:p>
          <w:p>
            <w:pPr>
              <w:widowControl/>
              <w:adjustRightInd w:val="0"/>
              <w:snapToGrid w:val="0"/>
              <w:spacing w:line="560" w:lineRule="exact"/>
              <w:jc w:val="left"/>
              <w:rPr>
                <w:rFonts w:ascii="新宋体" w:hAnsi="新宋体" w:eastAsia="新宋体" w:cs="仿宋_GB2312"/>
                <w:kern w:val="0"/>
                <w:sz w:val="18"/>
                <w:szCs w:val="18"/>
                <w:u w:val="none"/>
              </w:rPr>
            </w:pP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7-8  </w:t>
            </w:r>
            <w:r>
              <w:rPr>
                <w:rFonts w:hint="eastAsia" w:ascii="新宋体" w:hAnsi="新宋体" w:eastAsia="新宋体" w:cs="仿宋_GB2312"/>
                <w:kern w:val="0"/>
                <w:sz w:val="18"/>
                <w:szCs w:val="18"/>
                <w:u w:val="none"/>
              </w:rPr>
              <w:t>分：结算造价与第三方审定价相差在</w:t>
            </w:r>
            <w:r>
              <w:rPr>
                <w:rFonts w:ascii="新宋体" w:hAnsi="新宋体" w:eastAsia="新宋体" w:cs="仿宋_GB2312"/>
                <w:kern w:val="0"/>
                <w:sz w:val="18"/>
                <w:szCs w:val="18"/>
                <w:u w:val="none"/>
              </w:rPr>
              <w:t>3%--5%</w:t>
            </w:r>
            <w:r>
              <w:rPr>
                <w:rFonts w:hint="eastAsia" w:ascii="新宋体" w:hAnsi="新宋体" w:eastAsia="新宋体" w:cs="仿宋_GB2312"/>
                <w:kern w:val="0"/>
                <w:sz w:val="18"/>
                <w:szCs w:val="18"/>
                <w:u w:val="none"/>
              </w:rPr>
              <w:t>之间（不含</w:t>
            </w:r>
            <w:r>
              <w:rPr>
                <w:rFonts w:ascii="新宋体" w:hAnsi="新宋体" w:eastAsia="新宋体" w:cs="仿宋_GB2312"/>
                <w:kern w:val="0"/>
                <w:sz w:val="18"/>
                <w:szCs w:val="18"/>
                <w:u w:val="none"/>
              </w:rPr>
              <w:t>5%</w:t>
            </w:r>
            <w:r>
              <w:rPr>
                <w:rFonts w:hint="eastAsia" w:ascii="新宋体" w:hAnsi="新宋体" w:eastAsia="新宋体" w:cs="仿宋_GB2312"/>
                <w:kern w:val="0"/>
                <w:sz w:val="18"/>
                <w:szCs w:val="18"/>
                <w:u w:val="none"/>
              </w:rPr>
              <w:t>）；</w:t>
            </w:r>
          </w:p>
          <w:p>
            <w:pPr>
              <w:widowControl/>
              <w:adjustRightInd w:val="0"/>
              <w:snapToGrid w:val="0"/>
              <w:spacing w:line="560" w:lineRule="exact"/>
              <w:jc w:val="left"/>
              <w:rPr>
                <w:rFonts w:ascii="新宋体" w:hAnsi="新宋体" w:eastAsia="新宋体" w:cs="仿宋_GB2312"/>
                <w:kern w:val="0"/>
                <w:sz w:val="18"/>
                <w:szCs w:val="18"/>
                <w:u w:val="none"/>
              </w:rPr>
            </w:pP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5-6  </w:t>
            </w:r>
            <w:r>
              <w:rPr>
                <w:rFonts w:hint="eastAsia" w:ascii="新宋体" w:hAnsi="新宋体" w:eastAsia="新宋体" w:cs="仿宋_GB2312"/>
                <w:kern w:val="0"/>
                <w:sz w:val="18"/>
                <w:szCs w:val="18"/>
                <w:u w:val="none"/>
              </w:rPr>
              <w:t>分：结算造价与第三方审定价相差在</w:t>
            </w:r>
            <w:r>
              <w:rPr>
                <w:rFonts w:ascii="新宋体" w:hAnsi="新宋体" w:eastAsia="新宋体" w:cs="仿宋_GB2312"/>
                <w:kern w:val="0"/>
                <w:sz w:val="18"/>
                <w:szCs w:val="18"/>
                <w:u w:val="none"/>
              </w:rPr>
              <w:t>5%--10%</w:t>
            </w:r>
            <w:r>
              <w:rPr>
                <w:rFonts w:hint="eastAsia" w:ascii="新宋体" w:hAnsi="新宋体" w:eastAsia="新宋体" w:cs="仿宋_GB2312"/>
                <w:kern w:val="0"/>
                <w:sz w:val="18"/>
                <w:szCs w:val="18"/>
                <w:u w:val="none"/>
              </w:rPr>
              <w:t>之间（不含</w:t>
            </w:r>
            <w:r>
              <w:rPr>
                <w:rFonts w:ascii="新宋体" w:hAnsi="新宋体" w:eastAsia="新宋体" w:cs="仿宋_GB2312"/>
                <w:kern w:val="0"/>
                <w:sz w:val="18"/>
                <w:szCs w:val="18"/>
                <w:u w:val="none"/>
              </w:rPr>
              <w:t>10%</w:t>
            </w:r>
            <w:r>
              <w:rPr>
                <w:rFonts w:hint="eastAsia" w:ascii="新宋体" w:hAnsi="新宋体" w:eastAsia="新宋体" w:cs="仿宋_GB2312"/>
                <w:kern w:val="0"/>
                <w:sz w:val="18"/>
                <w:szCs w:val="18"/>
                <w:u w:val="none"/>
              </w:rPr>
              <w:t>）；</w:t>
            </w:r>
          </w:p>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分：结算造价与第三方审定价相差在</w:t>
            </w:r>
            <w:r>
              <w:rPr>
                <w:rFonts w:ascii="新宋体" w:hAnsi="新宋体" w:eastAsia="新宋体" w:cs="仿宋_GB2312"/>
                <w:kern w:val="0"/>
                <w:sz w:val="18"/>
                <w:szCs w:val="18"/>
                <w:u w:val="none"/>
              </w:rPr>
              <w:t>10%</w:t>
            </w:r>
            <w:r>
              <w:rPr>
                <w:rFonts w:hint="eastAsia" w:ascii="新宋体" w:hAnsi="新宋体" w:eastAsia="新宋体" w:cs="仿宋_GB2312"/>
                <w:kern w:val="0"/>
                <w:sz w:val="18"/>
                <w:szCs w:val="18"/>
                <w:u w:val="none"/>
              </w:rPr>
              <w:t>以上（含</w:t>
            </w:r>
            <w:r>
              <w:rPr>
                <w:rFonts w:ascii="新宋体" w:hAnsi="新宋体" w:eastAsia="新宋体" w:cs="仿宋_GB2312"/>
                <w:kern w:val="0"/>
                <w:sz w:val="18"/>
                <w:szCs w:val="18"/>
                <w:u w:val="none"/>
              </w:rPr>
              <w:t>10%</w:t>
            </w:r>
            <w:r>
              <w:rPr>
                <w:rFonts w:hint="eastAsia" w:ascii="新宋体" w:hAnsi="新宋体" w:eastAsia="新宋体" w:cs="仿宋_GB2312"/>
                <w:kern w:val="0"/>
                <w:sz w:val="18"/>
                <w:szCs w:val="18"/>
                <w:u w:val="none"/>
              </w:rPr>
              <w:t>）。</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555" w:hRule="atLeast"/>
        </w:trPr>
        <w:tc>
          <w:tcPr>
            <w:tcW w:w="567" w:type="dxa"/>
            <w:tcBorders>
              <w:top w:val="nil"/>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11</w:t>
            </w:r>
          </w:p>
        </w:tc>
        <w:tc>
          <w:tcPr>
            <w:tcW w:w="1701" w:type="dxa"/>
            <w:gridSpan w:val="2"/>
            <w:tcBorders>
              <w:top w:val="nil"/>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造价文件</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5</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5 </w:t>
            </w:r>
            <w:r>
              <w:rPr>
                <w:rFonts w:hint="eastAsia" w:ascii="新宋体" w:hAnsi="新宋体" w:eastAsia="新宋体" w:cs="仿宋_GB2312"/>
                <w:kern w:val="0"/>
                <w:sz w:val="18"/>
                <w:szCs w:val="18"/>
                <w:u w:val="none"/>
              </w:rPr>
              <w:t>分：能够按照合同要求提交完整的资料；</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分：不能够按照合同要求提交完整的资料。</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531" w:hRule="atLeast"/>
        </w:trPr>
        <w:tc>
          <w:tcPr>
            <w:tcW w:w="567" w:type="dxa"/>
            <w:tcBorders>
              <w:top w:val="nil"/>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黑体" w:hAnsi="黑体" w:eastAsia="黑体" w:cs="Times New Roman"/>
                <w:kern w:val="0"/>
                <w:sz w:val="24"/>
                <w:szCs w:val="24"/>
                <w:u w:val="none"/>
              </w:rPr>
            </w:pPr>
            <w:r>
              <w:rPr>
                <w:rFonts w:hint="eastAsia" w:ascii="黑体" w:hAnsi="黑体" w:eastAsia="黑体" w:cs="黑体"/>
                <w:kern w:val="0"/>
                <w:sz w:val="24"/>
                <w:szCs w:val="24"/>
                <w:u w:val="none"/>
              </w:rPr>
              <w:t>三</w:t>
            </w:r>
          </w:p>
        </w:tc>
        <w:tc>
          <w:tcPr>
            <w:tcW w:w="1701" w:type="dxa"/>
            <w:gridSpan w:val="2"/>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黑体" w:hAnsi="黑体" w:eastAsia="黑体" w:cs="Times New Roman"/>
                <w:kern w:val="0"/>
                <w:sz w:val="24"/>
                <w:szCs w:val="24"/>
                <w:u w:val="none"/>
              </w:rPr>
            </w:pPr>
            <w:r>
              <w:rPr>
                <w:rFonts w:hint="eastAsia" w:ascii="黑体" w:hAnsi="黑体" w:eastAsia="黑体" w:cs="黑体"/>
                <w:kern w:val="0"/>
                <w:sz w:val="24"/>
                <w:szCs w:val="24"/>
                <w:u w:val="none"/>
              </w:rPr>
              <w:t>履约时间</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8</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　</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363" w:hRule="atLeast"/>
        </w:trPr>
        <w:tc>
          <w:tcPr>
            <w:tcW w:w="567" w:type="dxa"/>
            <w:tcBorders>
              <w:top w:val="nil"/>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12</w:t>
            </w:r>
          </w:p>
        </w:tc>
        <w:tc>
          <w:tcPr>
            <w:tcW w:w="1701" w:type="dxa"/>
            <w:gridSpan w:val="2"/>
            <w:tcBorders>
              <w:top w:val="nil"/>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工作时间</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8</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仿宋_GB2312"/>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7-8 </w:t>
            </w:r>
            <w:r>
              <w:rPr>
                <w:rFonts w:hint="eastAsia" w:ascii="新宋体" w:hAnsi="新宋体" w:eastAsia="新宋体" w:cs="仿宋_GB2312"/>
                <w:kern w:val="0"/>
                <w:sz w:val="18"/>
                <w:szCs w:val="18"/>
                <w:u w:val="none"/>
              </w:rPr>
              <w:t>分：能够及时地按照合同要求完成各阶段的工作；</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5-6 </w:t>
            </w:r>
            <w:r>
              <w:rPr>
                <w:rFonts w:hint="eastAsia" w:ascii="新宋体" w:hAnsi="新宋体" w:eastAsia="新宋体" w:cs="仿宋_GB2312"/>
                <w:kern w:val="0"/>
                <w:sz w:val="18"/>
                <w:szCs w:val="18"/>
                <w:u w:val="none"/>
              </w:rPr>
              <w:t>分：能够比较及时地按照合同要求完成各阶段的工作；</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4-4.5 </w:t>
            </w:r>
            <w:r>
              <w:rPr>
                <w:rFonts w:hint="eastAsia" w:ascii="新宋体" w:hAnsi="新宋体" w:eastAsia="新宋体" w:cs="仿宋_GB2312"/>
                <w:kern w:val="0"/>
                <w:sz w:val="18"/>
                <w:szCs w:val="18"/>
                <w:u w:val="none"/>
              </w:rPr>
              <w:t>分：能够基本及时地按照合同要求完成各阶段的工作；</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分：不能够及时按照合同要求完成各阶段的工作。</w:t>
            </w:r>
            <w:r>
              <w:rPr>
                <w:rFonts w:ascii="新宋体" w:hAnsi="新宋体" w:eastAsia="新宋体" w:cs="仿宋_GB2312"/>
                <w:kern w:val="0"/>
                <w:sz w:val="18"/>
                <w:szCs w:val="18"/>
                <w:u w:val="none"/>
              </w:rPr>
              <w:t xml:space="preserve">                                  </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606" w:hRule="atLeast"/>
        </w:trPr>
        <w:tc>
          <w:tcPr>
            <w:tcW w:w="567" w:type="dxa"/>
            <w:tcBorders>
              <w:top w:val="nil"/>
              <w:left w:val="single" w:color="auto" w:sz="8" w:space="0"/>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宋体"/>
                <w:kern w:val="0"/>
                <w:sz w:val="24"/>
                <w:szCs w:val="24"/>
                <w:u w:val="none"/>
              </w:rPr>
              <w:t>四</w:t>
            </w:r>
          </w:p>
        </w:tc>
        <w:tc>
          <w:tcPr>
            <w:tcW w:w="1701" w:type="dxa"/>
            <w:gridSpan w:val="2"/>
            <w:tcBorders>
              <w:top w:val="nil"/>
              <w:left w:val="nil"/>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宋体"/>
                <w:kern w:val="0"/>
                <w:sz w:val="24"/>
                <w:szCs w:val="24"/>
                <w:u w:val="none"/>
              </w:rPr>
              <w:t>履约配合</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Times New Roman"/>
                <w:kern w:val="0"/>
                <w:sz w:val="18"/>
                <w:szCs w:val="18"/>
                <w:u w:val="none"/>
              </w:rPr>
            </w:pPr>
            <w:r>
              <w:rPr>
                <w:rFonts w:ascii="新宋体" w:hAnsi="新宋体" w:eastAsia="新宋体" w:cs="Times New Roman"/>
                <w:kern w:val="0"/>
                <w:sz w:val="18"/>
                <w:szCs w:val="18"/>
                <w:u w:val="none"/>
              </w:rPr>
              <w:t>17</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　</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1266"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配合情况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10</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9-10 </w:t>
            </w:r>
            <w:r>
              <w:rPr>
                <w:rFonts w:hint="eastAsia" w:ascii="新宋体" w:hAnsi="新宋体" w:eastAsia="新宋体" w:cs="仿宋_GB2312"/>
                <w:kern w:val="0"/>
                <w:sz w:val="18"/>
                <w:szCs w:val="18"/>
                <w:u w:val="none"/>
              </w:rPr>
              <w:t>分：项目负责人能够认真主动地按合同要求到工地现场解决有关造价事宜、派人参加招标答疑会、积极配合专业审计局审计工作、结算完成后主动地协助发包人进行经济技术指标分析、认真地完成发包人交办的其它工程造价咨询工作；</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7-8 </w:t>
            </w:r>
            <w:r>
              <w:rPr>
                <w:rFonts w:hint="eastAsia" w:ascii="新宋体" w:hAnsi="新宋体" w:eastAsia="新宋体" w:cs="仿宋_GB2312"/>
                <w:kern w:val="0"/>
                <w:sz w:val="18"/>
                <w:szCs w:val="18"/>
                <w:u w:val="none"/>
              </w:rPr>
              <w:t>分：项目负责人能够比较认真主动地按合同要求到工地现场解决有关造价事宜、派人参加招标答疑会、比较积极配合专业审计局审计工作、结算完成后比较主动地协助发包人进行经济技术指标分析、比较认真地完成发包人交办的其它工程造价咨询工作；</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5-6 </w:t>
            </w:r>
            <w:r>
              <w:rPr>
                <w:rFonts w:hint="eastAsia" w:ascii="新宋体" w:hAnsi="新宋体" w:eastAsia="新宋体" w:cs="仿宋_GB2312"/>
                <w:kern w:val="0"/>
                <w:sz w:val="18"/>
                <w:szCs w:val="18"/>
                <w:u w:val="none"/>
              </w:rPr>
              <w:t>分：项目负责人基本能够认真主动地按合同要求到工地现场解决有关造价事宜、派人参加招标答疑会、配合专业审计局审计工作、结算完成后基本主动地协助发包人进行经济技术指标分析、基本认真地完成发包人交办的其它工程造价咨询工作；</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项目负责人不能够认真主动地按合同要求到工地现场解决有关造价事宜、派人参加招标答疑会、不积极配合专业审计局审计工作、结算完成后不够主动地协助发包人进行经济技术指标分析、不能认真地完成发包人交办的其它工程造价咨询工作。</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750" w:hRule="atLeast"/>
        </w:trPr>
        <w:tc>
          <w:tcPr>
            <w:tcW w:w="567"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14</w:t>
            </w:r>
          </w:p>
        </w:tc>
        <w:tc>
          <w:tcPr>
            <w:tcW w:w="17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仿宋_GB2312"/>
                <w:kern w:val="0"/>
                <w:sz w:val="18"/>
                <w:szCs w:val="18"/>
                <w:u w:val="none"/>
              </w:rPr>
            </w:pPr>
            <w:r>
              <w:rPr>
                <w:rFonts w:hint="eastAsia" w:ascii="新宋体" w:hAnsi="新宋体" w:eastAsia="新宋体" w:cs="仿宋_GB2312"/>
                <w:kern w:val="0"/>
                <w:sz w:val="18"/>
                <w:szCs w:val="18"/>
                <w:u w:val="none"/>
              </w:rPr>
              <w:t>驻场服务情况</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5</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仿宋_GB2312"/>
                <w:kern w:val="0"/>
                <w:sz w:val="18"/>
                <w:szCs w:val="18"/>
                <w:u w:val="none"/>
              </w:rPr>
            </w:pPr>
            <w:r>
              <w:rPr>
                <w:rFonts w:hint="eastAsia" w:ascii="新宋体" w:hAnsi="新宋体" w:eastAsia="新宋体" w:cs="仿宋_GB2312"/>
                <w:kern w:val="0"/>
                <w:sz w:val="18"/>
                <w:szCs w:val="18"/>
                <w:u w:val="none"/>
              </w:rPr>
              <w:t>优秀</w:t>
            </w:r>
            <w:r>
              <w:rPr>
                <w:rFonts w:ascii="新宋体" w:hAnsi="新宋体" w:eastAsia="新宋体" w:cs="仿宋_GB2312"/>
                <w:kern w:val="0"/>
                <w:sz w:val="18"/>
                <w:szCs w:val="18"/>
                <w:u w:val="none"/>
              </w:rPr>
              <w:t xml:space="preserve"> 4.5-5 </w:t>
            </w:r>
            <w:r>
              <w:rPr>
                <w:rFonts w:hint="eastAsia" w:ascii="新宋体" w:hAnsi="新宋体" w:eastAsia="新宋体" w:cs="仿宋_GB2312"/>
                <w:kern w:val="0"/>
                <w:sz w:val="18"/>
                <w:szCs w:val="18"/>
                <w:u w:val="none"/>
              </w:rPr>
              <w:t>分：驻现场代表能够积极主动、认真廉洁地办理现场变更签证、进度款审核、设计变更的估算编制或预算审核、变更台账的建立与管理等造价咨询工作；</w:t>
            </w:r>
            <w:r>
              <w:rPr>
                <w:rFonts w:ascii="新宋体" w:hAnsi="新宋体" w:eastAsia="新宋体" w:cs="仿宋_GB2312"/>
                <w:kern w:val="0"/>
                <w:sz w:val="18"/>
                <w:szCs w:val="18"/>
                <w:u w:val="none"/>
              </w:rPr>
              <w:t xml:space="preserve">                                            </w:t>
            </w:r>
            <w:r>
              <w:rPr>
                <w:rFonts w:ascii="新宋体" w:hAnsi="新宋体" w:eastAsia="新宋体" w:cs="仿宋_GB2312"/>
                <w:kern w:val="0"/>
                <w:sz w:val="18"/>
                <w:szCs w:val="18"/>
                <w:u w:val="none"/>
              </w:rPr>
              <w:br w:type="textWrapping"/>
            </w:r>
            <w:r>
              <w:rPr>
                <w:rFonts w:hint="eastAsia" w:ascii="新宋体" w:hAnsi="新宋体" w:eastAsia="新宋体" w:cs="仿宋_GB2312"/>
                <w:kern w:val="0"/>
                <w:sz w:val="18"/>
                <w:szCs w:val="18"/>
                <w:u w:val="none"/>
              </w:rPr>
              <w:t>良好</w:t>
            </w:r>
            <w:r>
              <w:rPr>
                <w:rFonts w:ascii="新宋体" w:hAnsi="新宋体" w:eastAsia="新宋体" w:cs="仿宋_GB2312"/>
                <w:kern w:val="0"/>
                <w:sz w:val="18"/>
                <w:szCs w:val="18"/>
                <w:u w:val="none"/>
              </w:rPr>
              <w:t xml:space="preserve"> 3.5-4 </w:t>
            </w:r>
            <w:r>
              <w:rPr>
                <w:rFonts w:hint="eastAsia" w:ascii="新宋体" w:hAnsi="新宋体" w:eastAsia="新宋体" w:cs="仿宋_GB2312"/>
                <w:kern w:val="0"/>
                <w:sz w:val="18"/>
                <w:szCs w:val="18"/>
                <w:u w:val="none"/>
              </w:rPr>
              <w:t>分：驻现场代表能够比较积极主动、认真廉洁地办理现场变更签证、进度款审核、设计变更的估算编制或预算审核、变更台账的建立与管理等造价咨询工作；</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2.5-3 </w:t>
            </w:r>
            <w:r>
              <w:rPr>
                <w:rFonts w:hint="eastAsia" w:ascii="新宋体" w:hAnsi="新宋体" w:eastAsia="新宋体" w:cs="仿宋_GB2312"/>
                <w:kern w:val="0"/>
                <w:sz w:val="18"/>
                <w:szCs w:val="18"/>
                <w:u w:val="none"/>
              </w:rPr>
              <w:t>分：驻现场代表能够基本积极主动、认真廉洁地办理现场变更签证、进度款审核、设计变更的估算编制或预算审核、变更台账的建立与管理等造价咨询工作；</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分：驻现场代表不能够积极主动、认真廉洁地办理现场变更签证、进度款审核、设计变更的估算编制或预算审核、变更台账的建立与管理等造价咨询工作。</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750" w:hRule="atLeast"/>
        </w:trPr>
        <w:tc>
          <w:tcPr>
            <w:tcW w:w="567" w:type="dxa"/>
            <w:tcBorders>
              <w:top w:val="nil"/>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15</w:t>
            </w:r>
          </w:p>
        </w:tc>
        <w:tc>
          <w:tcPr>
            <w:tcW w:w="1701" w:type="dxa"/>
            <w:gridSpan w:val="2"/>
            <w:tcBorders>
              <w:top w:val="nil"/>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保密工作</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Times New Roman"/>
                <w:kern w:val="0"/>
                <w:sz w:val="18"/>
                <w:szCs w:val="18"/>
                <w:u w:val="none"/>
              </w:rPr>
            </w:pPr>
            <w:r>
              <w:rPr>
                <w:rFonts w:ascii="新宋体" w:hAnsi="新宋体" w:eastAsia="新宋体" w:cs="Times New Roman"/>
                <w:kern w:val="0"/>
                <w:sz w:val="18"/>
                <w:szCs w:val="18"/>
                <w:u w:val="none"/>
              </w:rPr>
              <w:t>2</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合格</w:t>
            </w:r>
            <w:r>
              <w:rPr>
                <w:rFonts w:ascii="新宋体" w:hAnsi="新宋体" w:eastAsia="新宋体" w:cs="仿宋_GB2312"/>
                <w:kern w:val="0"/>
                <w:sz w:val="18"/>
                <w:szCs w:val="18"/>
                <w:u w:val="none"/>
              </w:rPr>
              <w:t xml:space="preserve">  2 </w:t>
            </w:r>
            <w:r>
              <w:rPr>
                <w:rFonts w:hint="eastAsia" w:ascii="新宋体" w:hAnsi="新宋体" w:eastAsia="新宋体" w:cs="仿宋_GB2312"/>
                <w:kern w:val="0"/>
                <w:sz w:val="18"/>
                <w:szCs w:val="18"/>
                <w:u w:val="none"/>
              </w:rPr>
              <w:t>分：在没有得到相应许可的情况下，不对外公开涉及任何机密的资料；</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不合格</w:t>
            </w:r>
            <w:r>
              <w:rPr>
                <w:rFonts w:ascii="新宋体" w:hAnsi="新宋体" w:eastAsia="新宋体" w:cs="仿宋_GB2312"/>
                <w:kern w:val="0"/>
                <w:sz w:val="18"/>
                <w:szCs w:val="18"/>
                <w:u w:val="none"/>
              </w:rPr>
              <w:t xml:space="preserve"> 0 </w:t>
            </w:r>
            <w:r>
              <w:rPr>
                <w:rFonts w:hint="eastAsia" w:ascii="新宋体" w:hAnsi="新宋体" w:eastAsia="新宋体" w:cs="仿宋_GB2312"/>
                <w:kern w:val="0"/>
                <w:sz w:val="18"/>
                <w:szCs w:val="18"/>
                <w:u w:val="none"/>
              </w:rPr>
              <w:t>分：在没有得到相应许可的情况下，对外公开涉及任何机密的资料但未造成不良影响或严重后果。</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413" w:hRule="atLeast"/>
        </w:trPr>
        <w:tc>
          <w:tcPr>
            <w:tcW w:w="567" w:type="dxa"/>
            <w:tcBorders>
              <w:top w:val="nil"/>
              <w:left w:val="single" w:color="auto" w:sz="8" w:space="0"/>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 xml:space="preserve">  </w:t>
            </w:r>
          </w:p>
        </w:tc>
        <w:tc>
          <w:tcPr>
            <w:tcW w:w="1701" w:type="dxa"/>
            <w:gridSpan w:val="2"/>
            <w:tcBorders>
              <w:top w:val="nil"/>
              <w:left w:val="nil"/>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合</w:t>
            </w:r>
            <w:r>
              <w:rPr>
                <w:rFonts w:ascii="新宋体" w:hAnsi="新宋体" w:eastAsia="新宋体" w:cs="仿宋_GB2312"/>
                <w:kern w:val="0"/>
                <w:sz w:val="18"/>
                <w:szCs w:val="18"/>
                <w:u w:val="none"/>
              </w:rPr>
              <w:t xml:space="preserve">  </w:t>
            </w:r>
            <w:r>
              <w:rPr>
                <w:rFonts w:hint="eastAsia" w:ascii="新宋体" w:hAnsi="新宋体" w:eastAsia="新宋体" w:cs="仿宋_GB2312"/>
                <w:kern w:val="0"/>
                <w:sz w:val="18"/>
                <w:szCs w:val="18"/>
                <w:u w:val="none"/>
              </w:rPr>
              <w:t>计</w:t>
            </w:r>
          </w:p>
        </w:tc>
        <w:tc>
          <w:tcPr>
            <w:tcW w:w="851"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rFonts w:ascii="新宋体" w:hAnsi="新宋体" w:eastAsia="新宋体" w:cs="仿宋_GB2312"/>
                <w:kern w:val="0"/>
                <w:sz w:val="18"/>
                <w:szCs w:val="18"/>
                <w:u w:val="none"/>
              </w:rPr>
            </w:pPr>
            <w:r>
              <w:rPr>
                <w:rFonts w:ascii="新宋体" w:hAnsi="新宋体" w:eastAsia="新宋体" w:cs="仿宋_GB2312"/>
                <w:kern w:val="0"/>
                <w:sz w:val="18"/>
                <w:szCs w:val="18"/>
                <w:u w:val="none"/>
              </w:rPr>
              <w:t>100</w:t>
            </w:r>
          </w:p>
        </w:tc>
        <w:tc>
          <w:tcPr>
            <w:tcW w:w="4678"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ascii="新宋体" w:hAnsi="新宋体" w:eastAsia="新宋体" w:cs="Times New Roman"/>
                <w:kern w:val="0"/>
                <w:sz w:val="18"/>
                <w:szCs w:val="18"/>
                <w:u w:val="none"/>
              </w:rPr>
            </w:pPr>
            <w:r>
              <w:rPr>
                <w:rFonts w:hint="eastAsia" w:ascii="新宋体" w:hAnsi="新宋体" w:eastAsia="新宋体" w:cs="仿宋_GB2312"/>
                <w:kern w:val="0"/>
                <w:sz w:val="18"/>
                <w:szCs w:val="18"/>
                <w:u w:val="none"/>
              </w:rPr>
              <w:t>　</w:t>
            </w:r>
          </w:p>
        </w:tc>
        <w:tc>
          <w:tcPr>
            <w:tcW w:w="708" w:type="dxa"/>
            <w:tcBorders>
              <w:top w:val="nil"/>
              <w:left w:val="single" w:color="auto" w:sz="4" w:space="0"/>
              <w:bottom w:val="single" w:color="auto" w:sz="4" w:space="0"/>
              <w:right w:val="single" w:color="auto" w:sz="4" w:space="0"/>
            </w:tcBorders>
            <w:vAlign w:val="top"/>
          </w:tcPr>
          <w:p>
            <w:pPr>
              <w:widowControl/>
              <w:adjustRightInd w:val="0"/>
              <w:snapToGrid w:val="0"/>
              <w:spacing w:line="560" w:lineRule="exact"/>
              <w:ind w:right="4070" w:rightChars="1938"/>
              <w:jc w:val="left"/>
              <w:rPr>
                <w:rFonts w:ascii="新宋体" w:hAnsi="新宋体" w:eastAsia="新宋体" w:cs="仿宋_GB2312"/>
                <w:kern w:val="0"/>
                <w:sz w:val="18"/>
                <w:szCs w:val="18"/>
                <w:u w:val="none"/>
              </w:rPr>
            </w:pPr>
          </w:p>
        </w:tc>
      </w:tr>
      <w:tr>
        <w:tblPrEx>
          <w:tblLayout w:type="fixed"/>
          <w:tblCellMar>
            <w:top w:w="0" w:type="dxa"/>
            <w:left w:w="108" w:type="dxa"/>
            <w:bottom w:w="0" w:type="dxa"/>
            <w:right w:w="108" w:type="dxa"/>
          </w:tblCellMar>
        </w:tblPrEx>
        <w:trPr>
          <w:trHeight w:val="277" w:hRule="atLeast"/>
        </w:trPr>
        <w:tc>
          <w:tcPr>
            <w:tcW w:w="8505" w:type="dxa"/>
            <w:gridSpan w:val="8"/>
            <w:tcBorders>
              <w:top w:val="single" w:color="auto" w:sz="4" w:space="0"/>
              <w:left w:val="single" w:color="auto" w:sz="8" w:space="0"/>
              <w:bottom w:val="single" w:color="auto" w:sz="4" w:space="0"/>
              <w:right w:val="single" w:color="auto" w:sz="8" w:space="0"/>
            </w:tcBorders>
            <w:vAlign w:val="center"/>
          </w:tcPr>
          <w:p>
            <w:pPr>
              <w:spacing w:line="560" w:lineRule="exact"/>
              <w:rPr>
                <w:rFonts w:ascii="宋体" w:hAnsi="宋体" w:eastAsia="宋体" w:cs="Times New Roman"/>
                <w:szCs w:val="21"/>
                <w:u w:val="none"/>
              </w:rPr>
            </w:pPr>
            <w:r>
              <w:rPr>
                <w:rFonts w:hint="eastAsia" w:ascii="宋体" w:hAnsi="宋体" w:eastAsia="宋体" w:cs="Times New Roman"/>
                <w:szCs w:val="21"/>
                <w:u w:val="none"/>
              </w:rPr>
              <w:t>注：</w:t>
            </w:r>
            <w:r>
              <w:rPr>
                <w:rFonts w:ascii="宋体" w:hAnsi="宋体" w:eastAsia="宋体" w:cs="Times New Roman"/>
                <w:szCs w:val="21"/>
                <w:u w:val="none"/>
              </w:rPr>
              <w:t>1</w:t>
            </w:r>
            <w:r>
              <w:rPr>
                <w:rFonts w:hint="eastAsia" w:ascii="宋体" w:hAnsi="宋体" w:eastAsia="宋体" w:cs="Times New Roman"/>
                <w:szCs w:val="21"/>
                <w:u w:val="none"/>
              </w:rPr>
              <w:t>、工程建设单位可结合其工程特点和具体要求，增加和量化具体评分指标（仅限于二级指标的内容、分值、权重，一级指标项及分值、权重不得调整），制定评分表，并按百分制将分项分值进行折算调整。</w:t>
            </w:r>
          </w:p>
          <w:p>
            <w:pPr>
              <w:spacing w:line="560" w:lineRule="exact"/>
              <w:ind w:firstLine="420" w:firstLineChars="200"/>
              <w:rPr>
                <w:rFonts w:ascii="宋体" w:hAnsi="宋体" w:eastAsia="宋体" w:cs="Times New Roman"/>
                <w:szCs w:val="21"/>
                <w:u w:val="none"/>
              </w:rPr>
            </w:pPr>
            <w:r>
              <w:rPr>
                <w:rFonts w:ascii="宋体" w:hAnsi="宋体" w:eastAsia="宋体" w:cs="Times New Roman"/>
                <w:szCs w:val="21"/>
                <w:u w:val="none"/>
              </w:rPr>
              <w:t>2</w:t>
            </w:r>
            <w:r>
              <w:rPr>
                <w:rFonts w:hint="eastAsia" w:ascii="宋体" w:hAnsi="宋体" w:eastAsia="宋体" w:cs="Times New Roman"/>
                <w:szCs w:val="21"/>
                <w:u w:val="none"/>
              </w:rPr>
              <w:t>、规定的评分指标中，招标文件或者合同无委托实施的内容的，不计入评分，对总得分按百分制进行折算。</w:t>
            </w:r>
          </w:p>
        </w:tc>
      </w:tr>
      <w:tr>
        <w:tblPrEx>
          <w:tblLayout w:type="fixed"/>
          <w:tblCellMar>
            <w:top w:w="0" w:type="dxa"/>
            <w:left w:w="108" w:type="dxa"/>
            <w:bottom w:w="0" w:type="dxa"/>
            <w:right w:w="108" w:type="dxa"/>
          </w:tblCellMar>
        </w:tblPrEx>
        <w:trPr>
          <w:trHeight w:val="277" w:hRule="atLeast"/>
        </w:trPr>
        <w:tc>
          <w:tcPr>
            <w:tcW w:w="8505" w:type="dxa"/>
            <w:gridSpan w:val="8"/>
            <w:tcBorders>
              <w:top w:val="single" w:color="auto" w:sz="4" w:space="0"/>
              <w:left w:val="single" w:color="auto" w:sz="8" w:space="0"/>
              <w:bottom w:val="single" w:color="auto" w:sz="4" w:space="0"/>
              <w:right w:val="single" w:color="auto" w:sz="8" w:space="0"/>
            </w:tcBorders>
            <w:vAlign w:val="center"/>
          </w:tcPr>
          <w:p>
            <w:pPr>
              <w:spacing w:line="560" w:lineRule="exact"/>
              <w:rPr>
                <w:rFonts w:ascii="宋体" w:hAnsi="宋体" w:eastAsia="宋体" w:cs="Times New Roman"/>
                <w:szCs w:val="21"/>
                <w:u w:val="none"/>
              </w:rPr>
            </w:pPr>
          </w:p>
          <w:p>
            <w:pPr>
              <w:spacing w:line="560" w:lineRule="exact"/>
              <w:ind w:firstLine="5460" w:firstLineChars="2600"/>
              <w:rPr>
                <w:rFonts w:ascii="宋体" w:hAnsi="宋体" w:eastAsia="宋体" w:cs="Times New Roman"/>
                <w:szCs w:val="21"/>
                <w:u w:val="none"/>
              </w:rPr>
            </w:pPr>
            <w:r>
              <w:rPr>
                <w:rFonts w:hint="eastAsia" w:ascii="宋体" w:hAnsi="宋体" w:eastAsia="宋体" w:cs="Times New Roman"/>
                <w:szCs w:val="21"/>
                <w:u w:val="none"/>
              </w:rPr>
              <w:t>评价人签字：</w:t>
            </w:r>
          </w:p>
          <w:p>
            <w:pPr>
              <w:spacing w:line="560" w:lineRule="exact"/>
              <w:ind w:firstLine="6930" w:firstLineChars="3300"/>
              <w:rPr>
                <w:rFonts w:ascii="宋体" w:hAnsi="宋体" w:eastAsia="宋体" w:cs="宋体"/>
                <w:kern w:val="0"/>
                <w:sz w:val="18"/>
                <w:szCs w:val="18"/>
                <w:u w:val="none"/>
              </w:rPr>
            </w:pPr>
            <w:r>
              <w:rPr>
                <w:rFonts w:hint="eastAsia" w:ascii="宋体" w:hAnsi="宋体" w:eastAsia="宋体" w:cs="Times New Roman"/>
                <w:szCs w:val="21"/>
                <w:u w:val="none"/>
              </w:rPr>
              <w:t>年</w:t>
            </w:r>
            <w:r>
              <w:rPr>
                <w:rFonts w:ascii="宋体" w:hAnsi="宋体" w:eastAsia="宋体" w:cs="Times New Roman"/>
                <w:szCs w:val="21"/>
                <w:u w:val="none"/>
              </w:rPr>
              <w:t xml:space="preserve">  </w:t>
            </w:r>
            <w:r>
              <w:rPr>
                <w:rFonts w:hint="eastAsia" w:ascii="宋体" w:hAnsi="宋体" w:eastAsia="宋体" w:cs="Times New Roman"/>
                <w:szCs w:val="21"/>
                <w:u w:val="none"/>
              </w:rPr>
              <w:t>月</w:t>
            </w:r>
            <w:r>
              <w:rPr>
                <w:rFonts w:ascii="宋体" w:hAnsi="宋体" w:eastAsia="宋体" w:cs="Times New Roman"/>
                <w:szCs w:val="21"/>
                <w:u w:val="none"/>
              </w:rPr>
              <w:t xml:space="preserve">  </w:t>
            </w:r>
            <w:r>
              <w:rPr>
                <w:rFonts w:hint="eastAsia" w:ascii="宋体" w:hAnsi="宋体" w:eastAsia="宋体" w:cs="Times New Roman"/>
                <w:szCs w:val="21"/>
                <w:u w:val="none"/>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D4D11"/>
    <w:rsid w:val="614D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Calibri" w:hAnsi="Calibri" w:eastAsia="宋体" w:cs="Times New Roman"/>
      <w:kern w:val="0"/>
      <w:sz w:val="20"/>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2022-01-11T06:55:00Z</dcterms:created>
  <dc:creator>林柔贤</dc:creator>
  <cp:lastModifiedBy>林柔贤</cp:lastModifiedBy>
  <dcterms:modified xsi:type="dcterms:W3CDTF">2022-01-11T06:55:48Z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