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5</w:t>
      </w:r>
    </w:p>
    <w:p>
      <w:pPr>
        <w:spacing w:line="560" w:lineRule="exact"/>
        <w:jc w:val="center"/>
        <w:rPr>
          <w:rFonts w:ascii="黑体" w:hAnsi="黑体" w:eastAsia="黑体" w:cs="Times New Roman"/>
          <w:sz w:val="32"/>
          <w:szCs w:val="32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</w:rPr>
        <w:t>坪山区建设工程承包商（监理）履约评分标准表</w:t>
      </w:r>
    </w:p>
    <w:bookmarkEnd w:id="0"/>
    <w:tbl>
      <w:tblPr>
        <w:tblStyle w:val="4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107"/>
        <w:gridCol w:w="1024"/>
        <w:gridCol w:w="749"/>
        <w:gridCol w:w="1069"/>
        <w:gridCol w:w="1075"/>
        <w:gridCol w:w="1480"/>
        <w:gridCol w:w="709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评价形式</w:t>
            </w:r>
          </w:p>
        </w:tc>
        <w:tc>
          <w:tcPr>
            <w:tcW w:w="68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60" w:lineRule="exact"/>
              <w:ind w:firstLine="210" w:firstLineChars="100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□单项工程定期履约评价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□单项工程最终履约评价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工程名称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承包商</w:t>
            </w:r>
          </w:p>
        </w:tc>
        <w:tc>
          <w:tcPr>
            <w:tcW w:w="2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总得分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评价等级</w:t>
            </w:r>
          </w:p>
        </w:tc>
        <w:tc>
          <w:tcPr>
            <w:tcW w:w="2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□优秀</w:t>
            </w: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□良好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 xml:space="preserve">  □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一般</w:t>
            </w: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□不合格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建设单位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评价时间</w:t>
            </w:r>
          </w:p>
        </w:tc>
        <w:tc>
          <w:tcPr>
            <w:tcW w:w="2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年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月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序号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项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内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容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满分分值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评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  <w:t>扣分标准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u w:val="none"/>
              </w:rPr>
              <w:t>一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u w:val="none"/>
              </w:rPr>
              <w:t>机构人员配备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15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项目总监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7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与投标承诺或者合同是否一致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是否有常驻现场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是否称职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未经建设单位同意自更换项目总监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其他监理人员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8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与投标承诺或者合同是否相符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到位是否良好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专业、数量是否满足监理工作的实际要求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是否具有相应的监理工作能力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是否保持相对稳定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调整变更是否有得到建设单位的认可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未经建设单位同意擅自调整更换关键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岗位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监理人员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是否有仅在项目挂名不实际履行职责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u w:val="none"/>
              </w:rPr>
              <w:t>二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u w:val="none"/>
              </w:rPr>
              <w:t>监理质量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55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3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施工准备阶段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4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是否有认真主动地配合建设单位完成施工准备阶段各项监理工作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4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工程质量控制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16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制定了针对合同项目的完善的监理规划，并严格执行的，不扣分</w:t>
            </w:r>
          </w:p>
          <w:p>
            <w:pPr>
              <w:spacing w:line="560" w:lineRule="exact"/>
              <w:rPr>
                <w:rFonts w:ascii="宋体" w:hAnsi="宋体" w:eastAsia="宋体" w:cs="Times New Roman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制定了针对合同项目的完善的监理规划，基本能按规划执行的，扣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6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分</w:t>
            </w:r>
          </w:p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未制定针对合同项目的完善的监理规划的，扣1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是否及时组织各项、各阶段工程验收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5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安全文明生产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16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未制定针对合同项目的安全文明施工制度，扣4分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监理工程师是否有严格地依照有关法律、法规对施工安全实施有效监理并承担监理责任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是否有督促施工企业落实安全生产、文明施工措施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对违规施工以及安全隐患是否有采取有效措施制止、纠正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6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工程投资控制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10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是否有合理控制工程投资成本和主动提出优化节约方案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工程计量、变更签证、预结算和工程款支付审核是否准确、实事求是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7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工程合同管理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5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是否有及时公正地按照监理合同及监理规范的要求执行工程变更、工程延期、费用索赔、工程分包、争端仲裁和确认承包人违约等有关合同管理的工作内容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8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检验设备配置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4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是否有按投标承诺或者合同配置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是否满足工程监理需求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u w:val="none"/>
              </w:rPr>
              <w:t>三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u w:val="none"/>
              </w:rPr>
              <w:t>进度控制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10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9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工期控制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10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是否有主动控制工程的各阶段工期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是否有监理单位原因导致实际工期超过合同工期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u w:val="none"/>
              </w:rPr>
              <w:t>四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u w:val="none"/>
              </w:rPr>
              <w:t>配合与服务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20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10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竣工移交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6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监理资料是否齐全、规范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是否能够按合同要求办理工程竣工移交手续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11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配合情况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4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是否能够</w:t>
            </w:r>
            <w:r>
              <w:rPr>
                <w:rFonts w:hint="eastAsia" w:ascii="Calibri" w:hAnsi="Calibri" w:eastAsia="宋体" w:cs="Times New Roman"/>
                <w:color w:val="000000"/>
                <w:szCs w:val="21"/>
                <w:u w:val="none"/>
              </w:rPr>
              <w:t>按合同约定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配合建设单位及其他相关部门的工作和依法推动施工单位的工作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12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诚信情况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10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是否有在没有得到相应许可的情况下，对外公开涉及任何机密资料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是否有串通相关单位弄虚作假现象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是否有对违法违规行为隐瞒不报情况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13</w:t>
            </w:r>
          </w:p>
        </w:tc>
        <w:tc>
          <w:tcPr>
            <w:tcW w:w="213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合计</w:t>
            </w:r>
          </w:p>
        </w:tc>
        <w:tc>
          <w:tcPr>
            <w:tcW w:w="74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100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Times New Roman"/>
                <w:szCs w:val="21"/>
                <w:u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0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注：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、工程建设单位可结合其工程特点和具体要求，增加和量化具体评分指标（仅限于二级指标的内容、分值、权重，一级指标项及分值、权重不得调整），制定评分表，并按百分制将分项分值进行折算调整。</w:t>
            </w:r>
          </w:p>
          <w:p>
            <w:pPr>
              <w:spacing w:line="560" w:lineRule="exact"/>
              <w:ind w:firstLine="420" w:firstLineChars="200"/>
              <w:rPr>
                <w:rFonts w:ascii="宋体" w:hAnsi="宋体" w:eastAsia="宋体" w:cs="Times New Roman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、规定的评分指标中，招标文件或者合同无委托实施的内容，或者在定期履约评价时尚不具备评价条件的，不计入评分，对总得分按百分制进行折算。</w:t>
            </w:r>
          </w:p>
          <w:p>
            <w:pPr>
              <w:widowControl/>
              <w:spacing w:line="560" w:lineRule="exact"/>
              <w:ind w:firstLine="420" w:firstLineChars="200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、每一评价指标的量化分值为最高分，建设单位可根据承包商的履约情况在最高分基础上扣分，扣分精确至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 xml:space="preserve">0.5 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0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szCs w:val="21"/>
                <w:u w:val="none"/>
              </w:rPr>
            </w:pPr>
          </w:p>
          <w:p>
            <w:pPr>
              <w:spacing w:line="560" w:lineRule="exact"/>
              <w:ind w:firstLine="5460" w:firstLineChars="2600"/>
              <w:rPr>
                <w:rFonts w:ascii="宋体" w:hAnsi="宋体" w:eastAsia="宋体" w:cs="Times New Roman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评价人签字：</w:t>
            </w:r>
          </w:p>
          <w:p>
            <w:pPr>
              <w:spacing w:line="560" w:lineRule="exact"/>
              <w:ind w:firstLine="6930" w:firstLineChars="3300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年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月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日</w:t>
            </w:r>
          </w:p>
        </w:tc>
      </w:tr>
    </w:tbl>
    <w:p>
      <w:pPr>
        <w:spacing w:line="560" w:lineRule="exact"/>
        <w:rPr>
          <w:rFonts w:ascii="宋体" w:hAnsi="宋体" w:eastAsia="宋体" w:cs="Times New Roman"/>
          <w:szCs w:val="21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B1C33"/>
    <w:rsid w:val="72CB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0"/>
      <w:sz w:val="2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2022-01-11T06:54:00Z</dcterms:created>
  <dc:creator>林柔贤</dc:creator>
  <cp:lastModifiedBy>林柔贤</cp:lastModifiedBy>
  <dcterms:modified xsi:type="dcterms:W3CDTF">2022-01-11T06:55:16Z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