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4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</w:rPr>
        <w:t>坪山区建设工程承包商（施工）履约评分标准表</w:t>
      </w:r>
    </w:p>
    <w:bookmarkEnd w:id="0"/>
    <w:tbl>
      <w:tblPr>
        <w:tblStyle w:val="4"/>
        <w:tblW w:w="8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107"/>
        <w:gridCol w:w="1024"/>
        <w:gridCol w:w="749"/>
        <w:gridCol w:w="1069"/>
        <w:gridCol w:w="1075"/>
        <w:gridCol w:w="1480"/>
        <w:gridCol w:w="709"/>
        <w:gridCol w:w="7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</w:rPr>
              <w:t>评价形式</w:t>
            </w:r>
          </w:p>
        </w:tc>
        <w:tc>
          <w:tcPr>
            <w:tcW w:w="68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210" w:firstLineChars="100"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□单项工程定期履约评价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□单项工程最终履约评价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</w:rPr>
              <w:t>工程名称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</w:rPr>
              <w:t>承包商</w:t>
            </w:r>
          </w:p>
        </w:tc>
        <w:tc>
          <w:tcPr>
            <w:tcW w:w="2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</w:rPr>
              <w:t>总得分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</w:rPr>
              <w:t>评价等级</w:t>
            </w:r>
          </w:p>
        </w:tc>
        <w:tc>
          <w:tcPr>
            <w:tcW w:w="2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</w:rPr>
              <w:t>□优秀</w:t>
            </w: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</w:rPr>
              <w:t>□良好</w:t>
            </w:r>
          </w:p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 xml:space="preserve">  □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</w:rPr>
              <w:t>一般</w:t>
            </w: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</w:rPr>
              <w:t>□不合格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</w:rPr>
              <w:t>建设单位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</w:rPr>
              <w:t>评价时间</w:t>
            </w:r>
          </w:p>
        </w:tc>
        <w:tc>
          <w:tcPr>
            <w:tcW w:w="2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年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月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</w:rPr>
              <w:t>序号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</w:rPr>
              <w:t>分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</w:rPr>
              <w:t>项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</w:rPr>
              <w:t>内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</w:rPr>
              <w:t>容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</w:rPr>
              <w:t>满分分值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</w:rPr>
              <w:t>评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</w:rPr>
              <w:t>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</w:rPr>
              <w:t>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</w:rPr>
              <w:t>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  <w:t>扣分标准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u w:val="none"/>
              </w:rPr>
              <w:t>一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u w:val="none"/>
              </w:rPr>
              <w:t>机构人员配备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10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213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项目经理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4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与投标承诺或者合同是否一致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57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是否有常驻现场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57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是否称职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7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未经建设单位同意擅自更换项目经理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2</w:t>
            </w:r>
          </w:p>
        </w:tc>
        <w:tc>
          <w:tcPr>
            <w:tcW w:w="213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其他管理人员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3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是否按规定到位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人员专业、数量是否满足工程要求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是否具有相应的管理能力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3</w:t>
            </w:r>
          </w:p>
        </w:tc>
        <w:tc>
          <w:tcPr>
            <w:tcW w:w="213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工程作业人员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3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是否有进行教育培训考核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特殊工种是否有持证上岗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持证作业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>人员配备是否符合规定要求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u w:val="none"/>
              </w:rPr>
              <w:t>二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u w:val="none"/>
              </w:rPr>
              <w:t>技术经济实力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10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4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财务实力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2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是否有及时支付各项费用开支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5</w:t>
            </w:r>
          </w:p>
        </w:tc>
        <w:tc>
          <w:tcPr>
            <w:tcW w:w="213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Times New Roman"/>
                <w:szCs w:val="21"/>
                <w:u w:val="none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技术实力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4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是否有相应的技术实力履行合同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施工总体部署、方法及程序是否优化合理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施工重点、难点问题是否能有效解决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是否有进行工程深化设计的能力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6</w:t>
            </w:r>
          </w:p>
        </w:tc>
        <w:tc>
          <w:tcPr>
            <w:tcW w:w="213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机械、材料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2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机械设备是否有按投标承诺或者合同配置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机械、材料是否有按工程需求及时进出施工现场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7</w:t>
            </w:r>
          </w:p>
        </w:tc>
        <w:tc>
          <w:tcPr>
            <w:tcW w:w="213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应急处置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2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是否有建立应急预案和工作机构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紧急发生事件是否能高质高效处理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u w:val="none"/>
              </w:rPr>
              <w:t>三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u w:val="none"/>
              </w:rPr>
              <w:t>施工过程管理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40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8</w:t>
            </w:r>
          </w:p>
        </w:tc>
        <w:tc>
          <w:tcPr>
            <w:tcW w:w="213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施工质量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13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是否有使用不合格材料设备或者偷工减料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是否对工程材料进行质量检查检验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是否将隐蔽工程及时报监理单位验收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Times New Roman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工程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>质量总体合格率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发生质量问题时是否能及时按要求整改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9</w:t>
            </w:r>
          </w:p>
        </w:tc>
        <w:tc>
          <w:tcPr>
            <w:tcW w:w="21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施工安全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15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危大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>工程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是否按照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>规定建立安全管理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制度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Times New Roman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Times New Roman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是否对工程机械设备进行定期维护检查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施工安全防护设施是否到位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是否存在施工安全隐患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10</w:t>
            </w:r>
          </w:p>
        </w:tc>
        <w:tc>
          <w:tcPr>
            <w:tcW w:w="213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文明施工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6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施工场地总体布置是否合理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施工现场是否有主动采取环境保护措施（包括噪音、扬尘等）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11</w:t>
            </w:r>
          </w:p>
        </w:tc>
        <w:tc>
          <w:tcPr>
            <w:tcW w:w="213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成本管控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6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是否有合理控制工程成本和主动提出优化节约方案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是否做到按合同要求办理工程变更（含签证）、工程结算等手续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工程计量、变更签证和预结算是否准确、实事求是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u w:val="none"/>
              </w:rPr>
              <w:t>四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u w:val="none"/>
              </w:rPr>
              <w:t>进度控制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20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12</w:t>
            </w:r>
          </w:p>
        </w:tc>
        <w:tc>
          <w:tcPr>
            <w:tcW w:w="213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工期控制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20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是否有主动控制工程的各阶段工期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总体及阶段性工期计划以及控制措施是否科学合理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发现工程进度有落后时是否及时采取补救措施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是否因施工单位原因导致实际工期超过合同工期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u w:val="none"/>
              </w:rPr>
              <w:t>五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u w:val="none"/>
              </w:rPr>
              <w:t>配合与服务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10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Times New Roman"/>
                <w:szCs w:val="21"/>
                <w:u w:val="none"/>
              </w:rPr>
              <w:t>13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履约准备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2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是否能够及时地按照要求提交履约保函、签订合同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Times New Roman"/>
                <w:szCs w:val="21"/>
                <w:u w:val="none"/>
              </w:rPr>
              <w:t>14</w:t>
            </w:r>
          </w:p>
        </w:tc>
        <w:tc>
          <w:tcPr>
            <w:tcW w:w="213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工程分包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3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劳务、专业工程是否有按规定进行分包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continue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Times New Roman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Times New Roman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Times New Roman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>存在转包、违法分包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总包商对分包商是否有进行全面有效的管理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15</w:t>
            </w:r>
          </w:p>
        </w:tc>
        <w:tc>
          <w:tcPr>
            <w:tcW w:w="213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竣工移交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3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竣工资料是否齐全、规范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是否能够按合同要求办理工程竣工验收及移交手续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竣工结算资料是否按合同要求及时提交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16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配合情况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2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是否能够</w:t>
            </w:r>
            <w:r>
              <w:rPr>
                <w:rFonts w:hint="eastAsia" w:ascii="Calibri" w:hAnsi="Calibri" w:eastAsia="宋体" w:cs="Times New Roman"/>
                <w:color w:val="000000"/>
                <w:szCs w:val="21"/>
                <w:u w:val="none"/>
              </w:rPr>
              <w:t>按合同约定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配合建设单位、监理单位及其他相关部门的工作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u w:val="none"/>
              </w:rPr>
              <w:t>六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u w:val="none"/>
              </w:rPr>
              <w:t>资金支付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10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Times New Roman"/>
                <w:szCs w:val="21"/>
                <w:u w:val="none"/>
              </w:rPr>
              <w:t>17</w:t>
            </w:r>
          </w:p>
        </w:tc>
        <w:tc>
          <w:tcPr>
            <w:tcW w:w="2131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工资支付</w:t>
            </w: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8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是否落实建筑工人实名制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2131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是否设立专用账户发放建筑工人工资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Times New Roman"/>
                <w:szCs w:val="21"/>
                <w:u w:val="none"/>
              </w:rPr>
              <w:t>18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工程款支付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是否有发生过因拖欠分包商工程款引发投诉上访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Times New Roman"/>
                <w:szCs w:val="21"/>
                <w:u w:val="none"/>
              </w:rPr>
              <w:t>19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材料款支付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是否有发生过因拖欠供应商材料款引发投诉上访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7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Times New Roman"/>
                <w:szCs w:val="21"/>
                <w:u w:val="none"/>
              </w:rPr>
            </w:pPr>
            <w:r>
              <w:rPr>
                <w:rFonts w:ascii="宋体" w:hAnsi="宋体" w:eastAsia="宋体" w:cs="Times New Roman"/>
                <w:szCs w:val="21"/>
                <w:u w:val="none"/>
              </w:rPr>
              <w:t>20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Times New Roman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合计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:u w:val="none"/>
              </w:rPr>
              <w:t>100</w:t>
            </w:r>
          </w:p>
        </w:tc>
        <w:tc>
          <w:tcPr>
            <w:tcW w:w="36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eastAsia="宋体" w:cs="Times New Roman"/>
                <w:szCs w:val="21"/>
                <w:u w:val="none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Cs w:val="21"/>
                <w:u w:val="none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0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宋体" w:hAnsi="宋体" w:eastAsia="宋体" w:cs="Times New Roman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注：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、工程建设单位可结合其工程特点和具体要求，增加和量化具体评分指标（仅限于二级指标的内容、分值、权重，一级指标项及分值、权重不得调整），制定评分表，并按百分制将分项分值进行折算调整。</w:t>
            </w:r>
          </w:p>
          <w:p>
            <w:pPr>
              <w:spacing w:line="560" w:lineRule="exact"/>
              <w:ind w:firstLine="420" w:firstLineChars="200"/>
              <w:rPr>
                <w:rFonts w:ascii="宋体" w:hAnsi="宋体" w:eastAsia="宋体" w:cs="Times New Roman"/>
                <w:szCs w:val="21"/>
                <w:u w:val="none"/>
              </w:rPr>
            </w:pPr>
            <w:r>
              <w:rPr>
                <w:rFonts w:ascii="宋体" w:hAnsi="宋体" w:eastAsia="宋体" w:cs="Times New Roman"/>
                <w:szCs w:val="21"/>
                <w:u w:val="none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、规定的评分指标中，招标文件或者合同无委托实施的内容，或者在定期履约评价时尚不具备评价条件的，不计入评分，对总得分按百分制进行折算。</w:t>
            </w:r>
          </w:p>
          <w:p>
            <w:pPr>
              <w:widowControl/>
              <w:spacing w:line="560" w:lineRule="exact"/>
              <w:ind w:firstLine="420" w:firstLineChars="200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Times New Roman"/>
                <w:szCs w:val="21"/>
                <w:u w:val="none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、每一评价指标的量化分值为最高分，建设单位可根据承包商的履约情况在最高分基础上扣分，扣分精确至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 xml:space="preserve">0.5 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50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5460" w:firstLineChars="2600"/>
              <w:rPr>
                <w:rFonts w:ascii="宋体" w:hAnsi="宋体" w:eastAsia="宋体" w:cs="Times New Roman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评价人签字：</w:t>
            </w:r>
          </w:p>
          <w:p>
            <w:pPr>
              <w:spacing w:line="560" w:lineRule="exact"/>
              <w:ind w:firstLine="6930" w:firstLineChars="3300"/>
              <w:rPr>
                <w:rFonts w:ascii="宋体" w:hAnsi="宋体" w:eastAsia="宋体" w:cs="宋体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年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月</w:t>
            </w:r>
            <w:r>
              <w:rPr>
                <w:rFonts w:ascii="宋体" w:hAnsi="宋体" w:eastAsia="宋体" w:cs="Times New Roman"/>
                <w:szCs w:val="21"/>
                <w:u w:val="none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  <w:u w:val="none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A180D"/>
    <w:rsid w:val="1E6A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0"/>
      <w:sz w:val="20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2022-01-11T06:54:00Z</dcterms:created>
  <dc:creator>林柔贤</dc:creator>
  <cp:lastModifiedBy>林柔贤</cp:lastModifiedBy>
  <dcterms:modified xsi:type="dcterms:W3CDTF">2022-01-11T06:54:46Z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