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u w:val="none"/>
        </w:rPr>
      </w:pPr>
      <w:r>
        <w:rPr>
          <w:rFonts w:hint="eastAsia" w:ascii="黑体" w:hAnsi="黑体" w:eastAsia="黑体" w:cs="黑体"/>
          <w:sz w:val="32"/>
          <w:szCs w:val="32"/>
          <w:u w:val="none"/>
        </w:rPr>
        <w:t>附件</w:t>
      </w:r>
      <w:r>
        <w:rPr>
          <w:rFonts w:ascii="黑体" w:hAnsi="黑体" w:eastAsia="黑体" w:cs="黑体"/>
          <w:sz w:val="32"/>
          <w:szCs w:val="32"/>
          <w:u w:val="none"/>
        </w:rPr>
        <w:t>3</w:t>
      </w:r>
    </w:p>
    <w:p>
      <w:pPr>
        <w:spacing w:line="560" w:lineRule="exact"/>
        <w:jc w:val="center"/>
        <w:rPr>
          <w:rFonts w:ascii="方正小标宋简体" w:hAnsi="方正小标宋简体" w:eastAsia="方正小标宋简体" w:cs="方正小标宋简体"/>
          <w:sz w:val="32"/>
          <w:szCs w:val="32"/>
          <w:u w:val="none"/>
        </w:rPr>
      </w:pPr>
      <w:bookmarkStart w:id="0" w:name="_GoBack"/>
      <w:r>
        <w:rPr>
          <w:rFonts w:hint="eastAsia" w:ascii="方正小标宋简体" w:hAnsi="方正小标宋简体" w:eastAsia="方正小标宋简体" w:cs="方正小标宋简体"/>
          <w:sz w:val="32"/>
          <w:szCs w:val="32"/>
          <w:u w:val="none"/>
        </w:rPr>
        <w:t>坪山区建设工程承包商（设计）履约评分标准表</w:t>
      </w:r>
    </w:p>
    <w:bookmarkEnd w:id="0"/>
    <w:tbl>
      <w:tblPr>
        <w:tblStyle w:val="4"/>
        <w:tblW w:w="8500" w:type="dxa"/>
        <w:tblInd w:w="0" w:type="dxa"/>
        <w:tblLayout w:type="fixed"/>
        <w:tblCellMar>
          <w:top w:w="0" w:type="dxa"/>
          <w:left w:w="108" w:type="dxa"/>
          <w:bottom w:w="0" w:type="dxa"/>
          <w:right w:w="108" w:type="dxa"/>
        </w:tblCellMar>
      </w:tblPr>
      <w:tblGrid>
        <w:gridCol w:w="579"/>
        <w:gridCol w:w="1107"/>
        <w:gridCol w:w="436"/>
        <w:gridCol w:w="708"/>
        <w:gridCol w:w="1698"/>
        <w:gridCol w:w="854"/>
        <w:gridCol w:w="221"/>
        <w:gridCol w:w="2472"/>
        <w:gridCol w:w="425"/>
      </w:tblGrid>
      <w:tr>
        <w:tblPrEx>
          <w:tblLayout w:type="fixed"/>
          <w:tblCellMar>
            <w:top w:w="0" w:type="dxa"/>
            <w:left w:w="108" w:type="dxa"/>
            <w:bottom w:w="0" w:type="dxa"/>
            <w:right w:w="108" w:type="dxa"/>
          </w:tblCellMar>
        </w:tblPrEx>
        <w:trPr>
          <w:trHeight w:val="448" w:hRule="atLeast"/>
        </w:trPr>
        <w:tc>
          <w:tcPr>
            <w:tcW w:w="1686" w:type="dxa"/>
            <w:gridSpan w:val="2"/>
            <w:tcBorders>
              <w:top w:val="single" w:color="auto" w:sz="4" w:space="0"/>
              <w:left w:val="single" w:color="auto" w:sz="4" w:space="0"/>
              <w:bottom w:val="single" w:color="auto" w:sz="4" w:space="0"/>
              <w:right w:val="single" w:color="auto" w:sz="4" w:space="0"/>
            </w:tcBorders>
            <w:vAlign w:val="top"/>
          </w:tcPr>
          <w:p>
            <w:pPr>
              <w:widowControl/>
              <w:spacing w:line="560" w:lineRule="exact"/>
              <w:jc w:val="center"/>
              <w:rPr>
                <w:rFonts w:ascii="宋体" w:hAnsi="宋体" w:eastAsia="宋体" w:cs="宋体"/>
                <w:b/>
                <w:bCs/>
                <w:kern w:val="0"/>
                <w:sz w:val="44"/>
                <w:szCs w:val="44"/>
                <w:u w:val="none"/>
              </w:rPr>
            </w:pPr>
            <w:r>
              <w:rPr>
                <w:rFonts w:hint="eastAsia" w:ascii="宋体" w:hAnsi="宋体" w:eastAsia="宋体" w:cs="宋体"/>
                <w:kern w:val="0"/>
                <w:szCs w:val="21"/>
                <w:u w:val="none"/>
              </w:rPr>
              <w:t>评价形式</w:t>
            </w:r>
          </w:p>
        </w:tc>
        <w:tc>
          <w:tcPr>
            <w:tcW w:w="6814" w:type="dxa"/>
            <w:gridSpan w:val="7"/>
            <w:tcBorders>
              <w:top w:val="single" w:color="auto" w:sz="4" w:space="0"/>
              <w:left w:val="single" w:color="auto" w:sz="4" w:space="0"/>
              <w:bottom w:val="single" w:color="auto" w:sz="4" w:space="0"/>
              <w:right w:val="single" w:color="auto" w:sz="4" w:space="0"/>
            </w:tcBorders>
            <w:vAlign w:val="top"/>
          </w:tcPr>
          <w:p>
            <w:pPr>
              <w:widowControl/>
              <w:spacing w:line="560" w:lineRule="exact"/>
              <w:ind w:firstLine="210" w:firstLineChars="100"/>
              <w:rPr>
                <w:rFonts w:ascii="宋体" w:hAnsi="宋体" w:eastAsia="宋体" w:cs="宋体"/>
                <w:b/>
                <w:bCs/>
                <w:kern w:val="0"/>
                <w:sz w:val="44"/>
                <w:szCs w:val="44"/>
                <w:u w:val="none"/>
              </w:rPr>
            </w:pPr>
            <w:r>
              <w:rPr>
                <w:rFonts w:hint="eastAsia" w:ascii="宋体" w:hAnsi="宋体" w:eastAsia="宋体" w:cs="Times New Roman"/>
                <w:szCs w:val="21"/>
                <w:u w:val="none"/>
              </w:rPr>
              <w:t>□单项工程定期履约评价</w:t>
            </w:r>
            <w:r>
              <w:rPr>
                <w:rFonts w:ascii="宋体" w:hAnsi="宋体" w:eastAsia="宋体" w:cs="Times New Roman"/>
                <w:szCs w:val="21"/>
                <w:u w:val="none"/>
              </w:rPr>
              <w:t xml:space="preserve">    </w:t>
            </w:r>
            <w:r>
              <w:rPr>
                <w:rFonts w:hint="eastAsia" w:ascii="宋体" w:hAnsi="宋体" w:eastAsia="宋体" w:cs="Times New Roman"/>
                <w:szCs w:val="21"/>
                <w:u w:val="none"/>
              </w:rPr>
              <w:t>□单项工程最终履约评价</w:t>
            </w:r>
          </w:p>
        </w:tc>
      </w:tr>
      <w:tr>
        <w:tblPrEx>
          <w:tblLayout w:type="fixed"/>
          <w:tblCellMar>
            <w:top w:w="0" w:type="dxa"/>
            <w:left w:w="108" w:type="dxa"/>
            <w:bottom w:w="0" w:type="dxa"/>
            <w:right w:w="108" w:type="dxa"/>
          </w:tblCellMar>
        </w:tblPrEx>
        <w:trPr>
          <w:trHeight w:val="411"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工程名称</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承包商</w:t>
            </w:r>
          </w:p>
        </w:tc>
        <w:tc>
          <w:tcPr>
            <w:tcW w:w="289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r>
      <w:tr>
        <w:tblPrEx>
          <w:tblLayout w:type="fixed"/>
          <w:tblCellMar>
            <w:top w:w="0" w:type="dxa"/>
            <w:left w:w="108" w:type="dxa"/>
            <w:bottom w:w="0" w:type="dxa"/>
            <w:right w:w="108" w:type="dxa"/>
          </w:tblCellMar>
        </w:tblPrEx>
        <w:trPr>
          <w:trHeight w:val="517"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总得分</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评价等级</w:t>
            </w:r>
          </w:p>
        </w:tc>
        <w:tc>
          <w:tcPr>
            <w:tcW w:w="289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□优秀</w:t>
            </w:r>
            <w:r>
              <w:rPr>
                <w:rFonts w:ascii="宋体" w:hAnsi="宋体" w:eastAsia="宋体" w:cs="宋体"/>
                <w:kern w:val="0"/>
                <w:szCs w:val="21"/>
                <w:u w:val="none"/>
              </w:rPr>
              <w:t xml:space="preserve">  </w:t>
            </w:r>
            <w:r>
              <w:rPr>
                <w:rFonts w:hint="eastAsia" w:ascii="宋体" w:hAnsi="宋体" w:eastAsia="宋体" w:cs="宋体"/>
                <w:kern w:val="0"/>
                <w:szCs w:val="21"/>
                <w:u w:val="none"/>
              </w:rPr>
              <w:t>□良好</w:t>
            </w:r>
          </w:p>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 xml:space="preserve">  □</w:t>
            </w:r>
            <w:r>
              <w:rPr>
                <w:rFonts w:hint="eastAsia" w:ascii="宋体" w:hAnsi="宋体" w:eastAsia="宋体" w:cs="宋体"/>
                <w:kern w:val="0"/>
                <w:szCs w:val="21"/>
                <w:u w:val="none"/>
              </w:rPr>
              <w:t>一般</w:t>
            </w:r>
            <w:r>
              <w:rPr>
                <w:rFonts w:ascii="宋体" w:hAnsi="宋体" w:eastAsia="宋体" w:cs="宋体"/>
                <w:kern w:val="0"/>
                <w:szCs w:val="21"/>
                <w:u w:val="none"/>
              </w:rPr>
              <w:t xml:space="preserve">  </w:t>
            </w:r>
            <w:r>
              <w:rPr>
                <w:rFonts w:hint="eastAsia" w:ascii="宋体" w:hAnsi="宋体" w:eastAsia="宋体" w:cs="宋体"/>
                <w:kern w:val="0"/>
                <w:szCs w:val="21"/>
                <w:u w:val="none"/>
              </w:rPr>
              <w:t>□不合格</w:t>
            </w:r>
          </w:p>
        </w:tc>
      </w:tr>
      <w:tr>
        <w:tblPrEx>
          <w:tblLayout w:type="fixed"/>
          <w:tblCellMar>
            <w:top w:w="0" w:type="dxa"/>
            <w:left w:w="108" w:type="dxa"/>
            <w:bottom w:w="0" w:type="dxa"/>
            <w:right w:w="108" w:type="dxa"/>
          </w:tblCellMar>
        </w:tblPrEx>
        <w:trPr>
          <w:trHeight w:val="313" w:hRule="atLeast"/>
        </w:trPr>
        <w:tc>
          <w:tcPr>
            <w:tcW w:w="168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建设单位</w:t>
            </w:r>
          </w:p>
        </w:tc>
        <w:tc>
          <w:tcPr>
            <w:tcW w:w="2842"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075"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评价时间</w:t>
            </w:r>
          </w:p>
        </w:tc>
        <w:tc>
          <w:tcPr>
            <w:tcW w:w="2897"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年</w:t>
            </w:r>
            <w:r>
              <w:rPr>
                <w:rFonts w:ascii="宋体" w:hAnsi="宋体" w:eastAsia="宋体" w:cs="Times New Roman"/>
                <w:szCs w:val="21"/>
                <w:u w:val="none"/>
              </w:rPr>
              <w:t xml:space="preserve">   </w:t>
            </w:r>
            <w:r>
              <w:rPr>
                <w:rFonts w:hint="eastAsia" w:ascii="宋体" w:hAnsi="宋体" w:eastAsia="宋体" w:cs="Times New Roman"/>
                <w:szCs w:val="21"/>
                <w:u w:val="none"/>
              </w:rPr>
              <w:t>月</w:t>
            </w:r>
            <w:r>
              <w:rPr>
                <w:rFonts w:ascii="宋体" w:hAnsi="宋体" w:eastAsia="宋体" w:cs="Times New Roman"/>
                <w:szCs w:val="21"/>
                <w:u w:val="none"/>
              </w:rPr>
              <w:t xml:space="preserve">   </w:t>
            </w:r>
            <w:r>
              <w:rPr>
                <w:rFonts w:hint="eastAsia" w:ascii="宋体" w:hAnsi="宋体" w:eastAsia="宋体" w:cs="Times New Roman"/>
                <w:szCs w:val="21"/>
                <w:u w:val="none"/>
              </w:rPr>
              <w:t>日</w:t>
            </w:r>
          </w:p>
        </w:tc>
      </w:tr>
      <w:tr>
        <w:tblPrEx>
          <w:tblLayout w:type="fixed"/>
          <w:tblCellMar>
            <w:top w:w="0" w:type="dxa"/>
            <w:left w:w="108" w:type="dxa"/>
            <w:bottom w:w="0" w:type="dxa"/>
            <w:right w:w="108" w:type="dxa"/>
          </w:tblCellMar>
        </w:tblPrEx>
        <w:trPr>
          <w:trHeight w:val="57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序号</w:t>
            </w:r>
          </w:p>
        </w:tc>
        <w:tc>
          <w:tcPr>
            <w:tcW w:w="1543"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分项内容</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满分分值</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评价标准</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评分</w:t>
            </w:r>
            <w:r>
              <w:rPr>
                <w:rFonts w:ascii="宋体" w:hAnsi="宋体" w:eastAsia="宋体" w:cs="宋体"/>
                <w:kern w:val="0"/>
                <w:sz w:val="18"/>
                <w:szCs w:val="18"/>
                <w:u w:val="none"/>
              </w:rPr>
              <w:t>标准</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r>
              <w:rPr>
                <w:rFonts w:hint="eastAsia" w:ascii="宋体" w:hAnsi="宋体" w:eastAsia="宋体" w:cs="宋体"/>
                <w:kern w:val="0"/>
                <w:sz w:val="18"/>
                <w:szCs w:val="18"/>
                <w:u w:val="none"/>
              </w:rPr>
              <w:t>得分</w:t>
            </w:r>
          </w:p>
        </w:tc>
      </w:tr>
      <w:tr>
        <w:tblPrEx>
          <w:tblLayout w:type="fixed"/>
          <w:tblCellMar>
            <w:top w:w="0" w:type="dxa"/>
            <w:left w:w="108" w:type="dxa"/>
            <w:bottom w:w="0" w:type="dxa"/>
            <w:right w:w="108" w:type="dxa"/>
          </w:tblCellMar>
        </w:tblPrEx>
        <w:trPr>
          <w:trHeight w:val="299"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黑体" w:hAnsi="黑体" w:eastAsia="黑体" w:cs="宋体"/>
                <w:kern w:val="0"/>
                <w:sz w:val="24"/>
                <w:szCs w:val="24"/>
                <w:u w:val="none"/>
              </w:rPr>
              <w:t>一</w:t>
            </w:r>
          </w:p>
        </w:tc>
        <w:tc>
          <w:tcPr>
            <w:tcW w:w="1543"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hint="eastAsia" w:ascii="黑体" w:hAnsi="黑体" w:eastAsia="黑体" w:cs="宋体"/>
                <w:kern w:val="0"/>
                <w:sz w:val="24"/>
                <w:szCs w:val="24"/>
                <w:u w:val="none"/>
              </w:rPr>
              <w:t>人员配置</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10</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446"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1</w:t>
            </w:r>
          </w:p>
        </w:tc>
        <w:tc>
          <w:tcPr>
            <w:tcW w:w="1543"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主要人员</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r>
              <w:rPr>
                <w:rFonts w:hint="eastAsia" w:ascii="宋体" w:hAnsi="宋体" w:eastAsia="宋体" w:cs="Times New Roman"/>
                <w:szCs w:val="21"/>
                <w:u w:val="none"/>
              </w:rPr>
              <w:t>项目负责人是否按合同到位</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r>
              <w:rPr>
                <w:rFonts w:hint="eastAsia" w:ascii="宋体" w:hAnsi="宋体" w:eastAsia="宋体" w:cs="Times New Roman"/>
                <w:szCs w:val="21"/>
                <w:u w:val="none"/>
              </w:rPr>
              <w:t>未按合同到位扣</w:t>
            </w:r>
            <w:r>
              <w:rPr>
                <w:rFonts w:ascii="宋体" w:hAnsi="宋体" w:eastAsia="宋体" w:cs="Times New Roman"/>
                <w:szCs w:val="21"/>
                <w:u w:val="none"/>
              </w:rPr>
              <w:t>5</w:t>
            </w:r>
            <w:r>
              <w:rPr>
                <w:rFonts w:hint="eastAsia" w:ascii="宋体" w:hAnsi="宋体" w:eastAsia="宋体" w:cs="Times New Roman"/>
                <w:szCs w:val="21"/>
                <w:u w:val="none"/>
              </w:rPr>
              <w:t>分。</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431" w:hRule="atLeast"/>
        </w:trPr>
        <w:tc>
          <w:tcPr>
            <w:tcW w:w="579" w:type="dxa"/>
            <w:vMerge w:val="continue"/>
            <w:tcBorders>
              <w:left w:val="single" w:color="auto" w:sz="8" w:space="0"/>
              <w:bottom w:val="single" w:color="auto" w:sz="4" w:space="0"/>
              <w:right w:val="single" w:color="auto" w:sz="4" w:space="0"/>
            </w:tcBorders>
            <w:vAlign w:val="center"/>
          </w:tcPr>
          <w:p>
            <w:pPr>
              <w:widowControl/>
              <w:spacing w:line="560" w:lineRule="exact"/>
              <w:jc w:val="center"/>
              <w:rPr>
                <w:rFonts w:ascii="黑体" w:hAnsi="黑体" w:eastAsia="黑体" w:cs="宋体"/>
                <w:kern w:val="0"/>
                <w:szCs w:val="21"/>
                <w:u w:val="none"/>
              </w:rPr>
            </w:pPr>
          </w:p>
        </w:tc>
        <w:tc>
          <w:tcPr>
            <w:tcW w:w="1543"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黑体" w:hAnsi="黑体" w:eastAsia="黑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r>
              <w:rPr>
                <w:rFonts w:hint="eastAsia" w:ascii="宋体" w:hAnsi="宋体" w:eastAsia="宋体" w:cs="Times New Roman"/>
                <w:szCs w:val="21"/>
                <w:u w:val="none"/>
              </w:rPr>
              <w:t>项目技术负责人以及设计人</w:t>
            </w:r>
            <w:r>
              <w:rPr>
                <w:rFonts w:ascii="宋体" w:hAnsi="宋体" w:eastAsia="宋体" w:cs="Times New Roman"/>
                <w:szCs w:val="21"/>
                <w:u w:val="none"/>
              </w:rPr>
              <w:t>、审核人、审定人</w:t>
            </w:r>
            <w:r>
              <w:rPr>
                <w:rFonts w:hint="eastAsia" w:ascii="宋体" w:hAnsi="宋体" w:eastAsia="宋体" w:cs="Times New Roman"/>
                <w:szCs w:val="21"/>
                <w:u w:val="none"/>
              </w:rPr>
              <w:t>和</w:t>
            </w:r>
            <w:r>
              <w:rPr>
                <w:rFonts w:ascii="宋体" w:hAnsi="宋体" w:eastAsia="宋体" w:cs="Times New Roman"/>
                <w:szCs w:val="21"/>
                <w:u w:val="none"/>
              </w:rPr>
              <w:t>专业负责人</w:t>
            </w:r>
            <w:r>
              <w:rPr>
                <w:rFonts w:hint="eastAsia" w:ascii="宋体" w:hAnsi="宋体" w:eastAsia="宋体" w:cs="Times New Roman"/>
                <w:szCs w:val="21"/>
                <w:u w:val="none"/>
              </w:rPr>
              <w:t>等主要技术人员是否按合同到位</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480" w:lineRule="exact"/>
              <w:rPr>
                <w:rFonts w:ascii="宋体" w:hAnsi="宋体" w:eastAsia="宋体" w:cs="宋体"/>
                <w:kern w:val="0"/>
                <w:sz w:val="18"/>
                <w:szCs w:val="18"/>
                <w:u w:val="none"/>
              </w:rPr>
            </w:pPr>
            <w:r>
              <w:rPr>
                <w:rFonts w:hint="eastAsia" w:ascii="宋体" w:hAnsi="宋体" w:eastAsia="宋体" w:cs="Times New Roman"/>
                <w:szCs w:val="21"/>
                <w:u w:val="none"/>
              </w:rPr>
              <w:t>项目技术负责人、主要技术人员未按合同到位，未经建设单位同意擅自更换关键</w:t>
            </w:r>
            <w:r>
              <w:rPr>
                <w:rFonts w:ascii="宋体" w:hAnsi="宋体" w:eastAsia="宋体" w:cs="Times New Roman"/>
                <w:szCs w:val="21"/>
                <w:u w:val="none"/>
              </w:rPr>
              <w:t>岗位</w:t>
            </w:r>
            <w:r>
              <w:rPr>
                <w:rFonts w:hint="eastAsia" w:ascii="宋体" w:hAnsi="宋体" w:eastAsia="宋体" w:cs="Times New Roman"/>
                <w:szCs w:val="21"/>
                <w:u w:val="none"/>
              </w:rPr>
              <w:t>人员，每人次扣</w:t>
            </w:r>
            <w:r>
              <w:rPr>
                <w:rFonts w:ascii="宋体" w:hAnsi="宋体" w:eastAsia="宋体" w:cs="Times New Roman"/>
                <w:szCs w:val="21"/>
                <w:u w:val="none"/>
              </w:rPr>
              <w:t>3-5</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84"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二</w:t>
            </w:r>
          </w:p>
        </w:tc>
        <w:tc>
          <w:tcPr>
            <w:tcW w:w="1543"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设计质量</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55</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48" w:hRule="atLeast"/>
        </w:trPr>
        <w:tc>
          <w:tcPr>
            <w:tcW w:w="57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2</w:t>
            </w:r>
          </w:p>
        </w:tc>
        <w:tc>
          <w:tcPr>
            <w:tcW w:w="154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质量控制</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是否执行强制性标准</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每存在一处违反强制性标准的扣</w:t>
            </w:r>
            <w:r>
              <w:rPr>
                <w:rFonts w:ascii="宋体" w:hAnsi="宋体" w:eastAsia="宋体" w:cs="Times New Roman"/>
                <w:szCs w:val="21"/>
                <w:u w:val="none"/>
              </w:rPr>
              <w:t xml:space="preserve">2 </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703" w:hRule="atLeast"/>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8</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hint="eastAsia"/>
              </w:rPr>
            </w:pPr>
            <w:r>
              <w:rPr>
                <w:rFonts w:hint="eastAsia"/>
              </w:rPr>
              <w:t>是否因设计原因有缺项、漏项</w:t>
            </w:r>
          </w:p>
          <w:p>
            <w:pPr>
              <w:pStyle w:val="2"/>
            </w:pP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发现缺项、漏项的，每处扣</w:t>
            </w:r>
            <w:r>
              <w:rPr>
                <w:rFonts w:ascii="宋体" w:hAnsi="宋体" w:eastAsia="宋体" w:cs="Times New Roman"/>
                <w:szCs w:val="21"/>
                <w:u w:val="none"/>
              </w:rPr>
              <w:t>2</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31"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1543"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方案设计</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是否有针对性、对比性，论证是否充分</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没有针对性、对比性，论证不充分，每处扣</w:t>
            </w:r>
            <w:r>
              <w:rPr>
                <w:rFonts w:ascii="宋体" w:hAnsi="宋体" w:eastAsia="宋体" w:cs="Times New Roman"/>
                <w:szCs w:val="21"/>
                <w:u w:val="none"/>
              </w:rPr>
              <w:t xml:space="preserve">1 </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31"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是否落实建设单位的设计要求</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没有落实建设单位设计要求的，每处扣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是否满足功能需求、运行可靠、技术经济等指标</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未满足功能需求、运行可靠、技术经济等指标，每处扣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1543"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初步设计</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是否按照业主</w:t>
            </w:r>
            <w:r>
              <w:rPr>
                <w:rFonts w:ascii="宋体" w:hAnsi="宋体" w:eastAsia="宋体" w:cs="Times New Roman"/>
                <w:szCs w:val="21"/>
                <w:u w:val="none"/>
              </w:rPr>
              <w:t>要求</w:t>
            </w:r>
            <w:r>
              <w:rPr>
                <w:rFonts w:hint="eastAsia" w:ascii="宋体" w:hAnsi="宋体" w:eastAsia="宋体" w:cs="Times New Roman"/>
                <w:szCs w:val="21"/>
                <w:u w:val="none"/>
              </w:rPr>
              <w:t>提供完整的设计文件资料</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资料不全，每缺</w:t>
            </w:r>
            <w:r>
              <w:rPr>
                <w:rFonts w:ascii="宋体" w:hAnsi="宋体" w:eastAsia="宋体" w:cs="Times New Roman"/>
                <w:szCs w:val="21"/>
                <w:u w:val="none"/>
              </w:rPr>
              <w:t>1</w:t>
            </w:r>
            <w:r>
              <w:rPr>
                <w:rFonts w:hint="eastAsia" w:ascii="宋体" w:hAnsi="宋体" w:eastAsia="宋体" w:cs="Times New Roman"/>
                <w:szCs w:val="21"/>
                <w:u w:val="none"/>
              </w:rPr>
              <w:t>项扣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478" w:hRule="atLeast"/>
        </w:trPr>
        <w:tc>
          <w:tcPr>
            <w:tcW w:w="579" w:type="dxa"/>
            <w:vMerge w:val="continue"/>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是否达到初步设计深度</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达不到初步设计深度扣</w:t>
            </w:r>
            <w:r>
              <w:rPr>
                <w:rFonts w:ascii="宋体" w:hAnsi="宋体" w:eastAsia="宋体" w:cs="Times New Roman"/>
                <w:szCs w:val="21"/>
                <w:u w:val="none"/>
              </w:rPr>
              <w:t>3</w:t>
            </w:r>
            <w:r>
              <w:rPr>
                <w:rFonts w:hint="eastAsia" w:ascii="宋体" w:hAnsi="宋体" w:eastAsia="宋体" w:cs="Times New Roman"/>
                <w:szCs w:val="21"/>
                <w:u w:val="none"/>
              </w:rPr>
              <w:t>分。</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restart"/>
            <w:tcBorders>
              <w:top w:val="single" w:color="auto" w:sz="4" w:space="0"/>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5</w:t>
            </w:r>
          </w:p>
        </w:tc>
        <w:tc>
          <w:tcPr>
            <w:tcW w:w="1543" w:type="dxa"/>
            <w:gridSpan w:val="2"/>
            <w:vMerge w:val="restart"/>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施工图设计</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是否按照要求提供完整的设计文件资料</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资料不全，每缺</w:t>
            </w:r>
            <w:r>
              <w:rPr>
                <w:rFonts w:ascii="宋体" w:hAnsi="宋体" w:eastAsia="宋体" w:cs="Times New Roman"/>
                <w:szCs w:val="21"/>
                <w:u w:val="none"/>
              </w:rPr>
              <w:t>1</w:t>
            </w:r>
            <w:r>
              <w:rPr>
                <w:rFonts w:hint="eastAsia" w:ascii="宋体" w:hAnsi="宋体" w:eastAsia="宋体" w:cs="Times New Roman"/>
                <w:szCs w:val="21"/>
                <w:u w:val="none"/>
              </w:rPr>
              <w:t>项扣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是否达到施工图设计深度</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达不到施工图设计深度扣</w:t>
            </w:r>
            <w:r>
              <w:rPr>
                <w:rFonts w:ascii="宋体" w:hAnsi="宋体" w:eastAsia="宋体" w:cs="Times New Roman"/>
                <w:szCs w:val="21"/>
                <w:u w:val="none"/>
              </w:rPr>
              <w:t>3</w:t>
            </w:r>
            <w:r>
              <w:rPr>
                <w:rFonts w:hint="eastAsia" w:ascii="宋体" w:hAnsi="宋体" w:eastAsia="宋体" w:cs="Times New Roman"/>
                <w:szCs w:val="21"/>
                <w:u w:val="none"/>
              </w:rPr>
              <w:t>分。</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6</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是否达到各专业条件无较大错漏、冲突</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每发现一处各专业错漏、冲突扣</w:t>
            </w:r>
            <w:r>
              <w:rPr>
                <w:rFonts w:ascii="宋体" w:hAnsi="宋体" w:eastAsia="宋体" w:cs="Times New Roman"/>
                <w:szCs w:val="21"/>
                <w:u w:val="none"/>
              </w:rPr>
              <w:t>2</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6</w:t>
            </w:r>
          </w:p>
        </w:tc>
        <w:tc>
          <w:tcPr>
            <w:tcW w:w="1543"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工程变更</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Times New Roman"/>
                <w:szCs w:val="21"/>
                <w:u w:val="none"/>
              </w:rPr>
              <w:t>10</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是否因设计失误原因而导致工程费用变动</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造成工程造价向上或者向下变动，累计每变动</w:t>
            </w:r>
            <w:r>
              <w:rPr>
                <w:rFonts w:ascii="宋体" w:hAnsi="宋体" w:eastAsia="宋体" w:cs="Times New Roman"/>
                <w:szCs w:val="21"/>
                <w:u w:val="none"/>
              </w:rPr>
              <w:t>1%</w:t>
            </w:r>
            <w:r>
              <w:rPr>
                <w:rFonts w:hint="eastAsia" w:ascii="宋体" w:hAnsi="宋体" w:eastAsia="宋体" w:cs="Times New Roman"/>
                <w:szCs w:val="21"/>
                <w:u w:val="none"/>
              </w:rPr>
              <w:t>扣</w:t>
            </w:r>
            <w:r>
              <w:rPr>
                <w:rFonts w:ascii="宋体" w:hAnsi="宋体" w:eastAsia="宋体" w:cs="Times New Roman"/>
                <w:szCs w:val="21"/>
                <w:u w:val="none"/>
              </w:rPr>
              <w:t>3</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9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三</w:t>
            </w:r>
          </w:p>
        </w:tc>
        <w:tc>
          <w:tcPr>
            <w:tcW w:w="1543"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s="宋体"/>
                <w:kern w:val="0"/>
                <w:sz w:val="24"/>
                <w:szCs w:val="24"/>
                <w:u w:val="none"/>
              </w:rPr>
            </w:pPr>
            <w:r>
              <w:rPr>
                <w:rFonts w:hint="eastAsia" w:ascii="黑体" w:hAnsi="黑体" w:eastAsia="黑体" w:cs="Times New Roman"/>
                <w:sz w:val="24"/>
                <w:szCs w:val="24"/>
                <w:u w:val="none"/>
              </w:rPr>
              <w:t>进度与配合</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r>
              <w:rPr>
                <w:rFonts w:ascii="宋体" w:hAnsi="宋体" w:eastAsia="宋体" w:cs="Times New Roman"/>
                <w:szCs w:val="21"/>
                <w:u w:val="none"/>
              </w:rPr>
              <w:t>35</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 w:val="18"/>
                <w:szCs w:val="18"/>
                <w:u w:val="none"/>
              </w:rPr>
            </w:pP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 w:val="18"/>
                <w:szCs w:val="18"/>
                <w:u w:val="none"/>
              </w:rPr>
            </w:pP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tcBorders>
              <w:top w:val="single" w:color="auto" w:sz="4" w:space="0"/>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7</w:t>
            </w:r>
          </w:p>
        </w:tc>
        <w:tc>
          <w:tcPr>
            <w:tcW w:w="1543" w:type="dxa"/>
            <w:gridSpan w:val="2"/>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设计进度</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8</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是否按约定时间提交各种设计文件与资料</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超过约定时间一周以内提交设计文件的扣</w:t>
            </w:r>
            <w:r>
              <w:rPr>
                <w:rFonts w:ascii="宋体" w:hAnsi="宋体" w:eastAsia="宋体" w:cs="Times New Roman"/>
                <w:szCs w:val="21"/>
                <w:u w:val="none"/>
              </w:rPr>
              <w:t>2</w:t>
            </w:r>
            <w:r>
              <w:rPr>
                <w:rFonts w:hint="eastAsia" w:ascii="宋体" w:hAnsi="宋体" w:eastAsia="宋体" w:cs="Times New Roman"/>
                <w:szCs w:val="21"/>
                <w:u w:val="none"/>
              </w:rPr>
              <w:t>分，超过规定时间一周以上两周以内提交设计文件的扣</w:t>
            </w:r>
            <w:r>
              <w:rPr>
                <w:rFonts w:ascii="宋体" w:hAnsi="宋体" w:eastAsia="宋体" w:cs="Times New Roman"/>
                <w:szCs w:val="21"/>
                <w:u w:val="none"/>
              </w:rPr>
              <w:t>4</w:t>
            </w:r>
            <w:r>
              <w:rPr>
                <w:rFonts w:hint="eastAsia" w:ascii="宋体" w:hAnsi="宋体" w:eastAsia="宋体" w:cs="Times New Roman"/>
                <w:szCs w:val="21"/>
                <w:u w:val="none"/>
              </w:rPr>
              <w:t>分，超过规定时间两周以上提交设计文件的扣</w:t>
            </w:r>
            <w:r>
              <w:rPr>
                <w:rFonts w:ascii="宋体" w:hAnsi="宋体" w:eastAsia="宋体" w:cs="Times New Roman"/>
                <w:szCs w:val="21"/>
                <w:u w:val="none"/>
              </w:rPr>
              <w:t>8</w:t>
            </w:r>
            <w:r>
              <w:rPr>
                <w:rFonts w:hint="eastAsia" w:ascii="宋体" w:hAnsi="宋体" w:eastAsia="宋体" w:cs="Times New Roman"/>
                <w:szCs w:val="21"/>
                <w:u w:val="none"/>
              </w:rPr>
              <w:t>分。</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8</w:t>
            </w:r>
          </w:p>
        </w:tc>
        <w:tc>
          <w:tcPr>
            <w:tcW w:w="154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Times New Roman"/>
                <w:szCs w:val="21"/>
                <w:u w:val="none"/>
              </w:rPr>
              <w:t>配合</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是否参加业主组织的图纸审查、施工图设计交底会议</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不参加图纸审查、施工图设计交底的，发生一次扣</w:t>
            </w:r>
            <w:r>
              <w:rPr>
                <w:rFonts w:ascii="宋体" w:hAnsi="宋体" w:eastAsia="宋体" w:cs="Times New Roman"/>
                <w:szCs w:val="21"/>
                <w:u w:val="none"/>
              </w:rPr>
              <w:t>2</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是否参加业主组织的工程技术难点处理工作会议</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不参加的，发生一次扣</w:t>
            </w:r>
            <w:r>
              <w:rPr>
                <w:rFonts w:ascii="宋体" w:hAnsi="宋体" w:eastAsia="宋体" w:cs="Times New Roman"/>
                <w:szCs w:val="21"/>
                <w:u w:val="none"/>
              </w:rPr>
              <w:t>2</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是否听取、采纳业主、施工、监理等单位的合理化建议</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不听取、不采纳合理化建议的，发生一次扣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Times New Roman"/>
                <w:szCs w:val="21"/>
                <w:u w:val="none"/>
              </w:rPr>
            </w:pPr>
            <w:r>
              <w:rPr>
                <w:rFonts w:hint="eastAsia" w:ascii="宋体" w:hAnsi="宋体" w:eastAsia="宋体" w:cs="Times New Roman"/>
                <w:szCs w:val="21"/>
                <w:u w:val="none"/>
              </w:rPr>
              <w:t>提交</w:t>
            </w:r>
            <w:r>
              <w:rPr>
                <w:rFonts w:ascii="宋体" w:hAnsi="宋体" w:eastAsia="宋体" w:cs="Times New Roman"/>
                <w:szCs w:val="21"/>
                <w:u w:val="none"/>
              </w:rPr>
              <w:t>给建设单位</w:t>
            </w:r>
            <w:r>
              <w:rPr>
                <w:rFonts w:hint="eastAsia" w:ascii="宋体" w:hAnsi="宋体" w:eastAsia="宋体" w:cs="Times New Roman"/>
                <w:szCs w:val="21"/>
                <w:u w:val="none"/>
              </w:rPr>
              <w:t>用于</w:t>
            </w:r>
            <w:r>
              <w:rPr>
                <w:rFonts w:ascii="宋体" w:hAnsi="宋体" w:eastAsia="宋体" w:cs="Times New Roman"/>
                <w:szCs w:val="21"/>
                <w:u w:val="none"/>
              </w:rPr>
              <w:t>报建的</w:t>
            </w:r>
            <w:r>
              <w:rPr>
                <w:rFonts w:hint="eastAsia" w:ascii="宋体" w:hAnsi="宋体" w:eastAsia="宋体" w:cs="Times New Roman"/>
                <w:szCs w:val="21"/>
                <w:u w:val="none"/>
              </w:rPr>
              <w:t>设计</w:t>
            </w:r>
            <w:r>
              <w:rPr>
                <w:rFonts w:ascii="宋体" w:hAnsi="宋体" w:eastAsia="宋体" w:cs="Times New Roman"/>
                <w:szCs w:val="21"/>
                <w:u w:val="none"/>
              </w:rPr>
              <w:t>文件是否按照规定要求</w:t>
            </w:r>
            <w:r>
              <w:rPr>
                <w:rFonts w:hint="eastAsia" w:ascii="宋体" w:hAnsi="宋体" w:eastAsia="宋体" w:cs="Times New Roman"/>
                <w:szCs w:val="21"/>
                <w:u w:val="none"/>
              </w:rPr>
              <w:t>签字</w:t>
            </w:r>
            <w:r>
              <w:rPr>
                <w:rFonts w:ascii="宋体" w:hAnsi="宋体" w:eastAsia="宋体" w:cs="Times New Roman"/>
                <w:szCs w:val="21"/>
                <w:u w:val="none"/>
              </w:rPr>
              <w:t>、盖章</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Times New Roman"/>
                <w:szCs w:val="21"/>
                <w:u w:val="none"/>
              </w:rPr>
            </w:pPr>
            <w:r>
              <w:rPr>
                <w:rFonts w:hint="eastAsia" w:ascii="宋体" w:hAnsi="宋体" w:eastAsia="宋体" w:cs="Times New Roman"/>
                <w:szCs w:val="21"/>
                <w:u w:val="none"/>
              </w:rPr>
              <w:t>未</w:t>
            </w:r>
            <w:r>
              <w:rPr>
                <w:rFonts w:ascii="宋体" w:hAnsi="宋体" w:eastAsia="宋体" w:cs="Times New Roman"/>
                <w:szCs w:val="21"/>
                <w:u w:val="none"/>
              </w:rPr>
              <w:t>按照规定要求</w:t>
            </w:r>
            <w:r>
              <w:rPr>
                <w:rFonts w:hint="eastAsia" w:ascii="宋体" w:hAnsi="宋体" w:eastAsia="宋体" w:cs="Times New Roman"/>
                <w:szCs w:val="21"/>
                <w:u w:val="none"/>
              </w:rPr>
              <w:t>签字</w:t>
            </w:r>
            <w:r>
              <w:rPr>
                <w:rFonts w:ascii="宋体" w:hAnsi="宋体" w:eastAsia="宋体" w:cs="Times New Roman"/>
                <w:szCs w:val="21"/>
                <w:u w:val="none"/>
              </w:rPr>
              <w:t>、盖章</w:t>
            </w:r>
            <w:r>
              <w:rPr>
                <w:rFonts w:hint="eastAsia" w:ascii="宋体" w:hAnsi="宋体" w:eastAsia="宋体" w:cs="Times New Roman"/>
                <w:szCs w:val="21"/>
                <w:u w:val="none"/>
              </w:rPr>
              <w:t>的，发生一次扣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778" w:hRule="atLeast"/>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是否参加工程各项、各阶段的验收</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不参加工程各项、各阶段验收的，发生一次扣</w:t>
            </w:r>
            <w:r>
              <w:rPr>
                <w:rFonts w:ascii="宋体" w:hAnsi="宋体" w:eastAsia="宋体" w:cs="Times New Roman"/>
                <w:szCs w:val="21"/>
                <w:u w:val="none"/>
              </w:rPr>
              <w:t>2</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是否配合调查建设工程质量安全事故</w:t>
            </w:r>
          </w:p>
        </w:tc>
        <w:tc>
          <w:tcPr>
            <w:tcW w:w="2693"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不配合的，发生一次扣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80" w:hRule="atLeast"/>
        </w:trPr>
        <w:tc>
          <w:tcPr>
            <w:tcW w:w="579" w:type="dxa"/>
            <w:vMerge w:val="continue"/>
            <w:tcBorders>
              <w:top w:val="single" w:color="auto" w:sz="4" w:space="0"/>
              <w:left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top w:val="single" w:color="auto" w:sz="4" w:space="0"/>
              <w:left w:val="nil"/>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2</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宋体" w:hAnsi="宋体" w:eastAsia="宋体" w:cs="Times New Roman"/>
                <w:szCs w:val="21"/>
                <w:u w:val="none"/>
              </w:rPr>
              <w:t>是否配合地方政府及相关部门检查</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不配合的，发生一次扣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1315" w:hRule="atLeast"/>
        </w:trPr>
        <w:tc>
          <w:tcPr>
            <w:tcW w:w="579" w:type="dxa"/>
            <w:vMerge w:val="continue"/>
            <w:tcBorders>
              <w:left w:val="single" w:color="auto" w:sz="4"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1543" w:type="dxa"/>
            <w:gridSpan w:val="2"/>
            <w:vMerge w:val="continue"/>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3</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宋体"/>
                <w:kern w:val="0"/>
                <w:szCs w:val="21"/>
                <w:u w:val="none"/>
              </w:rPr>
            </w:pPr>
            <w:r>
              <w:rPr>
                <w:rFonts w:hint="eastAsia" w:ascii="Calibri" w:hAnsi="Calibri" w:eastAsia="宋体" w:cs="Times New Roman"/>
                <w:color w:val="000000"/>
                <w:szCs w:val="21"/>
                <w:u w:val="none"/>
              </w:rPr>
              <w:t>是否按合同约定响应配合业主的相关要求</w:t>
            </w: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宋体"/>
                <w:kern w:val="0"/>
                <w:szCs w:val="21"/>
                <w:u w:val="none"/>
              </w:rPr>
            </w:pPr>
            <w:r>
              <w:rPr>
                <w:rFonts w:hint="eastAsia" w:ascii="宋体" w:hAnsi="宋体" w:eastAsia="宋体" w:cs="Times New Roman"/>
                <w:szCs w:val="21"/>
                <w:u w:val="none"/>
              </w:rPr>
              <w:t>不响应、配合的，发生一次扣</w:t>
            </w:r>
            <w:r>
              <w:rPr>
                <w:rFonts w:ascii="宋体" w:hAnsi="宋体" w:eastAsia="宋体" w:cs="Times New Roman"/>
                <w:szCs w:val="21"/>
                <w:u w:val="none"/>
              </w:rPr>
              <w:t>1</w:t>
            </w:r>
            <w:r>
              <w:rPr>
                <w:rFonts w:hint="eastAsia" w:ascii="宋体" w:hAnsi="宋体" w:eastAsia="宋体" w:cs="Times New Roman"/>
                <w:szCs w:val="21"/>
                <w:u w:val="none"/>
              </w:rPr>
              <w:t>分，扣完为止。</w:t>
            </w: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860" w:hRule="atLeast"/>
        </w:trPr>
        <w:tc>
          <w:tcPr>
            <w:tcW w:w="579" w:type="dxa"/>
            <w:tcBorders>
              <w:left w:val="single" w:color="auto" w:sz="8" w:space="0"/>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9</w:t>
            </w:r>
          </w:p>
        </w:tc>
        <w:tc>
          <w:tcPr>
            <w:tcW w:w="1543" w:type="dxa"/>
            <w:gridSpan w:val="2"/>
            <w:tcBorders>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hint="eastAsia" w:ascii="宋体" w:hAnsi="宋体" w:eastAsia="宋体" w:cs="宋体"/>
                <w:kern w:val="0"/>
                <w:szCs w:val="21"/>
                <w:u w:val="none"/>
              </w:rPr>
              <w:t>合计</w:t>
            </w:r>
          </w:p>
        </w:tc>
        <w:tc>
          <w:tcPr>
            <w:tcW w:w="70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宋体" w:hAnsi="宋体" w:eastAsia="宋体" w:cs="宋体"/>
                <w:kern w:val="0"/>
                <w:szCs w:val="21"/>
                <w:u w:val="none"/>
              </w:rPr>
            </w:pPr>
            <w:r>
              <w:rPr>
                <w:rFonts w:ascii="宋体" w:hAnsi="宋体" w:eastAsia="宋体" w:cs="宋体"/>
                <w:kern w:val="0"/>
                <w:szCs w:val="21"/>
                <w:u w:val="none"/>
              </w:rPr>
              <w:t>100</w:t>
            </w:r>
          </w:p>
        </w:tc>
        <w:tc>
          <w:tcPr>
            <w:tcW w:w="2552" w:type="dxa"/>
            <w:gridSpan w:val="2"/>
            <w:tcBorders>
              <w:top w:val="single" w:color="auto" w:sz="4" w:space="0"/>
              <w:left w:val="nil"/>
              <w:bottom w:val="single" w:color="auto" w:sz="4" w:space="0"/>
              <w:right w:val="single" w:color="auto" w:sz="4" w:space="0"/>
            </w:tcBorders>
            <w:vAlign w:val="center"/>
          </w:tcPr>
          <w:p>
            <w:pPr>
              <w:widowControl/>
              <w:spacing w:line="560" w:lineRule="exact"/>
              <w:jc w:val="left"/>
              <w:rPr>
                <w:rFonts w:ascii="宋体" w:hAnsi="宋体" w:eastAsia="宋体" w:cs="Times New Roman"/>
                <w:szCs w:val="21"/>
                <w:u w:val="none"/>
              </w:rPr>
            </w:pPr>
          </w:p>
        </w:tc>
        <w:tc>
          <w:tcPr>
            <w:tcW w:w="2693" w:type="dxa"/>
            <w:gridSpan w:val="2"/>
            <w:tcBorders>
              <w:top w:val="single" w:color="auto" w:sz="4" w:space="0"/>
              <w:left w:val="nil"/>
              <w:bottom w:val="single" w:color="auto" w:sz="4" w:space="0"/>
              <w:right w:val="single" w:color="auto" w:sz="4" w:space="0"/>
            </w:tcBorders>
            <w:vAlign w:val="center"/>
          </w:tcPr>
          <w:p>
            <w:pPr>
              <w:widowControl/>
              <w:spacing w:line="560" w:lineRule="exact"/>
              <w:rPr>
                <w:rFonts w:ascii="宋体" w:hAnsi="宋体" w:eastAsia="宋体" w:cs="Times New Roman"/>
                <w:szCs w:val="21"/>
                <w:u w:val="none"/>
              </w:rPr>
            </w:pPr>
          </w:p>
        </w:tc>
        <w:tc>
          <w:tcPr>
            <w:tcW w:w="425" w:type="dxa"/>
            <w:tcBorders>
              <w:top w:val="single" w:color="auto" w:sz="4" w:space="0"/>
              <w:left w:val="nil"/>
              <w:bottom w:val="single" w:color="auto" w:sz="4" w:space="0"/>
              <w:right w:val="single" w:color="auto" w:sz="8" w:space="0"/>
            </w:tcBorders>
            <w:vAlign w:val="center"/>
          </w:tcPr>
          <w:p>
            <w:pPr>
              <w:widowControl/>
              <w:spacing w:line="560" w:lineRule="exact"/>
              <w:jc w:val="center"/>
              <w:rPr>
                <w:rFonts w:ascii="宋体" w:hAnsi="宋体" w:eastAsia="宋体" w:cs="宋体"/>
                <w:kern w:val="0"/>
                <w:sz w:val="18"/>
                <w:szCs w:val="18"/>
                <w:u w:val="none"/>
              </w:rPr>
            </w:pPr>
          </w:p>
        </w:tc>
      </w:tr>
      <w:tr>
        <w:tblPrEx>
          <w:tblLayout w:type="fixed"/>
          <w:tblCellMar>
            <w:top w:w="0" w:type="dxa"/>
            <w:left w:w="108" w:type="dxa"/>
            <w:bottom w:w="0" w:type="dxa"/>
            <w:right w:w="108" w:type="dxa"/>
          </w:tblCellMar>
        </w:tblPrEx>
        <w:trPr>
          <w:trHeight w:val="277" w:hRule="atLeast"/>
        </w:trPr>
        <w:tc>
          <w:tcPr>
            <w:tcW w:w="8500" w:type="dxa"/>
            <w:gridSpan w:val="9"/>
            <w:tcBorders>
              <w:top w:val="single" w:color="auto" w:sz="4" w:space="0"/>
              <w:left w:val="single" w:color="auto" w:sz="8" w:space="0"/>
              <w:bottom w:val="single" w:color="auto" w:sz="4" w:space="0"/>
              <w:right w:val="single" w:color="auto" w:sz="8" w:space="0"/>
            </w:tcBorders>
            <w:vAlign w:val="center"/>
          </w:tcPr>
          <w:p>
            <w:pPr>
              <w:spacing w:line="560" w:lineRule="exact"/>
              <w:rPr>
                <w:rFonts w:ascii="宋体" w:hAnsi="宋体" w:eastAsia="宋体" w:cs="Times New Roman"/>
                <w:szCs w:val="21"/>
                <w:u w:val="none"/>
              </w:rPr>
            </w:pPr>
            <w:r>
              <w:rPr>
                <w:rFonts w:hint="eastAsia" w:ascii="宋体" w:hAnsi="宋体" w:eastAsia="宋体" w:cs="Times New Roman"/>
                <w:szCs w:val="21"/>
                <w:u w:val="none"/>
              </w:rPr>
              <w:t>注：</w:t>
            </w:r>
            <w:r>
              <w:rPr>
                <w:rFonts w:ascii="宋体" w:hAnsi="宋体" w:eastAsia="宋体" w:cs="Times New Roman"/>
                <w:szCs w:val="21"/>
                <w:u w:val="none"/>
              </w:rPr>
              <w:t>1</w:t>
            </w:r>
            <w:r>
              <w:rPr>
                <w:rFonts w:hint="eastAsia" w:ascii="宋体" w:hAnsi="宋体" w:eastAsia="宋体" w:cs="Times New Roman"/>
                <w:szCs w:val="21"/>
                <w:u w:val="none"/>
              </w:rPr>
              <w:t>、工程建设单位可结合其工程特点和具体要求，增加和量化具体评分指标（仅限于二级指标的内容、分值、权重，一级指标项及分值、权重不得调整），制定评分表，并按百分制将分项分值进行折算调整。</w:t>
            </w:r>
          </w:p>
          <w:p>
            <w:pPr>
              <w:spacing w:line="560" w:lineRule="exact"/>
              <w:ind w:firstLine="420" w:firstLineChars="200"/>
              <w:rPr>
                <w:rFonts w:ascii="宋体" w:hAnsi="宋体" w:eastAsia="宋体" w:cs="Times New Roman"/>
                <w:szCs w:val="21"/>
                <w:u w:val="none"/>
              </w:rPr>
            </w:pPr>
            <w:r>
              <w:rPr>
                <w:rFonts w:ascii="宋体" w:hAnsi="宋体" w:eastAsia="宋体" w:cs="Times New Roman"/>
                <w:szCs w:val="21"/>
                <w:u w:val="none"/>
              </w:rPr>
              <w:t>2</w:t>
            </w:r>
            <w:r>
              <w:rPr>
                <w:rFonts w:hint="eastAsia" w:ascii="宋体" w:hAnsi="宋体" w:eastAsia="宋体" w:cs="Times New Roman"/>
                <w:szCs w:val="21"/>
                <w:u w:val="none"/>
              </w:rPr>
              <w:t>、规定的评分指标中，招标文件或者合同无委托实施的内容，或者在定期履约评价时尚不具备评价条件的，不计入评分，其分值按百分制折算后计入其他指标中或者对总得分按百分制进行折算。</w:t>
            </w:r>
          </w:p>
          <w:p>
            <w:pPr>
              <w:spacing w:line="560" w:lineRule="exact"/>
              <w:ind w:firstLine="420" w:firstLineChars="200"/>
              <w:rPr>
                <w:rFonts w:ascii="宋体" w:hAnsi="宋体" w:eastAsia="宋体" w:cs="Times New Roman"/>
                <w:szCs w:val="21"/>
                <w:u w:val="none"/>
              </w:rPr>
            </w:pPr>
            <w:r>
              <w:rPr>
                <w:rFonts w:ascii="宋体" w:hAnsi="宋体" w:eastAsia="宋体" w:cs="Times New Roman"/>
                <w:szCs w:val="21"/>
                <w:u w:val="none"/>
              </w:rPr>
              <w:t>3</w:t>
            </w:r>
            <w:r>
              <w:rPr>
                <w:rFonts w:hint="eastAsia" w:ascii="宋体" w:hAnsi="宋体" w:eastAsia="宋体" w:cs="Times New Roman"/>
                <w:szCs w:val="21"/>
                <w:u w:val="none"/>
              </w:rPr>
              <w:t>、设计结果存在不符合规范和强制性标准，并导致重大失误的，设计单位履约评价结果直接为不合格，分数最多为</w:t>
            </w:r>
            <w:r>
              <w:rPr>
                <w:rFonts w:ascii="宋体" w:hAnsi="宋体" w:eastAsia="宋体" w:cs="Times New Roman"/>
                <w:szCs w:val="21"/>
                <w:u w:val="none"/>
              </w:rPr>
              <w:t>59</w:t>
            </w:r>
            <w:r>
              <w:rPr>
                <w:rFonts w:hint="eastAsia" w:ascii="宋体" w:hAnsi="宋体" w:eastAsia="宋体" w:cs="Times New Roman"/>
                <w:szCs w:val="21"/>
                <w:u w:val="none"/>
              </w:rPr>
              <w:t>分。</w:t>
            </w:r>
          </w:p>
        </w:tc>
      </w:tr>
      <w:tr>
        <w:tblPrEx>
          <w:tblLayout w:type="fixed"/>
          <w:tblCellMar>
            <w:top w:w="0" w:type="dxa"/>
            <w:left w:w="108" w:type="dxa"/>
            <w:bottom w:w="0" w:type="dxa"/>
            <w:right w:w="108" w:type="dxa"/>
          </w:tblCellMar>
        </w:tblPrEx>
        <w:trPr>
          <w:trHeight w:val="277" w:hRule="atLeast"/>
        </w:trPr>
        <w:tc>
          <w:tcPr>
            <w:tcW w:w="8500" w:type="dxa"/>
            <w:gridSpan w:val="9"/>
            <w:tcBorders>
              <w:top w:val="single" w:color="auto" w:sz="4" w:space="0"/>
              <w:left w:val="single" w:color="auto" w:sz="8" w:space="0"/>
              <w:bottom w:val="single" w:color="auto" w:sz="4" w:space="0"/>
              <w:right w:val="single" w:color="auto" w:sz="8" w:space="0"/>
            </w:tcBorders>
            <w:vAlign w:val="center"/>
          </w:tcPr>
          <w:p>
            <w:pPr>
              <w:spacing w:line="560" w:lineRule="exact"/>
              <w:ind w:firstLine="5460" w:firstLineChars="2600"/>
              <w:rPr>
                <w:rFonts w:ascii="宋体" w:hAnsi="宋体" w:eastAsia="宋体" w:cs="Times New Roman"/>
                <w:szCs w:val="21"/>
                <w:u w:val="none"/>
              </w:rPr>
            </w:pPr>
            <w:r>
              <w:rPr>
                <w:rFonts w:hint="eastAsia" w:ascii="宋体" w:hAnsi="宋体" w:eastAsia="宋体" w:cs="Times New Roman"/>
                <w:szCs w:val="21"/>
                <w:u w:val="none"/>
              </w:rPr>
              <w:t>评价人签字：</w:t>
            </w:r>
          </w:p>
          <w:p>
            <w:pPr>
              <w:spacing w:line="560" w:lineRule="exact"/>
              <w:ind w:firstLine="6930" w:firstLineChars="3300"/>
              <w:rPr>
                <w:rFonts w:ascii="宋体" w:hAnsi="宋体" w:eastAsia="宋体" w:cs="宋体"/>
                <w:kern w:val="0"/>
                <w:sz w:val="18"/>
                <w:szCs w:val="18"/>
                <w:u w:val="none"/>
              </w:rPr>
            </w:pPr>
            <w:r>
              <w:rPr>
                <w:rFonts w:hint="eastAsia" w:ascii="宋体" w:hAnsi="宋体" w:eastAsia="宋体" w:cs="Times New Roman"/>
                <w:szCs w:val="21"/>
                <w:u w:val="none"/>
              </w:rPr>
              <w:t>年</w:t>
            </w:r>
            <w:r>
              <w:rPr>
                <w:rFonts w:ascii="宋体" w:hAnsi="宋体" w:eastAsia="宋体" w:cs="Times New Roman"/>
                <w:szCs w:val="21"/>
                <w:u w:val="none"/>
              </w:rPr>
              <w:t xml:space="preserve">  </w:t>
            </w:r>
            <w:r>
              <w:rPr>
                <w:rFonts w:hint="eastAsia" w:ascii="宋体" w:hAnsi="宋体" w:eastAsia="宋体" w:cs="Times New Roman"/>
                <w:szCs w:val="21"/>
                <w:u w:val="none"/>
              </w:rPr>
              <w:t>月</w:t>
            </w:r>
            <w:r>
              <w:rPr>
                <w:rFonts w:ascii="宋体" w:hAnsi="宋体" w:eastAsia="宋体" w:cs="Times New Roman"/>
                <w:szCs w:val="21"/>
                <w:u w:val="none"/>
              </w:rPr>
              <w:t xml:space="preserve">  </w:t>
            </w:r>
            <w:r>
              <w:rPr>
                <w:rFonts w:hint="eastAsia" w:ascii="宋体" w:hAnsi="宋体" w:eastAsia="宋体" w:cs="Times New Roman"/>
                <w:szCs w:val="21"/>
                <w:u w:val="none"/>
              </w:rPr>
              <w:t>日</w:t>
            </w:r>
          </w:p>
        </w:tc>
      </w:tr>
    </w:tbl>
    <w:p>
      <w:pPr>
        <w:spacing w:line="560" w:lineRule="exact"/>
        <w:rPr>
          <w:rFonts w:ascii="宋体" w:hAnsi="宋体" w:eastAsia="宋体" w:cs="Times New Roman"/>
          <w:szCs w:val="21"/>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11172"/>
    <w:rsid w:val="1E11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unhideWhenUsed/>
    <w:qFormat/>
    <w:uiPriority w:val="99"/>
    <w:pPr>
      <w:widowControl w:val="0"/>
      <w:spacing w:after="120"/>
      <w:jc w:val="both"/>
    </w:pPr>
    <w:rPr>
      <w:rFonts w:ascii="Calibri" w:hAnsi="Calibri" w:eastAsia="宋体" w:cs="Times New Roman"/>
      <w:kern w:val="0"/>
      <w:sz w:val="2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2022-01-11T06:53:00Z</dcterms:created>
  <dc:creator>林柔贤</dc:creator>
  <cp:lastModifiedBy>林柔贤</cp:lastModifiedBy>
  <dcterms:modified xsi:type="dcterms:W3CDTF">2022-01-11T06:54:12Z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