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kern w:val="0"/>
          <w:sz w:val="44"/>
          <w:szCs w:val="44"/>
        </w:rPr>
      </w:pPr>
    </w:p>
    <w:p>
      <w:pPr>
        <w:jc w:val="center"/>
        <w:rPr>
          <w:rFonts w:ascii="黑体" w:hAnsi="Arial" w:eastAsia="黑体" w:cs="Arial"/>
          <w:sz w:val="52"/>
          <w:szCs w:val="52"/>
        </w:rPr>
      </w:pPr>
      <w:r>
        <w:rPr>
          <w:rFonts w:hint="eastAsia" w:ascii="黑体" w:hAnsi="Arial" w:eastAsia="黑体" w:cs="Arial"/>
          <w:sz w:val="52"/>
          <w:szCs w:val="52"/>
        </w:rPr>
        <w:t>【服务类】</w:t>
      </w:r>
    </w:p>
    <w:p>
      <w:pPr>
        <w:spacing w:line="560" w:lineRule="exact"/>
        <w:jc w:val="center"/>
        <w:rPr>
          <w:rFonts w:ascii="宋体" w:hAnsi="宋体"/>
          <w:b/>
          <w:sz w:val="44"/>
          <w:szCs w:val="44"/>
        </w:rPr>
      </w:pPr>
    </w:p>
    <w:p>
      <w:pPr>
        <w:pStyle w:val="2"/>
        <w:rPr>
          <w:rFonts w:ascii="宋体" w:hAnsi="宋体"/>
          <w:b/>
          <w:sz w:val="44"/>
          <w:szCs w:val="44"/>
        </w:rPr>
      </w:pPr>
    </w:p>
    <w:p>
      <w:pPr>
        <w:pStyle w:val="2"/>
        <w:rPr>
          <w:rFonts w:ascii="宋体" w:hAnsi="宋体"/>
          <w:b/>
          <w:sz w:val="44"/>
          <w:szCs w:val="44"/>
        </w:rPr>
      </w:pPr>
    </w:p>
    <w:p>
      <w:pPr>
        <w:jc w:val="center"/>
        <w:rPr>
          <w:rFonts w:hint="default" w:eastAsia="宋体"/>
          <w:b/>
          <w:sz w:val="44"/>
          <w:szCs w:val="44"/>
          <w:lang w:val="en-US" w:eastAsia="zh-CN"/>
        </w:rPr>
      </w:pPr>
      <w:r>
        <w:rPr>
          <w:rFonts w:hint="eastAsia"/>
          <w:b/>
          <w:sz w:val="44"/>
          <w:szCs w:val="44"/>
        </w:rPr>
        <w:t>项目编号：</w:t>
      </w:r>
      <w:r>
        <w:rPr>
          <w:rFonts w:hint="eastAsia"/>
          <w:b/>
          <w:sz w:val="44"/>
          <w:szCs w:val="44"/>
          <w:highlight w:val="none"/>
          <w:lang w:val="en-US" w:eastAsia="zh-CN"/>
        </w:rPr>
        <w:t>KZSC2021019</w:t>
      </w:r>
    </w:p>
    <w:p>
      <w:pPr>
        <w:rPr>
          <w:rFonts w:hint="eastAsia"/>
          <w:sz w:val="52"/>
          <w:szCs w:val="52"/>
        </w:rPr>
      </w:pPr>
    </w:p>
    <w:p>
      <w:pPr>
        <w:widowControl/>
        <w:jc w:val="center"/>
        <w:rPr>
          <w:rFonts w:ascii="宋体" w:cs="宋体"/>
          <w:kern w:val="0"/>
          <w:sz w:val="44"/>
          <w:szCs w:val="44"/>
        </w:rPr>
      </w:pPr>
    </w:p>
    <w:p>
      <w:pPr>
        <w:widowControl/>
        <w:jc w:val="center"/>
        <w:rPr>
          <w:rFonts w:hint="eastAsia" w:ascii="宋体" w:hAnsi="宋体" w:cs="宋体"/>
          <w:b/>
          <w:bCs w:val="0"/>
          <w:kern w:val="0"/>
          <w:sz w:val="44"/>
          <w:szCs w:val="44"/>
        </w:rPr>
      </w:pPr>
      <w:r>
        <w:rPr>
          <w:rFonts w:hint="eastAsia" w:ascii="宋体" w:hAnsi="宋体" w:cs="宋体"/>
          <w:b/>
          <w:bCs w:val="0"/>
          <w:kern w:val="0"/>
          <w:sz w:val="44"/>
          <w:szCs w:val="44"/>
        </w:rPr>
        <w:t>坑梓街道办事处</w:t>
      </w: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丹梓龙庭、新明苑社工服务点</w:t>
      </w:r>
    </w:p>
    <w:p>
      <w:pPr>
        <w:jc w:val="center"/>
        <w:rPr>
          <w:rFonts w:hint="default" w:ascii="宋体" w:eastAsia="宋体" w:cs="宋体"/>
          <w:b/>
          <w:bCs w:val="0"/>
          <w:kern w:val="0"/>
          <w:sz w:val="44"/>
          <w:szCs w:val="44"/>
          <w:lang w:val="en-US" w:eastAsia="zh-CN"/>
        </w:rPr>
      </w:pPr>
      <w:r>
        <w:rPr>
          <w:rFonts w:hint="eastAsia" w:ascii="宋体" w:hAnsi="宋体" w:cs="宋体"/>
          <w:b/>
          <w:bCs/>
          <w:sz w:val="44"/>
          <w:szCs w:val="44"/>
          <w:lang w:eastAsia="zh-CN"/>
        </w:rPr>
        <w:t>购买社工服务</w:t>
      </w:r>
      <w:r>
        <w:rPr>
          <w:rFonts w:hint="eastAsia" w:ascii="宋体" w:hAnsi="宋体" w:cs="宋体"/>
          <w:b/>
          <w:bCs w:val="0"/>
          <w:kern w:val="0"/>
          <w:sz w:val="44"/>
          <w:szCs w:val="44"/>
          <w:lang w:val="en-US" w:eastAsia="zh-CN"/>
        </w:rPr>
        <w:t>(自行采购)</w:t>
      </w:r>
    </w:p>
    <w:p>
      <w:pPr>
        <w:widowControl/>
        <w:spacing w:line="560" w:lineRule="exact"/>
        <w:ind w:left="720" w:firstLine="640" w:firstLineChars="200"/>
        <w:jc w:val="left"/>
        <w:rPr>
          <w:rFonts w:ascii="仿宋" w:hAnsi="仿宋" w:eastAsia="仿宋" w:cs="宋体"/>
          <w:kern w:val="0"/>
          <w:sz w:val="32"/>
          <w:szCs w:val="32"/>
        </w:rPr>
      </w:pPr>
    </w:p>
    <w:p>
      <w:pPr>
        <w:widowControl/>
        <w:spacing w:line="560" w:lineRule="exact"/>
        <w:ind w:left="720" w:firstLine="640" w:firstLineChars="200"/>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p>
    <w:p>
      <w:pPr>
        <w:widowControl/>
        <w:spacing w:line="560" w:lineRule="exact"/>
        <w:jc w:val="left"/>
        <w:rPr>
          <w:rFonts w:ascii="仿宋" w:hAnsi="仿宋" w:eastAsia="仿宋" w:cs="宋体"/>
          <w:kern w:val="0"/>
          <w:sz w:val="32"/>
          <w:szCs w:val="32"/>
        </w:rPr>
      </w:pPr>
    </w:p>
    <w:p>
      <w:pPr>
        <w:jc w:val="center"/>
        <w:rPr>
          <w:rFonts w:hint="eastAsia"/>
          <w:sz w:val="44"/>
          <w:szCs w:val="44"/>
        </w:rPr>
      </w:pPr>
      <w:r>
        <w:rPr>
          <w:rFonts w:hint="eastAsia"/>
          <w:sz w:val="44"/>
          <w:szCs w:val="44"/>
        </w:rPr>
        <w:t>深圳市坪山区坑梓街道办事处</w:t>
      </w:r>
    </w:p>
    <w:p>
      <w:pPr>
        <w:jc w:val="center"/>
        <w:rPr>
          <w:sz w:val="44"/>
          <w:szCs w:val="44"/>
        </w:rPr>
      </w:pPr>
      <w:r>
        <w:rPr>
          <w:rFonts w:hint="eastAsia"/>
          <w:sz w:val="44"/>
          <w:szCs w:val="44"/>
        </w:rPr>
        <w:t>二〇</w:t>
      </w:r>
      <w:r>
        <w:rPr>
          <w:rFonts w:hint="eastAsia"/>
          <w:sz w:val="44"/>
          <w:szCs w:val="44"/>
          <w:lang w:eastAsia="zh-CN"/>
        </w:rPr>
        <w:t>二一</w:t>
      </w:r>
      <w:r>
        <w:rPr>
          <w:rFonts w:hint="eastAsia"/>
          <w:sz w:val="44"/>
          <w:szCs w:val="44"/>
        </w:rPr>
        <w:t>年</w:t>
      </w:r>
      <w:r>
        <w:rPr>
          <w:rFonts w:hint="eastAsia"/>
          <w:sz w:val="44"/>
          <w:szCs w:val="44"/>
          <w:lang w:eastAsia="zh-CN"/>
        </w:rPr>
        <w:t>十二</w:t>
      </w:r>
      <w:r>
        <w:rPr>
          <w:rFonts w:hint="eastAsia"/>
          <w:sz w:val="44"/>
          <w:szCs w:val="44"/>
        </w:rPr>
        <w:t>月</w:t>
      </w:r>
    </w:p>
    <w:p>
      <w:pPr>
        <w:pStyle w:val="4"/>
      </w:pPr>
      <w:bookmarkStart w:id="0" w:name="_Toc39851075"/>
      <w:r>
        <w:rPr>
          <w:rFonts w:hint="eastAsia"/>
        </w:rPr>
        <w:t>关键信息</w:t>
      </w:r>
      <w:bookmarkEnd w:id="0"/>
    </w:p>
    <w:p/>
    <w:p>
      <w:pPr>
        <w:jc w:val="center"/>
        <w:rPr>
          <w:rFonts w:hint="eastAsia"/>
          <w:b/>
          <w:sz w:val="28"/>
          <w:szCs w:val="28"/>
        </w:rPr>
      </w:pPr>
      <w:r>
        <w:rPr>
          <w:rFonts w:hint="eastAsia"/>
          <w:b/>
          <w:sz w:val="28"/>
          <w:szCs w:val="28"/>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rFonts w:hint="eastAsia"/>
                <w:szCs w:val="21"/>
              </w:rPr>
              <w:t>招标</w:t>
            </w:r>
            <w:r>
              <w:rPr>
                <w:szCs w:val="21"/>
              </w:rPr>
              <w:t>编号</w:t>
            </w:r>
          </w:p>
        </w:tc>
        <w:tc>
          <w:tcPr>
            <w:tcW w:w="6620" w:type="dxa"/>
            <w:noWrap w:val="0"/>
            <w:vAlign w:val="center"/>
          </w:tcPr>
          <w:p>
            <w:pPr>
              <w:rPr>
                <w:rFonts w:hint="default" w:eastAsia="宋体"/>
                <w:szCs w:val="21"/>
                <w:lang w:val="en-US" w:eastAsia="zh-CN"/>
              </w:rPr>
            </w:pPr>
            <w:r>
              <w:rPr>
                <w:rFonts w:hint="eastAsia"/>
                <w:szCs w:val="21"/>
                <w:highlight w:val="none"/>
                <w:lang w:val="en-US" w:eastAsia="zh-CN"/>
              </w:rPr>
              <w:t>KZSC2021019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项目名称</w:t>
            </w:r>
          </w:p>
        </w:tc>
        <w:tc>
          <w:tcPr>
            <w:tcW w:w="6620" w:type="dxa"/>
            <w:noWrap w:val="0"/>
            <w:vAlign w:val="center"/>
          </w:tcPr>
          <w:p>
            <w:pPr>
              <w:rPr>
                <w:rFonts w:hint="eastAsia"/>
              </w:rPr>
            </w:pPr>
            <w:r>
              <w:rPr>
                <w:rFonts w:hint="eastAsia" w:eastAsia="宋体"/>
                <w:szCs w:val="21"/>
              </w:rPr>
              <w:t>坑梓街道办事处</w:t>
            </w:r>
            <w:r>
              <w:rPr>
                <w:rFonts w:hint="eastAsia"/>
                <w:szCs w:val="21"/>
                <w:lang w:eastAsia="zh-CN"/>
              </w:rPr>
              <w:t>丹梓龙庭、新明苑社工服务点购买社工服务项目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项目类型</w:t>
            </w:r>
          </w:p>
        </w:tc>
        <w:tc>
          <w:tcPr>
            <w:tcW w:w="6620" w:type="dxa"/>
            <w:noWrap w:val="0"/>
            <w:vAlign w:val="center"/>
          </w:tcPr>
          <w:p>
            <w:pPr>
              <w:rPr>
                <w:szCs w:val="21"/>
              </w:rPr>
            </w:pPr>
            <w:r>
              <w:rPr>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noWrap w:val="0"/>
            <w:vAlign w:val="center"/>
          </w:tcPr>
          <w:p>
            <w:pPr>
              <w:rPr>
                <w:szCs w:val="21"/>
              </w:rPr>
            </w:pPr>
            <w:r>
              <w:rPr>
                <w:szCs w:val="21"/>
              </w:rPr>
              <w:t>采购方式</w:t>
            </w:r>
          </w:p>
        </w:tc>
        <w:tc>
          <w:tcPr>
            <w:tcW w:w="6620" w:type="dxa"/>
            <w:noWrap w:val="0"/>
            <w:vAlign w:val="center"/>
          </w:tcPr>
          <w:p>
            <w:pPr>
              <w:widowControl/>
              <w:jc w:val="both"/>
              <w:rPr>
                <w:rFonts w:hint="default" w:eastAsia="宋体"/>
                <w:szCs w:val="21"/>
                <w:lang w:val="en-US" w:eastAsia="zh-CN"/>
              </w:rPr>
            </w:pPr>
            <w:r>
              <w:rPr>
                <w:rFonts w:hint="eastAsia" w:eastAsia="宋体"/>
                <w:szCs w:val="21"/>
                <w:lang w:val="en-US" w:eastAsia="zh-CN"/>
              </w:rPr>
              <w:t>公开招标(自行采购)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10" w:type="dxa"/>
            <w:noWrap w:val="0"/>
            <w:vAlign w:val="center"/>
          </w:tcPr>
          <w:p>
            <w:pPr>
              <w:rPr>
                <w:rFonts w:hint="eastAsia"/>
                <w:szCs w:val="21"/>
              </w:rPr>
            </w:pPr>
            <w:r>
              <w:rPr>
                <w:rFonts w:hint="eastAsia"/>
                <w:szCs w:val="21"/>
              </w:rPr>
              <w:t>评标方式</w:t>
            </w:r>
          </w:p>
        </w:tc>
        <w:tc>
          <w:tcPr>
            <w:tcW w:w="6620" w:type="dxa"/>
            <w:noWrap w:val="0"/>
            <w:vAlign w:val="center"/>
          </w:tcPr>
          <w:p>
            <w:pPr>
              <w:rPr>
                <w:rFonts w:hint="eastAsia"/>
                <w:szCs w:val="21"/>
              </w:rPr>
            </w:pPr>
            <w:r>
              <w:rPr>
                <w:rFonts w:hint="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货币类型</w:t>
            </w:r>
          </w:p>
        </w:tc>
        <w:tc>
          <w:tcPr>
            <w:tcW w:w="6620" w:type="dxa"/>
            <w:noWrap w:val="0"/>
            <w:vAlign w:val="center"/>
          </w:tcPr>
          <w:p>
            <w:pPr>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rFonts w:hint="eastAsia"/>
                <w:szCs w:val="21"/>
              </w:rPr>
            </w:pPr>
            <w:r>
              <w:rPr>
                <w:rFonts w:hint="eastAsia"/>
                <w:szCs w:val="21"/>
              </w:rPr>
              <w:t>投标保证金</w:t>
            </w:r>
          </w:p>
        </w:tc>
        <w:tc>
          <w:tcPr>
            <w:tcW w:w="6620" w:type="dxa"/>
            <w:noWrap w:val="0"/>
            <w:vAlign w:val="center"/>
          </w:tcPr>
          <w:p>
            <w:pPr>
              <w:rPr>
                <w:rFonts w:hint="eastAsia"/>
                <w:szCs w:val="21"/>
              </w:rPr>
            </w:pPr>
            <w:r>
              <w:rPr>
                <w:rFonts w:hint="eastAsia"/>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rFonts w:hint="eastAsia"/>
                <w:szCs w:val="21"/>
              </w:rPr>
            </w:pPr>
            <w:r>
              <w:rPr>
                <w:rFonts w:hint="eastAsia"/>
                <w:szCs w:val="21"/>
              </w:rPr>
              <w:t>履约保证金</w:t>
            </w:r>
          </w:p>
        </w:tc>
        <w:tc>
          <w:tcPr>
            <w:tcW w:w="6620" w:type="dxa"/>
            <w:noWrap w:val="0"/>
            <w:vAlign w:val="center"/>
          </w:tcPr>
          <w:p>
            <w:pPr>
              <w:rPr>
                <w:rFonts w:hint="eastAsia"/>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szCs w:val="21"/>
              </w:rPr>
            </w:pPr>
            <w:r>
              <w:rPr>
                <w:szCs w:val="21"/>
              </w:rPr>
              <w:t>投标文件份数</w:t>
            </w:r>
          </w:p>
        </w:tc>
        <w:tc>
          <w:tcPr>
            <w:tcW w:w="6620" w:type="dxa"/>
            <w:noWrap w:val="0"/>
            <w:vAlign w:val="center"/>
          </w:tcPr>
          <w:p>
            <w:pPr>
              <w:rPr>
                <w:szCs w:val="21"/>
              </w:rPr>
            </w:pPr>
            <w:r>
              <w:rPr>
                <w:rFonts w:hint="eastAsia" w:ascii="宋体" w:hAnsi="宋体"/>
                <w:szCs w:val="21"/>
              </w:rPr>
              <w:t>正本1份，副本</w:t>
            </w:r>
            <w:r>
              <w:rPr>
                <w:rFonts w:hint="eastAsia" w:ascii="宋体" w:hAnsi="宋体"/>
                <w:szCs w:val="21"/>
                <w:lang w:val="en-US" w:eastAsia="zh-CN"/>
              </w:rPr>
              <w:t>9</w:t>
            </w:r>
            <w:r>
              <w:rPr>
                <w:rFonts w:hint="eastAsia" w:ascii="宋体" w:hAnsi="宋体"/>
                <w:szCs w:val="21"/>
              </w:rPr>
              <w:t>份，开标文件1份</w:t>
            </w:r>
            <w:r>
              <w:rPr>
                <w:rFonts w:hint="eastAsia" w:ascii="宋体" w:hAnsi="宋体"/>
              </w:rPr>
              <w:t>及</w:t>
            </w:r>
            <w:r>
              <w:rPr>
                <w:rFonts w:hint="eastAsia" w:ascii="宋体" w:hAnsi="宋体"/>
                <w:szCs w:val="21"/>
              </w:rPr>
              <w:t>投标文件备份</w:t>
            </w:r>
            <w:r>
              <w:rPr>
                <w:rFonts w:hint="eastAsia" w:ascii="宋体" w:hAnsi="宋体"/>
              </w:rPr>
              <w:t>文档一份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0" w:type="dxa"/>
            <w:noWrap w:val="0"/>
            <w:vAlign w:val="center"/>
          </w:tcPr>
          <w:p>
            <w:pPr>
              <w:rPr>
                <w:rFonts w:hint="eastAsia" w:eastAsia="宋体"/>
                <w:szCs w:val="21"/>
                <w:lang w:eastAsia="zh-CN"/>
              </w:rPr>
            </w:pPr>
            <w:r>
              <w:rPr>
                <w:rFonts w:hint="eastAsia"/>
                <w:szCs w:val="21"/>
                <w:lang w:eastAsia="zh-CN"/>
              </w:rPr>
              <w:t>项目实施单位</w:t>
            </w:r>
          </w:p>
        </w:tc>
        <w:tc>
          <w:tcPr>
            <w:tcW w:w="6620" w:type="dxa"/>
            <w:noWrap w:val="0"/>
            <w:vAlign w:val="center"/>
          </w:tcPr>
          <w:p>
            <w:pPr>
              <w:rPr>
                <w:rFonts w:hint="default" w:eastAsia="宋体"/>
                <w:szCs w:val="21"/>
                <w:lang w:val="en" w:eastAsia="zh-CN"/>
              </w:rPr>
            </w:pPr>
            <w:r>
              <w:rPr>
                <w:rFonts w:hint="eastAsia"/>
                <w:szCs w:val="21"/>
                <w:lang w:eastAsia="zh-CN"/>
              </w:rPr>
              <w:t>深圳市坪山区坑梓街道办事处公共事务中心党群服务部</w:t>
            </w:r>
          </w:p>
        </w:tc>
      </w:tr>
    </w:tbl>
    <w:p>
      <w:pPr>
        <w:jc w:val="center"/>
        <w:rPr>
          <w:sz w:val="24"/>
          <w:shd w:val="clear" w:color="FFFFFF" w:fill="D9D9D9"/>
        </w:rPr>
      </w:pPr>
    </w:p>
    <w:p>
      <w:pPr>
        <w:jc w:val="center"/>
        <w:rPr>
          <w:rFonts w:hint="eastAsia" w:ascii="宋体" w:hAnsi="宋体" w:eastAsia="黑体"/>
          <w:b/>
          <w:bCs/>
          <w:kern w:val="44"/>
          <w:sz w:val="28"/>
          <w:szCs w:val="44"/>
        </w:rPr>
        <w:sectPr>
          <w:footerReference r:id="rId3" w:type="default"/>
          <w:pgSz w:w="11906" w:h="16838"/>
          <w:pgMar w:top="1418" w:right="1474" w:bottom="1091" w:left="1588" w:header="851" w:footer="992" w:gutter="0"/>
          <w:pgNumType w:fmt="decimal" w:start="1"/>
          <w:cols w:space="720" w:num="1"/>
          <w:docGrid w:type="lines" w:linePitch="312" w:charSpace="0"/>
        </w:sectPr>
      </w:pPr>
    </w:p>
    <w:p>
      <w:pPr>
        <w:jc w:val="center"/>
        <w:rPr>
          <w:b/>
          <w:sz w:val="28"/>
          <w:szCs w:val="28"/>
        </w:rPr>
      </w:pPr>
      <w:r>
        <w:rPr>
          <w:rFonts w:hint="eastAsia" w:ascii="宋体" w:hAnsi="宋体" w:eastAsia="黑体"/>
          <w:b/>
          <w:bCs/>
          <w:kern w:val="44"/>
          <w:sz w:val="28"/>
          <w:szCs w:val="44"/>
        </w:rPr>
        <w:t>投标文件初审表</w:t>
      </w:r>
    </w:p>
    <w:p>
      <w:pPr>
        <w:rPr>
          <w:rFonts w:hint="eastAsia"/>
          <w:b/>
        </w:rPr>
      </w:pPr>
    </w:p>
    <w:p>
      <w:pPr>
        <w:spacing w:before="159" w:beforeLines="50" w:after="159" w:afterLines="50"/>
        <w:rPr>
          <w:rFonts w:hint="eastAsia"/>
          <w:b/>
          <w:bCs/>
          <w:sz w:val="22"/>
        </w:rPr>
      </w:pPr>
      <w:r>
        <w:rPr>
          <w:rFonts w:hint="eastAsia"/>
          <w:b/>
          <w:bCs/>
          <w:sz w:val="22"/>
        </w:rPr>
        <w:t>凡有下列情形之一的，其投标文件作无效处理：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13" w:type="dxa"/>
            <w:gridSpan w:val="2"/>
            <w:noWrap w:val="0"/>
            <w:vAlign w:val="center"/>
          </w:tcPr>
          <w:p>
            <w:pPr>
              <w:jc w:val="center"/>
              <w:rPr>
                <w:b/>
              </w:rPr>
            </w:pPr>
            <w:r>
              <w:rPr>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8" w:type="dxa"/>
            <w:noWrap w:val="0"/>
            <w:vAlign w:val="center"/>
          </w:tcPr>
          <w:p>
            <w:pPr>
              <w:numPr>
                <w:ilvl w:val="0"/>
                <w:numId w:val="1"/>
              </w:numPr>
            </w:pPr>
          </w:p>
        </w:tc>
        <w:tc>
          <w:tcPr>
            <w:tcW w:w="7645" w:type="dxa"/>
            <w:noWrap w:val="0"/>
            <w:vAlign w:val="center"/>
          </w:tcPr>
          <w:p>
            <w:r>
              <w:rPr>
                <w:rFonts w:hint="eastAsia"/>
              </w:rPr>
              <w:t>不具备采购文件所列的资格要求，或未提交相应的资格证明资料（详见采购公告）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8" w:type="dxa"/>
            <w:noWrap w:val="0"/>
            <w:vAlign w:val="center"/>
          </w:tcPr>
          <w:p>
            <w:pPr>
              <w:numPr>
                <w:ilvl w:val="0"/>
                <w:numId w:val="1"/>
              </w:numPr>
              <w:jc w:val="center"/>
            </w:pPr>
          </w:p>
        </w:tc>
        <w:tc>
          <w:tcPr>
            <w:tcW w:w="7645" w:type="dxa"/>
            <w:noWrap w:val="0"/>
            <w:vAlign w:val="center"/>
          </w:tcPr>
          <w:p>
            <w:pPr>
              <w:rPr>
                <w:rFonts w:hint="eastAsia"/>
              </w:rPr>
            </w:pPr>
            <w:r>
              <w:rPr>
                <w:rFonts w:hint="eastAsia"/>
              </w:rPr>
              <w:t>不具备国家有关法律规定的有关资质的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13" w:type="dxa"/>
            <w:gridSpan w:val="2"/>
            <w:noWrap w:val="0"/>
            <w:vAlign w:val="center"/>
          </w:tcPr>
          <w:p>
            <w:pPr>
              <w:jc w:val="center"/>
              <w:rPr>
                <w:b/>
              </w:rPr>
            </w:pPr>
            <w:r>
              <w:rPr>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numPr>
                <w:ilvl w:val="0"/>
                <w:numId w:val="2"/>
              </w:numPr>
              <w:jc w:val="center"/>
            </w:pPr>
          </w:p>
        </w:tc>
        <w:tc>
          <w:tcPr>
            <w:tcW w:w="7645" w:type="dxa"/>
            <w:noWrap w:val="0"/>
            <w:vAlign w:val="center"/>
          </w:tcPr>
          <w:p>
            <w: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numPr>
                <w:ilvl w:val="0"/>
                <w:numId w:val="2"/>
              </w:numPr>
              <w:jc w:val="center"/>
            </w:pPr>
          </w:p>
        </w:tc>
        <w:tc>
          <w:tcPr>
            <w:tcW w:w="7645" w:type="dxa"/>
            <w:noWrap w:val="0"/>
            <w:vAlign w:val="center"/>
          </w:tcPr>
          <w:p>
            <w:r>
              <w:t>采购文件未规定允许有替代方案时，同时提供两套或两套以上的投标方案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8" w:type="dxa"/>
            <w:noWrap w:val="0"/>
            <w:vAlign w:val="center"/>
          </w:tcPr>
          <w:p>
            <w:pPr>
              <w:numPr>
                <w:ilvl w:val="0"/>
                <w:numId w:val="2"/>
              </w:numPr>
              <w:jc w:val="center"/>
            </w:pPr>
          </w:p>
        </w:tc>
        <w:tc>
          <w:tcPr>
            <w:tcW w:w="7645" w:type="dxa"/>
            <w:noWrap w:val="0"/>
            <w:vAlign w:val="center"/>
          </w:tcPr>
          <w:p>
            <w: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8" w:type="dxa"/>
            <w:noWrap w:val="0"/>
            <w:vAlign w:val="center"/>
          </w:tcPr>
          <w:p>
            <w:pPr>
              <w:numPr>
                <w:ilvl w:val="0"/>
                <w:numId w:val="2"/>
              </w:numPr>
              <w:jc w:val="center"/>
            </w:pPr>
          </w:p>
        </w:tc>
        <w:tc>
          <w:tcPr>
            <w:tcW w:w="7645" w:type="dxa"/>
            <w:noWrap w:val="0"/>
            <w:vAlign w:val="center"/>
          </w:tcPr>
          <w:p>
            <w: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68" w:type="dxa"/>
            <w:noWrap w:val="0"/>
            <w:vAlign w:val="center"/>
          </w:tcPr>
          <w:p>
            <w:pPr>
              <w:numPr>
                <w:ilvl w:val="0"/>
                <w:numId w:val="2"/>
              </w:numPr>
              <w:jc w:val="center"/>
            </w:pPr>
          </w:p>
        </w:tc>
        <w:tc>
          <w:tcPr>
            <w:tcW w:w="7645" w:type="dxa"/>
            <w:noWrap w:val="0"/>
            <w:vAlign w:val="center"/>
          </w:tcPr>
          <w:p>
            <w:r>
              <w:rPr>
                <w:rFonts w:hint="eastAsia"/>
              </w:rPr>
              <w:t>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68" w:type="dxa"/>
            <w:noWrap w:val="0"/>
            <w:vAlign w:val="center"/>
          </w:tcPr>
          <w:p>
            <w:pPr>
              <w:numPr>
                <w:ilvl w:val="0"/>
                <w:numId w:val="2"/>
              </w:numPr>
              <w:jc w:val="center"/>
            </w:pPr>
          </w:p>
        </w:tc>
        <w:tc>
          <w:tcPr>
            <w:tcW w:w="7645" w:type="dxa"/>
            <w:noWrap w:val="0"/>
            <w:vAlign w:val="center"/>
          </w:tcPr>
          <w:p>
            <w:r>
              <w:t>投标报价有缺漏项目或对采购文件规定的服务清单项目及数量进行修改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8" w:type="dxa"/>
            <w:noWrap w:val="0"/>
            <w:vAlign w:val="center"/>
          </w:tcPr>
          <w:p>
            <w:pPr>
              <w:numPr>
                <w:ilvl w:val="0"/>
                <w:numId w:val="2"/>
              </w:numPr>
              <w:jc w:val="center"/>
            </w:pPr>
          </w:p>
        </w:tc>
        <w:tc>
          <w:tcPr>
            <w:tcW w:w="7645" w:type="dxa"/>
            <w:noWrap w:val="0"/>
            <w:vAlign w:val="center"/>
          </w:tcPr>
          <w:p>
            <w:r>
              <w:t>投标文件载明的服务期（完工期）超过采购文件规定的期限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noWrap w:val="0"/>
            <w:vAlign w:val="center"/>
          </w:tcPr>
          <w:p>
            <w:pPr>
              <w:numPr>
                <w:ilvl w:val="0"/>
                <w:numId w:val="2"/>
              </w:numPr>
              <w:jc w:val="center"/>
            </w:pPr>
          </w:p>
        </w:tc>
        <w:tc>
          <w:tcPr>
            <w:tcW w:w="7645" w:type="dxa"/>
            <w:noWrap w:val="0"/>
            <w:vAlign w:val="center"/>
          </w:tcPr>
          <w:p>
            <w:r>
              <w:t>投标文件载明的免费保修期低于采购文件规定的期限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8" w:type="dxa"/>
            <w:noWrap w:val="0"/>
            <w:vAlign w:val="center"/>
          </w:tcPr>
          <w:p>
            <w:pPr>
              <w:numPr>
                <w:ilvl w:val="0"/>
                <w:numId w:val="2"/>
              </w:numPr>
              <w:jc w:val="center"/>
            </w:pPr>
          </w:p>
        </w:tc>
        <w:tc>
          <w:tcPr>
            <w:tcW w:w="7645" w:type="dxa"/>
            <w:noWrap w:val="0"/>
            <w:vAlign w:val="center"/>
          </w:tcPr>
          <w:p>
            <w:r>
              <w:t xml:space="preserve">所投产品、工程、服务在质量、技术、方案等方面没有实质性满足采购文件要求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noWrap w:val="0"/>
            <w:vAlign w:val="center"/>
          </w:tcPr>
          <w:p>
            <w:pPr>
              <w:numPr>
                <w:ilvl w:val="0"/>
                <w:numId w:val="2"/>
              </w:numPr>
              <w:jc w:val="center"/>
            </w:pPr>
          </w:p>
        </w:tc>
        <w:tc>
          <w:tcPr>
            <w:tcW w:w="7645" w:type="dxa"/>
            <w:noWrap w:val="0"/>
            <w:vAlign w:val="center"/>
          </w:tcPr>
          <w:p>
            <w:r>
              <w:rPr>
                <w:rFonts w:hint="eastAsia"/>
              </w:rPr>
              <w:t>未按采购文件要求的格式和内容提供</w:t>
            </w:r>
            <w:r>
              <w:t>《</w:t>
            </w:r>
            <w:r>
              <w:rPr>
                <w:rFonts w:hint="eastAsia"/>
              </w:rPr>
              <w:t>投标函》、《政府采购投标承诺函》；未按采购文件对投标文件组成的要求提供投标文件的（投标文件组成不完整）；投标文件的数量、制作、密封、标记、盖章不符合采购文件要求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8" w:type="dxa"/>
            <w:noWrap w:val="0"/>
            <w:vAlign w:val="center"/>
          </w:tcPr>
          <w:p>
            <w:pPr>
              <w:numPr>
                <w:ilvl w:val="0"/>
                <w:numId w:val="2"/>
              </w:numPr>
              <w:jc w:val="center"/>
            </w:pPr>
          </w:p>
        </w:tc>
        <w:tc>
          <w:tcPr>
            <w:tcW w:w="7645" w:type="dxa"/>
            <w:noWrap w:val="0"/>
            <w:vAlign w:val="center"/>
          </w:tcPr>
          <w:p>
            <w:r>
              <w:t>法律、法规规定的其他情形</w:t>
            </w:r>
          </w:p>
        </w:tc>
      </w:tr>
    </w:tbl>
    <w:p>
      <w:pPr>
        <w:jc w:val="both"/>
        <w:rPr>
          <w:rFonts w:hint="eastAsia" w:ascii="华文中宋" w:hAnsi="华文中宋" w:eastAsia="华文中宋"/>
          <w:b/>
          <w:sz w:val="120"/>
          <w:szCs w:val="120"/>
          <w:shd w:val="clear" w:color="FFFFFF" w:fill="D9D9D9"/>
        </w:rPr>
      </w:pPr>
    </w:p>
    <w:p>
      <w:pPr>
        <w:widowControl/>
        <w:spacing w:line="560" w:lineRule="exact"/>
        <w:jc w:val="left"/>
        <w:rPr>
          <w:rFonts w:ascii="仿宋" w:hAnsi="仿宋" w:eastAsia="仿宋" w:cs="宋体"/>
          <w:kern w:val="0"/>
          <w:sz w:val="32"/>
          <w:szCs w:val="32"/>
        </w:rPr>
      </w:pPr>
    </w:p>
    <w:p>
      <w:pPr>
        <w:rPr>
          <w:rFonts w:ascii="黑体" w:hAnsi="宋体" w:eastAsia="黑体" w:cs="宋体"/>
          <w:sz w:val="36"/>
          <w:szCs w:val="36"/>
        </w:rPr>
        <w:sectPr>
          <w:footerReference r:id="rId4" w:type="default"/>
          <w:pgSz w:w="11906" w:h="16838"/>
          <w:pgMar w:top="1418" w:right="1474" w:bottom="1091" w:left="1588" w:header="851" w:footer="992" w:gutter="0"/>
          <w:pgNumType w:fmt="decimal"/>
          <w:cols w:space="720" w:num="1"/>
          <w:docGrid w:type="lines" w:linePitch="312" w:charSpace="0"/>
        </w:sectPr>
      </w:pPr>
    </w:p>
    <w:p>
      <w:pPr>
        <w:keepNext w:val="0"/>
        <w:keepLines w:val="0"/>
        <w:pageBreakBefore w:val="0"/>
        <w:widowControl/>
        <w:numPr>
          <w:ilvl w:val="0"/>
          <w:numId w:val="0"/>
        </w:numPr>
        <w:tabs>
          <w:tab w:val="left" w:pos="0"/>
        </w:tabs>
        <w:kinsoku/>
        <w:wordWrap/>
        <w:overflowPunct/>
        <w:topLinePunct w:val="0"/>
        <w:autoSpaceDE/>
        <w:autoSpaceDN/>
        <w:bidi w:val="0"/>
        <w:adjustRightInd/>
        <w:spacing w:line="560" w:lineRule="exact"/>
        <w:ind w:firstLine="642" w:firstLineChars="200"/>
        <w:jc w:val="left"/>
        <w:textAlignment w:val="auto"/>
        <w:rPr>
          <w:rFonts w:hint="eastAsia" w:ascii="黑体" w:hAnsi="宋体" w:eastAsia="黑体" w:cs="宋体"/>
          <w:b/>
          <w:color w:val="auto"/>
          <w:kern w:val="0"/>
          <w:sz w:val="32"/>
          <w:szCs w:val="32"/>
          <w:highlight w:val="none"/>
          <w:lang w:val="en-US" w:eastAsia="zh-CN"/>
        </w:rPr>
      </w:pPr>
      <w:r>
        <w:rPr>
          <w:rFonts w:hint="eastAsia" w:ascii="黑体" w:hAnsi="宋体" w:eastAsia="黑体" w:cs="宋体"/>
          <w:b/>
          <w:color w:val="auto"/>
          <w:kern w:val="0"/>
          <w:sz w:val="32"/>
          <w:szCs w:val="32"/>
          <w:highlight w:val="none"/>
          <w:lang w:val="en-US" w:eastAsia="zh-CN"/>
        </w:rPr>
        <w:t>一、采购项目概况</w:t>
      </w:r>
    </w:p>
    <w:p>
      <w:pPr>
        <w:pStyle w:val="13"/>
        <w:keepNext w:val="0"/>
        <w:keepLines w:val="0"/>
        <w:pageBreakBefore w:val="0"/>
        <w:kinsoku/>
        <w:wordWrap/>
        <w:overflowPunct/>
        <w:topLinePunct w:val="0"/>
        <w:autoSpaceDE/>
        <w:autoSpaceDN/>
        <w:bidi w:val="0"/>
        <w:adjustRightInd/>
        <w:spacing w:after="0" w:line="560" w:lineRule="exact"/>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为满足广大党员群众的多元需求，提高居民幸福感和获得感，我街道持续加强党群服务阵地建设，先后设立了丹梓龙庭社工服务点、</w:t>
      </w:r>
      <w:r>
        <w:rPr>
          <w:rFonts w:hint="eastAsia" w:ascii="CESI仿宋-GB2312" w:hAnsi="CESI仿宋-GB2312" w:eastAsia="CESI仿宋-GB2312" w:cs="CESI仿宋-GB2312"/>
          <w:color w:val="auto"/>
          <w:sz w:val="32"/>
          <w:szCs w:val="32"/>
          <w:highlight w:val="none"/>
          <w:lang w:eastAsia="zh-CN"/>
        </w:rPr>
        <w:t>新明苑社工服务点。其中</w:t>
      </w:r>
      <w:r>
        <w:rPr>
          <w:rFonts w:hint="eastAsia" w:ascii="CESI仿宋-GB2312" w:hAnsi="CESI仿宋-GB2312" w:eastAsia="CESI仿宋-GB2312" w:cs="CESI仿宋-GB2312"/>
          <w:color w:val="auto"/>
          <w:sz w:val="32"/>
          <w:szCs w:val="32"/>
          <w:highlight w:val="none"/>
          <w:lang w:val="en-US" w:eastAsia="zh-CN"/>
        </w:rPr>
        <w:t>丹梓龙庭社工服务点</w:t>
      </w:r>
      <w:r>
        <w:rPr>
          <w:rFonts w:hint="eastAsia" w:ascii="CESI仿宋-GB2312" w:hAnsi="CESI仿宋-GB2312" w:eastAsia="CESI仿宋-GB2312" w:cs="CESI仿宋-GB2312"/>
          <w:color w:val="auto"/>
          <w:sz w:val="32"/>
          <w:szCs w:val="32"/>
          <w:highlight w:val="none"/>
          <w:lang w:eastAsia="zh-CN"/>
        </w:rPr>
        <w:t>为</w:t>
      </w:r>
      <w:r>
        <w:rPr>
          <w:rFonts w:hint="eastAsia" w:ascii="CESI仿宋-GB2312" w:hAnsi="CESI仿宋-GB2312" w:eastAsia="CESI仿宋-GB2312" w:cs="CESI仿宋-GB2312"/>
          <w:color w:val="auto"/>
          <w:sz w:val="32"/>
          <w:szCs w:val="32"/>
          <w:highlight w:val="none"/>
        </w:rPr>
        <w:t>社区</w:t>
      </w:r>
      <w:r>
        <w:rPr>
          <w:rFonts w:hint="eastAsia" w:ascii="CESI仿宋-GB2312" w:hAnsi="CESI仿宋-GB2312" w:eastAsia="CESI仿宋-GB2312" w:cs="CESI仿宋-GB2312"/>
          <w:color w:val="auto"/>
          <w:sz w:val="32"/>
          <w:szCs w:val="32"/>
          <w:highlight w:val="none"/>
          <w:lang w:eastAsia="zh-CN"/>
        </w:rPr>
        <w:t>党员群众</w:t>
      </w:r>
      <w:r>
        <w:rPr>
          <w:rFonts w:hint="eastAsia" w:ascii="CESI仿宋-GB2312" w:hAnsi="CESI仿宋-GB2312" w:eastAsia="CESI仿宋-GB2312" w:cs="CESI仿宋-GB2312"/>
          <w:color w:val="auto"/>
          <w:kern w:val="0"/>
          <w:sz w:val="32"/>
          <w:szCs w:val="32"/>
          <w:highlight w:val="none"/>
        </w:rPr>
        <w:t>提供个案、小组、社区活动</w:t>
      </w:r>
      <w:r>
        <w:rPr>
          <w:rFonts w:hint="eastAsia" w:ascii="CESI仿宋-GB2312" w:hAnsi="CESI仿宋-GB2312" w:eastAsia="CESI仿宋-GB2312" w:cs="CESI仿宋-GB2312"/>
          <w:color w:val="auto"/>
          <w:kern w:val="0"/>
          <w:sz w:val="32"/>
          <w:szCs w:val="32"/>
          <w:highlight w:val="none"/>
          <w:lang w:eastAsia="zh-CN"/>
        </w:rPr>
        <w:t>等综合性</w:t>
      </w:r>
      <w:r>
        <w:rPr>
          <w:rFonts w:hint="eastAsia" w:ascii="CESI仿宋-GB2312" w:hAnsi="CESI仿宋-GB2312" w:eastAsia="CESI仿宋-GB2312" w:cs="CESI仿宋-GB2312"/>
          <w:color w:val="auto"/>
          <w:sz w:val="32"/>
          <w:szCs w:val="32"/>
          <w:highlight w:val="none"/>
        </w:rPr>
        <w:t>社工服务</w:t>
      </w:r>
      <w:r>
        <w:rPr>
          <w:rFonts w:hint="eastAsia" w:ascii="CESI仿宋-GB2312" w:hAnsi="CESI仿宋-GB2312" w:eastAsia="CESI仿宋-GB2312" w:cs="CESI仿宋-GB2312"/>
          <w:color w:val="auto"/>
          <w:sz w:val="32"/>
          <w:szCs w:val="32"/>
          <w:highlight w:val="none"/>
          <w:lang w:eastAsia="zh-CN"/>
        </w:rPr>
        <w:t>；新明苑社工服务点包括前台服务区、便民服务区，暖蜂驿站、自助服务区及</w:t>
      </w:r>
      <w:r>
        <w:rPr>
          <w:rFonts w:hint="eastAsia" w:ascii="CESI仿宋-GB2312" w:hAnsi="CESI仿宋-GB2312" w:eastAsia="CESI仿宋-GB2312" w:cs="CESI仿宋-GB2312"/>
          <w:color w:val="auto"/>
          <w:sz w:val="32"/>
          <w:szCs w:val="32"/>
          <w:highlight w:val="none"/>
          <w:lang w:val="en-US" w:eastAsia="zh-CN"/>
        </w:rPr>
        <w:t>群众活动中心等，为</w:t>
      </w:r>
      <w:r>
        <w:rPr>
          <w:rFonts w:hint="eastAsia" w:ascii="CESI仿宋-GB2312" w:hAnsi="CESI仿宋-GB2312" w:eastAsia="CESI仿宋-GB2312" w:cs="CESI仿宋-GB2312"/>
          <w:color w:val="auto"/>
          <w:sz w:val="32"/>
          <w:szCs w:val="32"/>
          <w:highlight w:val="none"/>
          <w:lang w:eastAsia="zh-CN"/>
        </w:rPr>
        <w:t>辖区党员群众、社区老人以及户外工作者提供</w:t>
      </w:r>
      <w:r>
        <w:rPr>
          <w:rFonts w:hint="eastAsia" w:ascii="CESI仿宋-GB2312" w:hAnsi="CESI仿宋-GB2312" w:eastAsia="CESI仿宋-GB2312" w:cs="CESI仿宋-GB2312"/>
          <w:color w:val="auto"/>
          <w:sz w:val="32"/>
          <w:szCs w:val="32"/>
          <w:highlight w:val="none"/>
          <w:lang w:val="en-US" w:eastAsia="zh-CN"/>
        </w:rPr>
        <w:t>优质公共服务。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color w:val="auto"/>
          <w:highlight w:val="none"/>
          <w:lang w:val="en" w:eastAsia="zh-CN"/>
        </w:rPr>
      </w:pPr>
      <w:r>
        <w:rPr>
          <w:rFonts w:hint="eastAsia" w:ascii="仿宋_GB2312" w:hAnsi="仿宋" w:eastAsia="仿宋_GB2312" w:cs="仿宋"/>
          <w:color w:val="auto"/>
          <w:kern w:val="0"/>
          <w:sz w:val="32"/>
          <w:szCs w:val="32"/>
          <w:highlight w:val="none"/>
        </w:rPr>
        <w:t>为保障坑梓街道</w:t>
      </w:r>
      <w:r>
        <w:rPr>
          <w:rFonts w:hint="eastAsia" w:ascii="CESI仿宋-GB2312" w:hAnsi="CESI仿宋-GB2312" w:eastAsia="CESI仿宋-GB2312" w:cs="CESI仿宋-GB2312"/>
          <w:color w:val="auto"/>
          <w:sz w:val="32"/>
          <w:szCs w:val="32"/>
          <w:highlight w:val="none"/>
          <w:lang w:val="en-US" w:eastAsia="zh-CN"/>
        </w:rPr>
        <w:t>丹梓龙庭社工服务点、</w:t>
      </w:r>
      <w:r>
        <w:rPr>
          <w:rFonts w:hint="eastAsia" w:ascii="CESI仿宋-GB2312" w:hAnsi="CESI仿宋-GB2312" w:eastAsia="CESI仿宋-GB2312" w:cs="CESI仿宋-GB2312"/>
          <w:color w:val="auto"/>
          <w:sz w:val="32"/>
          <w:szCs w:val="32"/>
          <w:highlight w:val="none"/>
          <w:lang w:eastAsia="zh-CN"/>
        </w:rPr>
        <w:t>新明苑社工服务点</w:t>
      </w:r>
      <w:r>
        <w:rPr>
          <w:rFonts w:hint="eastAsia" w:ascii="仿宋_GB2312" w:hAnsi="仿宋" w:eastAsia="仿宋_GB2312" w:cs="仿宋"/>
          <w:color w:val="auto"/>
          <w:kern w:val="0"/>
          <w:sz w:val="32"/>
          <w:szCs w:val="32"/>
          <w:highlight w:val="none"/>
        </w:rPr>
        <w:t>的正常运营，按照市、区关于社区党群服务中心运营的相关规定及关于购买第三方社会运营机构的相关要求，项目拟通过公开招标的方式，挑选最优秀的服务机构作为</w:t>
      </w:r>
      <w:r>
        <w:rPr>
          <w:rFonts w:hint="eastAsia" w:ascii="仿宋_GB2312" w:hAnsi="仿宋" w:eastAsia="仿宋_GB2312" w:cs="仿宋"/>
          <w:color w:val="auto"/>
          <w:kern w:val="0"/>
          <w:sz w:val="32"/>
          <w:szCs w:val="32"/>
          <w:highlight w:val="none"/>
          <w:lang w:eastAsia="zh-CN"/>
        </w:rPr>
        <w:t>上述两个社工服务点</w:t>
      </w:r>
      <w:r>
        <w:rPr>
          <w:rFonts w:hint="eastAsia" w:ascii="仿宋_GB2312" w:hAnsi="仿宋" w:eastAsia="仿宋_GB2312" w:cs="仿宋"/>
          <w:color w:val="auto"/>
          <w:kern w:val="0"/>
          <w:sz w:val="32"/>
          <w:szCs w:val="32"/>
          <w:highlight w:val="none"/>
        </w:rPr>
        <w:t>的运营供应商，提供</w:t>
      </w:r>
      <w:r>
        <w:rPr>
          <w:rFonts w:hint="eastAsia" w:ascii="仿宋_GB2312" w:hAnsi="仿宋" w:eastAsia="仿宋_GB2312" w:cs="仿宋"/>
          <w:color w:val="auto"/>
          <w:kern w:val="0"/>
          <w:sz w:val="32"/>
          <w:szCs w:val="32"/>
          <w:highlight w:val="none"/>
          <w:lang w:eastAsia="zh-CN"/>
        </w:rPr>
        <w:t>有关</w:t>
      </w:r>
      <w:r>
        <w:rPr>
          <w:rFonts w:hint="eastAsia" w:ascii="仿宋_GB2312" w:hAnsi="仿宋" w:eastAsia="仿宋_GB2312" w:cs="仿宋"/>
          <w:color w:val="auto"/>
          <w:kern w:val="0"/>
          <w:sz w:val="32"/>
          <w:szCs w:val="32"/>
          <w:highlight w:val="none"/>
        </w:rPr>
        <w:t>业务及服务工作。</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黑体" w:hAnsi="宋体" w:eastAsia="黑体" w:cs="宋体"/>
          <w:b/>
          <w:color w:val="auto"/>
          <w:kern w:val="0"/>
          <w:sz w:val="32"/>
          <w:szCs w:val="32"/>
          <w:highlight w:val="none"/>
          <w:lang w:val="en-US" w:eastAsia="zh-CN" w:bidi="ar-SA"/>
        </w:rPr>
        <w:t>二、项目管理和服务要求</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（一）投标资质要求：</w:t>
      </w:r>
    </w:p>
    <w:p>
      <w:pPr>
        <w:pStyle w:val="1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1.</w:t>
      </w:r>
      <w:r>
        <w:rPr>
          <w:rFonts w:hint="eastAsia" w:ascii="仿宋_GB2312" w:hAnsi="仿宋" w:eastAsia="仿宋_GB2312" w:cs="仿宋"/>
          <w:color w:val="auto"/>
          <w:kern w:val="0"/>
          <w:sz w:val="32"/>
          <w:szCs w:val="32"/>
          <w:highlight w:val="none"/>
        </w:rPr>
        <w:t>已在深圳市政府采购网注册的政府采购供应商，并具有相关经营范围和独立法人资格，以及在民政部门注册的民间机构；须提供《深圳市政府采购注册卡》复印件加盖投标人公章。</w:t>
      </w:r>
    </w:p>
    <w:p>
      <w:pPr>
        <w:pStyle w:val="1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val="en-US" w:eastAsia="zh-CN"/>
        </w:rPr>
        <w:t>2.</w:t>
      </w:r>
      <w:r>
        <w:rPr>
          <w:rFonts w:hint="eastAsia" w:ascii="仿宋_GB2312" w:hAnsi="仿宋" w:eastAsia="仿宋_GB2312" w:cs="仿宋"/>
          <w:color w:val="auto"/>
          <w:kern w:val="0"/>
          <w:sz w:val="32"/>
          <w:szCs w:val="32"/>
          <w:highlight w:val="none"/>
        </w:rPr>
        <w:t>本项目不接受联合体投标，不允许分包，不接受投标人选用进口产品参与投标。</w:t>
      </w:r>
    </w:p>
    <w:p>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3.</w:t>
      </w:r>
      <w:r>
        <w:rPr>
          <w:rFonts w:hint="eastAsia" w:ascii="仿宋_GB2312" w:hAnsi="仿宋" w:eastAsia="仿宋_GB2312" w:cs="仿宋"/>
          <w:color w:val="auto"/>
          <w:kern w:val="0"/>
          <w:sz w:val="32"/>
          <w:szCs w:val="32"/>
          <w:highlight w:val="none"/>
        </w:rPr>
        <w:t>近三年内无行贿犯罪记录（由深圳市政府采购中心定期向深圳市人民检察院申请对政府采购供应商库中注册有效的供应商进行集中查询，供应商投标报名时在政府采购供应商库中的状态为有效，投标文件中无需提供证明材料）</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（二）人员要求：</w:t>
      </w:r>
    </w:p>
    <w:p>
      <w:pPr>
        <w:pStyle w:val="13"/>
        <w:keepNext w:val="0"/>
        <w:keepLines w:val="0"/>
        <w:pageBreakBefore w:val="0"/>
        <w:topLinePunct w:val="0"/>
        <w:bidi w:val="0"/>
        <w:spacing w:line="560" w:lineRule="exact"/>
        <w:textAlignment w:val="auto"/>
        <w:rPr>
          <w:rFonts w:hint="eastAsia" w:eastAsia="仿宋_GB2312"/>
          <w:b w:val="0"/>
          <w:bCs w:val="0"/>
          <w:color w:val="auto"/>
          <w:highlight w:val="none"/>
          <w:lang w:val="en-US" w:eastAsia="zh-CN"/>
        </w:rPr>
      </w:pPr>
      <w:r>
        <w:rPr>
          <w:rFonts w:hint="eastAsia" w:ascii="仿宋_GB2312" w:hAnsi="仿宋" w:eastAsia="仿宋_GB2312" w:cs="仿宋"/>
          <w:b w:val="0"/>
          <w:bCs w:val="0"/>
          <w:color w:val="auto"/>
          <w:kern w:val="0"/>
          <w:sz w:val="32"/>
          <w:szCs w:val="32"/>
          <w:highlight w:val="none"/>
          <w:lang w:val="en-US" w:eastAsia="zh-CN"/>
        </w:rPr>
        <w:t>1.</w:t>
      </w:r>
      <w:r>
        <w:rPr>
          <w:rFonts w:hint="eastAsia" w:ascii="仿宋_GB2312" w:hAnsi="仿宋" w:eastAsia="仿宋_GB2312" w:cs="仿宋"/>
          <w:b w:val="0"/>
          <w:bCs w:val="0"/>
          <w:color w:val="auto"/>
          <w:kern w:val="0"/>
          <w:sz w:val="32"/>
          <w:szCs w:val="32"/>
          <w:highlight w:val="none"/>
          <w:lang w:eastAsia="zh-CN"/>
        </w:rPr>
        <w:t>中标人需派驻</w:t>
      </w:r>
      <w:r>
        <w:rPr>
          <w:rFonts w:hint="eastAsia" w:ascii="仿宋_GB2312" w:hAnsi="仿宋" w:eastAsia="仿宋_GB2312" w:cs="仿宋"/>
          <w:b w:val="0"/>
          <w:bCs w:val="0"/>
          <w:color w:val="auto"/>
          <w:kern w:val="0"/>
          <w:sz w:val="32"/>
          <w:szCs w:val="32"/>
          <w:highlight w:val="none"/>
          <w:lang w:val="en-US" w:eastAsia="zh-CN"/>
        </w:rPr>
        <w:t>4名员工，须为每个社工服务站点设置2名工作人员，其中注册社工1名（须有1名是中共党员），</w:t>
      </w:r>
      <w:r>
        <w:rPr>
          <w:rFonts w:hint="eastAsia" w:ascii="仿宋" w:hAnsi="仿宋" w:eastAsia="仿宋" w:cs="仿宋"/>
          <w:b w:val="0"/>
          <w:bCs w:val="0"/>
          <w:color w:val="auto"/>
          <w:kern w:val="2"/>
          <w:sz w:val="30"/>
          <w:szCs w:val="30"/>
          <w:highlight w:val="none"/>
          <w:lang w:val="en-US" w:eastAsia="zh-CN" w:bidi="ar-SA"/>
        </w:rPr>
        <w:t>项目负责人</w:t>
      </w:r>
      <w:r>
        <w:rPr>
          <w:rFonts w:hint="eastAsia" w:ascii="仿宋_GB2312" w:hAnsi="仿宋" w:eastAsia="仿宋_GB2312" w:cs="仿宋"/>
          <w:b w:val="0"/>
          <w:bCs w:val="0"/>
          <w:color w:val="auto"/>
          <w:kern w:val="0"/>
          <w:sz w:val="32"/>
          <w:szCs w:val="32"/>
          <w:highlight w:val="none"/>
        </w:rPr>
        <w:t>应当</w:t>
      </w:r>
      <w:r>
        <w:rPr>
          <w:rFonts w:hint="eastAsia" w:ascii="仿宋" w:hAnsi="仿宋" w:eastAsia="仿宋" w:cs="仿宋"/>
          <w:b w:val="0"/>
          <w:bCs w:val="0"/>
          <w:color w:val="auto"/>
          <w:kern w:val="2"/>
          <w:sz w:val="30"/>
          <w:szCs w:val="30"/>
          <w:highlight w:val="none"/>
          <w:lang w:val="en-US" w:eastAsia="zh-CN" w:bidi="ar-SA"/>
        </w:rPr>
        <w:t>具有</w:t>
      </w:r>
      <w:r>
        <w:rPr>
          <w:rFonts w:hint="eastAsia" w:ascii="仿宋_GB2312" w:hAnsi="仿宋" w:eastAsia="仿宋_GB2312" w:cs="仿宋"/>
          <w:b w:val="0"/>
          <w:bCs w:val="0"/>
          <w:color w:val="auto"/>
          <w:kern w:val="0"/>
          <w:sz w:val="32"/>
          <w:szCs w:val="32"/>
          <w:highlight w:val="none"/>
        </w:rPr>
        <w:t>社会工作</w:t>
      </w:r>
      <w:r>
        <w:rPr>
          <w:rFonts w:hint="eastAsia" w:ascii="仿宋" w:hAnsi="仿宋" w:eastAsia="仿宋" w:cs="仿宋"/>
          <w:b w:val="0"/>
          <w:bCs w:val="0"/>
          <w:color w:val="auto"/>
          <w:kern w:val="2"/>
          <w:sz w:val="30"/>
          <w:szCs w:val="30"/>
          <w:highlight w:val="none"/>
          <w:lang w:val="en-US" w:eastAsia="zh-CN" w:bidi="ar-SA"/>
        </w:rPr>
        <w:t>等相关从业经验，</w:t>
      </w:r>
      <w:r>
        <w:rPr>
          <w:rFonts w:hint="eastAsia" w:ascii="仿宋_GB2312" w:hAnsi="仿宋" w:eastAsia="仿宋_GB2312" w:cs="仿宋"/>
          <w:b w:val="0"/>
          <w:bCs w:val="0"/>
          <w:color w:val="auto"/>
          <w:kern w:val="0"/>
          <w:sz w:val="32"/>
          <w:szCs w:val="32"/>
          <w:highlight w:val="none"/>
        </w:rPr>
        <w:t>社工应当为</w:t>
      </w:r>
      <w:r>
        <w:rPr>
          <w:rFonts w:hint="eastAsia" w:ascii="仿宋_GB2312" w:hAnsi="仿宋" w:eastAsia="仿宋_GB2312" w:cs="仿宋"/>
          <w:b w:val="0"/>
          <w:bCs w:val="0"/>
          <w:color w:val="auto"/>
          <w:kern w:val="0"/>
          <w:sz w:val="32"/>
          <w:szCs w:val="32"/>
          <w:highlight w:val="none"/>
          <w:lang w:eastAsia="zh-CN"/>
        </w:rPr>
        <w:t>大专以上</w:t>
      </w:r>
      <w:r>
        <w:rPr>
          <w:rFonts w:hint="eastAsia" w:ascii="仿宋_GB2312" w:hAnsi="仿宋" w:eastAsia="仿宋_GB2312" w:cs="仿宋"/>
          <w:b w:val="0"/>
          <w:bCs w:val="0"/>
          <w:color w:val="auto"/>
          <w:kern w:val="0"/>
          <w:sz w:val="32"/>
          <w:szCs w:val="32"/>
          <w:highlight w:val="none"/>
        </w:rPr>
        <w:t>学历</w:t>
      </w:r>
      <w:r>
        <w:rPr>
          <w:rFonts w:hint="eastAsia" w:ascii="仿宋_GB2312" w:hAnsi="仿宋" w:eastAsia="仿宋_GB2312" w:cs="仿宋"/>
          <w:b w:val="0"/>
          <w:bCs w:val="0"/>
          <w:color w:val="auto"/>
          <w:kern w:val="0"/>
          <w:sz w:val="32"/>
          <w:szCs w:val="32"/>
          <w:highlight w:val="none"/>
          <w:lang w:eastAsia="zh-CN"/>
        </w:rPr>
        <w:t>。</w:t>
      </w:r>
    </w:p>
    <w:p>
      <w:pPr>
        <w:keepNext w:val="0"/>
        <w:keepLines w:val="0"/>
        <w:pageBreakBefore w:val="0"/>
        <w:tabs>
          <w:tab w:val="left" w:pos="0"/>
          <w:tab w:val="left" w:pos="180"/>
          <w:tab w:val="left" w:pos="1440"/>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b w:val="0"/>
          <w:bCs w:val="0"/>
          <w:color w:val="auto"/>
          <w:kern w:val="0"/>
          <w:sz w:val="32"/>
          <w:szCs w:val="32"/>
          <w:highlight w:val="none"/>
          <w:lang w:val="en-US" w:eastAsia="zh-CN"/>
        </w:rPr>
        <w:t>2.项目应成</w:t>
      </w:r>
      <w:r>
        <w:rPr>
          <w:rFonts w:hint="eastAsia" w:ascii="仿宋_GB2312" w:hAnsi="仿宋" w:eastAsia="仿宋_GB2312" w:cs="仿宋"/>
          <w:color w:val="auto"/>
          <w:kern w:val="0"/>
          <w:sz w:val="32"/>
          <w:szCs w:val="32"/>
          <w:highlight w:val="none"/>
          <w:lang w:val="en-US" w:eastAsia="zh-CN"/>
        </w:rPr>
        <w:t>立专门的项目领导小组和项目实施小组；</w:t>
      </w:r>
    </w:p>
    <w:p>
      <w:pPr>
        <w:keepNext w:val="0"/>
        <w:keepLines w:val="0"/>
        <w:pageBreakBefore w:val="0"/>
        <w:tabs>
          <w:tab w:val="left" w:pos="0"/>
          <w:tab w:val="left" w:pos="180"/>
          <w:tab w:val="left" w:pos="1440"/>
        </w:tabs>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_GB2312" w:hAnsi="仿宋" w:eastAsia="仿宋_GB2312" w:cs="仿宋"/>
          <w:color w:val="auto"/>
          <w:kern w:val="0"/>
          <w:sz w:val="32"/>
          <w:szCs w:val="32"/>
          <w:highlight w:val="none"/>
          <w:lang w:val="en-US" w:eastAsia="zh-CN"/>
        </w:rPr>
        <w:t>3.项目应配备与开展工作相适应的工作团队，</w:t>
      </w:r>
      <w:r>
        <w:rPr>
          <w:rFonts w:hint="eastAsia" w:ascii="仿宋_GB2312" w:hAnsi="仿宋" w:eastAsia="仿宋_GB2312" w:cs="仿宋"/>
          <w:color w:val="auto"/>
          <w:kern w:val="0"/>
          <w:sz w:val="32"/>
          <w:szCs w:val="32"/>
          <w:highlight w:val="none"/>
        </w:rPr>
        <w:t>尊重服务对象的自决权、隐私权、知情权，保护其利益，接纳服务对象；能运用专业方法和技巧，解决服务对象的实际问题；热爱社会工作，具有社会责任感和敬业精神，遵守职业操守。</w:t>
      </w:r>
    </w:p>
    <w:p>
      <w:pPr>
        <w:keepNext w:val="0"/>
        <w:keepLines w:val="0"/>
        <w:pageBreakBefore w:val="0"/>
        <w:numPr>
          <w:ilvl w:val="255"/>
          <w:numId w:val="0"/>
        </w:numPr>
        <w:tabs>
          <w:tab w:val="left" w:pos="0"/>
          <w:tab w:val="left" w:pos="180"/>
          <w:tab w:val="left" w:pos="1440"/>
        </w:tabs>
        <w:kinsoku/>
        <w:wordWrap/>
        <w:overflowPunct/>
        <w:topLinePunct w:val="0"/>
        <w:autoSpaceDE/>
        <w:autoSpaceDN/>
        <w:bidi w:val="0"/>
        <w:adjustRightInd/>
        <w:spacing w:line="560" w:lineRule="exact"/>
        <w:ind w:firstLine="600" w:firstLineChars="200"/>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eastAsia" w:ascii="仿宋_GB2312" w:hAnsi="仿宋" w:eastAsia="仿宋_GB2312" w:cs="仿宋"/>
          <w:color w:val="auto"/>
          <w:kern w:val="0"/>
          <w:sz w:val="32"/>
          <w:szCs w:val="32"/>
          <w:highlight w:val="none"/>
        </w:rPr>
        <w:t>工作人员审查及报备。项目服务提供方应按照市、区相关要求，对委派的社工及相关工作人员进行在岗培训，确保所有人员到岗即能开展工作。所在街道办事处、社区将不定期对在岗人员进行考核，对考核不合格的，有权要求社工服务机构方予以调换。</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（三）服务要求：</w:t>
      </w:r>
    </w:p>
    <w:p>
      <w:pPr>
        <w:keepNext w:val="0"/>
        <w:keepLines w:val="0"/>
        <w:pageBreakBefore w:val="0"/>
        <w:tabs>
          <w:tab w:val="left" w:pos="0"/>
          <w:tab w:val="left" w:pos="180"/>
          <w:tab w:val="left" w:pos="1440"/>
        </w:tabs>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eastAsia="zh-CN"/>
        </w:rPr>
        <w:t>社工服务点</w:t>
      </w:r>
      <w:r>
        <w:rPr>
          <w:rFonts w:hint="eastAsia" w:ascii="仿宋_GB2312" w:hAnsi="仿宋" w:eastAsia="仿宋_GB2312" w:cs="仿宋"/>
          <w:color w:val="auto"/>
          <w:kern w:val="0"/>
          <w:sz w:val="32"/>
          <w:szCs w:val="32"/>
          <w:highlight w:val="none"/>
        </w:rPr>
        <w:t>是新时代落实党的群众路线的重要阵地，是落实党的十九大关于打造共建共治共享社会治理格局的重要举措，是完善“党委领导、政府负责、社会协同、公众参与”社会治理体制的重要路径。</w:t>
      </w:r>
    </w:p>
    <w:p>
      <w:pPr>
        <w:keepNext w:val="0"/>
        <w:keepLines w:val="0"/>
        <w:pageBreakBefore w:val="0"/>
        <w:tabs>
          <w:tab w:val="left" w:pos="0"/>
          <w:tab w:val="left" w:pos="180"/>
          <w:tab w:val="left" w:pos="1440"/>
        </w:tabs>
        <w:kinsoku/>
        <w:wordWrap/>
        <w:overflowPunct/>
        <w:topLinePunct w:val="0"/>
        <w:autoSpaceDE/>
        <w:autoSpaceDN/>
        <w:bidi w:val="0"/>
        <w:adjustRightInd/>
        <w:spacing w:line="560" w:lineRule="exact"/>
        <w:ind w:firstLine="640" w:firstLineChars="200"/>
        <w:textAlignment w:val="auto"/>
        <w:rPr>
          <w:rFonts w:ascii="仿宋_GB2312" w:hAnsi="仿宋" w:eastAsia="仿宋_GB2312" w:cs="仿宋"/>
          <w:color w:val="auto"/>
          <w:kern w:val="0"/>
          <w:sz w:val="32"/>
          <w:szCs w:val="32"/>
          <w:highlight w:val="none"/>
        </w:rPr>
      </w:pP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eastAsia="zh-CN"/>
        </w:rPr>
        <w:t>服务点</w:t>
      </w:r>
      <w:r>
        <w:rPr>
          <w:rFonts w:hint="eastAsia" w:ascii="仿宋_GB2312" w:hAnsi="仿宋_GB2312" w:eastAsia="仿宋_GB2312" w:cs="仿宋_GB2312"/>
          <w:color w:val="auto"/>
          <w:sz w:val="32"/>
          <w:szCs w:val="32"/>
          <w:highlight w:val="none"/>
        </w:rPr>
        <w:t>人员应积极配合社区党委开展社区服务，</w:t>
      </w:r>
      <w:r>
        <w:rPr>
          <w:rFonts w:hint="eastAsia" w:ascii="仿宋_GB2312" w:hAnsi="仿宋_GB2312" w:eastAsia="仿宋_GB2312" w:cs="仿宋_GB2312"/>
          <w:color w:val="auto"/>
          <w:kern w:val="0"/>
          <w:sz w:val="32"/>
          <w:szCs w:val="32"/>
          <w:highlight w:val="none"/>
        </w:rPr>
        <w:t>并在社区党委的带领下，积极整合资源，充实社区服务，打造“便民服务+特色服务+精准服务”的服务体系，便民服务尽可能覆盖辖区所有领域人群，如妇女、儿童、长者等，特色服务符合社区资源优势及发展方向。要在服务内容上问需于民、优化提升，以群众需求为目标导向，不断完善服务类别和扩大服务范围。要不断优化服务配置，细化工作清单及服务优势。坚持多方资源共同参与服务、创新服务模式，打通壁垒，强化多元服务，增加阵地吸引力，共同助推社区建设。</w:t>
      </w:r>
    </w:p>
    <w:p>
      <w:pPr>
        <w:keepNext w:val="0"/>
        <w:keepLines w:val="0"/>
        <w:pageBreakBefore w:val="0"/>
        <w:tabs>
          <w:tab w:val="left" w:pos="0"/>
          <w:tab w:val="left" w:pos="180"/>
          <w:tab w:val="left" w:pos="1440"/>
        </w:tabs>
        <w:kinsoku/>
        <w:wordWrap/>
        <w:overflowPunct/>
        <w:topLinePunct w:val="0"/>
        <w:autoSpaceDE/>
        <w:autoSpaceDN/>
        <w:bidi w:val="0"/>
        <w:adjustRightInd/>
        <w:spacing w:line="560" w:lineRule="exact"/>
        <w:ind w:firstLine="640" w:firstLineChars="200"/>
        <w:textAlignment w:val="auto"/>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社区</w:t>
      </w:r>
      <w:r>
        <w:rPr>
          <w:rFonts w:hint="eastAsia" w:ascii="仿宋_GB2312" w:hAnsi="仿宋" w:eastAsia="仿宋_GB2312" w:cs="仿宋"/>
          <w:color w:val="auto"/>
          <w:kern w:val="0"/>
          <w:sz w:val="32"/>
          <w:szCs w:val="32"/>
          <w:highlight w:val="none"/>
          <w:lang w:eastAsia="zh-CN"/>
        </w:rPr>
        <w:t>服务点</w:t>
      </w:r>
      <w:r>
        <w:rPr>
          <w:rFonts w:hint="eastAsia" w:ascii="仿宋_GB2312" w:hAnsi="仿宋" w:eastAsia="仿宋_GB2312" w:cs="仿宋"/>
          <w:color w:val="auto"/>
          <w:kern w:val="0"/>
          <w:sz w:val="32"/>
          <w:szCs w:val="32"/>
          <w:highlight w:val="none"/>
        </w:rPr>
        <w:t>应在社区党委领导下</w:t>
      </w:r>
      <w:r>
        <w:rPr>
          <w:rFonts w:hint="eastAsia" w:ascii="仿宋_GB2312" w:hAnsi="仿宋" w:eastAsia="仿宋_GB2312" w:cs="仿宋"/>
          <w:color w:val="auto"/>
          <w:kern w:val="0"/>
          <w:sz w:val="32"/>
          <w:szCs w:val="32"/>
          <w:highlight w:val="none"/>
          <w:lang w:eastAsia="zh-CN"/>
        </w:rPr>
        <w:t>，</w:t>
      </w:r>
      <w:r>
        <w:rPr>
          <w:rFonts w:hint="eastAsia" w:ascii="仿宋_GB2312" w:hAnsi="仿宋" w:eastAsia="仿宋_GB2312" w:cs="仿宋"/>
          <w:color w:val="auto"/>
          <w:kern w:val="0"/>
          <w:sz w:val="32"/>
          <w:szCs w:val="32"/>
          <w:highlight w:val="none"/>
        </w:rPr>
        <w:t>开展</w:t>
      </w:r>
      <w:r>
        <w:rPr>
          <w:rFonts w:hint="eastAsia" w:ascii="仿宋_GB2312" w:hAnsi="仿宋" w:eastAsia="仿宋_GB2312" w:cs="仿宋"/>
          <w:color w:val="auto"/>
          <w:kern w:val="0"/>
          <w:sz w:val="32"/>
          <w:szCs w:val="32"/>
          <w:highlight w:val="none"/>
          <w:lang w:eastAsia="zh-CN"/>
        </w:rPr>
        <w:t>以下</w:t>
      </w:r>
      <w:r>
        <w:rPr>
          <w:rFonts w:hint="eastAsia" w:ascii="仿宋_GB2312" w:hAnsi="仿宋" w:eastAsia="仿宋_GB2312" w:cs="仿宋"/>
          <w:color w:val="auto"/>
          <w:kern w:val="0"/>
          <w:sz w:val="32"/>
          <w:szCs w:val="32"/>
          <w:highlight w:val="none"/>
        </w:rPr>
        <w:t>服务内容：</w:t>
      </w:r>
    </w:p>
    <w:p>
      <w:pPr>
        <w:keepNext w:val="0"/>
        <w:keepLines w:val="0"/>
        <w:pageBreakBefore w:val="0"/>
        <w:tabs>
          <w:tab w:val="left" w:pos="0"/>
          <w:tab w:val="left" w:pos="180"/>
          <w:tab w:val="left" w:pos="1440"/>
        </w:tabs>
        <w:kinsoku/>
        <w:wordWrap/>
        <w:overflowPunct/>
        <w:topLinePunct w:val="0"/>
        <w:autoSpaceDE/>
        <w:autoSpaceDN/>
        <w:bidi w:val="0"/>
        <w:adjustRightInd/>
        <w:spacing w:line="560" w:lineRule="exact"/>
        <w:ind w:firstLine="642" w:firstLineChars="200"/>
        <w:textAlignment w:val="auto"/>
        <w:rPr>
          <w:rFonts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lang w:val="en-US" w:eastAsia="zh-CN"/>
        </w:rPr>
        <w:t>1、</w:t>
      </w:r>
      <w:r>
        <w:rPr>
          <w:rFonts w:hint="eastAsia" w:ascii="楷体" w:hAnsi="楷体" w:eastAsia="楷体" w:cs="楷体"/>
          <w:b/>
          <w:color w:val="auto"/>
          <w:kern w:val="0"/>
          <w:sz w:val="32"/>
          <w:szCs w:val="32"/>
          <w:highlight w:val="none"/>
        </w:rPr>
        <w:t>开展党建类相关活动</w:t>
      </w:r>
    </w:p>
    <w:p>
      <w:pPr>
        <w:keepNext w:val="0"/>
        <w:keepLines w:val="0"/>
        <w:pageBreakBefore w:val="0"/>
        <w:widowControl/>
        <w:numPr>
          <w:ilvl w:val="255"/>
          <w:numId w:val="0"/>
        </w:numPr>
        <w:tabs>
          <w:tab w:val="left" w:pos="0"/>
          <w:tab w:val="left" w:pos="180"/>
          <w:tab w:val="left" w:pos="1440"/>
        </w:tabs>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搭建“党群联系平台”，协助社区党委开展组织生活、党员教育管理、党员志愿服务、党群共建活动等。</w:t>
      </w:r>
    </w:p>
    <w:p>
      <w:pPr>
        <w:keepNext w:val="0"/>
        <w:keepLines w:val="0"/>
        <w:pageBreakBefore w:val="0"/>
        <w:widowControl/>
        <w:numPr>
          <w:ilvl w:val="255"/>
          <w:numId w:val="0"/>
        </w:numPr>
        <w:kinsoku/>
        <w:wordWrap/>
        <w:overflowPunct/>
        <w:topLinePunct w:val="0"/>
        <w:autoSpaceDE/>
        <w:autoSpaceDN/>
        <w:bidi w:val="0"/>
        <w:adjustRightInd/>
        <w:snapToGrid w:val="0"/>
        <w:spacing w:line="560" w:lineRule="exact"/>
        <w:ind w:firstLine="642" w:firstLineChars="200"/>
        <w:jc w:val="left"/>
        <w:textAlignment w:val="auto"/>
        <w:rPr>
          <w:rFonts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lang w:val="en-US" w:eastAsia="zh-CN"/>
        </w:rPr>
        <w:t>2、</w:t>
      </w:r>
      <w:r>
        <w:rPr>
          <w:rFonts w:hint="eastAsia" w:ascii="楷体" w:hAnsi="楷体" w:eastAsia="楷体" w:cs="楷体"/>
          <w:b/>
          <w:color w:val="auto"/>
          <w:kern w:val="0"/>
          <w:sz w:val="32"/>
          <w:szCs w:val="32"/>
          <w:highlight w:val="none"/>
        </w:rPr>
        <w:t>开展三大类便民服务项目</w:t>
      </w:r>
    </w:p>
    <w:p>
      <w:pPr>
        <w:keepNext w:val="0"/>
        <w:keepLines w:val="0"/>
        <w:pageBreakBefore w:val="0"/>
        <w:widowControl/>
        <w:numPr>
          <w:ilvl w:val="255"/>
          <w:numId w:val="0"/>
        </w:numPr>
        <w:tabs>
          <w:tab w:val="left" w:pos="0"/>
          <w:tab w:val="left" w:pos="180"/>
          <w:tab w:val="left" w:pos="1440"/>
        </w:tabs>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开展包括关爱帮扶类、文体活动类、辅导类、家庭邻里类等在内的基础服务；二是包括社区矫正、心理咨询辅导、法律援助、技能培训、创业指导、计生服务等类别专业特色公共服务。三是通过服务机构引入或开展社区民生微实事服务类项目，由政府其他部门购买的服务项目，以及引入公益性社会组织、企业等面向社区居民合作开展的公益性服务等。</w:t>
      </w:r>
    </w:p>
    <w:p>
      <w:pPr>
        <w:keepNext w:val="0"/>
        <w:keepLines w:val="0"/>
        <w:pageBreakBefore w:val="0"/>
        <w:widowControl/>
        <w:numPr>
          <w:ilvl w:val="255"/>
          <w:numId w:val="0"/>
        </w:numPr>
        <w:kinsoku/>
        <w:wordWrap/>
        <w:overflowPunct/>
        <w:topLinePunct w:val="0"/>
        <w:autoSpaceDE/>
        <w:autoSpaceDN/>
        <w:bidi w:val="0"/>
        <w:adjustRightInd/>
        <w:snapToGrid w:val="0"/>
        <w:spacing w:line="560" w:lineRule="exact"/>
        <w:ind w:firstLine="642" w:firstLineChars="200"/>
        <w:jc w:val="left"/>
        <w:textAlignment w:val="auto"/>
        <w:rPr>
          <w:rFonts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lang w:val="en-US" w:eastAsia="zh-CN"/>
        </w:rPr>
        <w:t>3、</w:t>
      </w:r>
      <w:r>
        <w:rPr>
          <w:rFonts w:hint="eastAsia" w:ascii="楷体" w:hAnsi="楷体" w:eastAsia="楷体" w:cs="楷体"/>
          <w:b/>
          <w:color w:val="auto"/>
          <w:kern w:val="0"/>
          <w:sz w:val="32"/>
          <w:szCs w:val="32"/>
          <w:highlight w:val="none"/>
        </w:rPr>
        <w:t>开展“一站式”社会服务</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仿宋"/>
          <w:color w:val="auto"/>
          <w:kern w:val="0"/>
          <w:sz w:val="32"/>
          <w:szCs w:val="32"/>
          <w:highlight w:val="none"/>
          <w:lang w:eastAsia="zh-CN"/>
        </w:rPr>
        <w:t>中标</w:t>
      </w:r>
      <w:r>
        <w:rPr>
          <w:rFonts w:hint="eastAsia" w:ascii="仿宋_GB2312" w:hAnsi="仿宋" w:eastAsia="仿宋_GB2312" w:cs="仿宋"/>
          <w:color w:val="auto"/>
          <w:kern w:val="0"/>
          <w:sz w:val="32"/>
          <w:szCs w:val="32"/>
          <w:highlight w:val="none"/>
        </w:rPr>
        <w:t>机构</w:t>
      </w:r>
      <w:r>
        <w:rPr>
          <w:rFonts w:hint="eastAsia" w:ascii="仿宋_GB2312" w:hAnsi="仿宋_GB2312" w:eastAsia="仿宋_GB2312" w:cs="仿宋_GB2312"/>
          <w:color w:val="auto"/>
          <w:sz w:val="32"/>
          <w:szCs w:val="32"/>
          <w:highlight w:val="none"/>
        </w:rPr>
        <w:t>应明确定位、理顺关系，在街道党工委、社区党委的带领下，在街道主管部门的业务指导下，将社区</w:t>
      </w:r>
      <w:r>
        <w:rPr>
          <w:rFonts w:hint="eastAsia" w:ascii="仿宋_GB2312" w:hAnsi="仿宋_GB2312" w:eastAsia="仿宋_GB2312" w:cs="仿宋_GB2312"/>
          <w:color w:val="auto"/>
          <w:sz w:val="32"/>
          <w:szCs w:val="32"/>
          <w:highlight w:val="none"/>
          <w:lang w:eastAsia="zh-CN"/>
        </w:rPr>
        <w:t>服务点</w:t>
      </w:r>
      <w:r>
        <w:rPr>
          <w:rFonts w:hint="eastAsia" w:ascii="仿宋_GB2312" w:hAnsi="仿宋_GB2312" w:eastAsia="仿宋_GB2312" w:cs="仿宋_GB2312"/>
          <w:color w:val="auto"/>
          <w:sz w:val="32"/>
          <w:szCs w:val="32"/>
          <w:highlight w:val="none"/>
        </w:rPr>
        <w:t>工作人员打造成社区“一支服务队伍”，以专业服务参与社区事务，做好基础服务、发展特色项目、密切服务群众，构建政府主导、社会协同、公众参与的民生服务新格局。</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（四）报价要求：</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本项目投标总价按一年计，投标人投标报价须以人民币为单位，项目预算金额不超过37.2万元。</w:t>
      </w:r>
    </w:p>
    <w:p>
      <w:pPr>
        <w:keepNext w:val="0"/>
        <w:keepLines w:val="0"/>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（五）委托期限：</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本项目委托管理运营期限为一年。</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0" w:firstLine="642" w:firstLineChars="200"/>
        <w:textAlignment w:val="auto"/>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三、投标文件要求</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2"/>
          <w:szCs w:val="32"/>
          <w:highlight w:val="none"/>
        </w:rPr>
        <w:t>企事业单位或民非组织营业执照及资质证明文件；</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2"/>
          <w:szCs w:val="32"/>
          <w:highlight w:val="none"/>
        </w:rPr>
        <w:t>企事业单位或民非组织法定代表人身份证或是法定代表人授权委托书；</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2"/>
          <w:szCs w:val="32"/>
          <w:highlight w:val="none"/>
        </w:rPr>
        <w:t>报价文件；</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2"/>
          <w:szCs w:val="32"/>
          <w:highlight w:val="none"/>
        </w:rPr>
        <w:t>其他（若投标人有需要提交的其他资料）</w:t>
      </w:r>
      <w:r>
        <w:rPr>
          <w:rFonts w:hint="eastAsia" w:ascii="仿宋" w:hAnsi="仿宋" w:eastAsia="仿宋" w:cs="仿宋"/>
          <w:color w:val="auto"/>
          <w:sz w:val="32"/>
          <w:szCs w:val="32"/>
          <w:highlight w:val="none"/>
          <w:lang w:eastAsia="zh-CN"/>
        </w:rPr>
        <w:t>。</w:t>
      </w:r>
    </w:p>
    <w:p>
      <w:pPr>
        <w:pStyle w:val="2"/>
        <w:keepNext w:val="0"/>
        <w:keepLines w:val="0"/>
        <w:pageBreakBefore w:val="0"/>
        <w:numPr>
          <w:ilvl w:val="0"/>
          <w:numId w:val="0"/>
        </w:numPr>
        <w:topLinePunct w:val="0"/>
        <w:bidi w:val="0"/>
        <w:spacing w:line="560" w:lineRule="exact"/>
        <w:ind w:leftChars="0" w:firstLine="642" w:firstLineChars="200"/>
        <w:textAlignment w:val="auto"/>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四、评标定标方法</w:t>
      </w:r>
    </w:p>
    <w:p>
      <w:pPr>
        <w:pStyle w:val="2"/>
        <w:keepNext w:val="0"/>
        <w:keepLines w:val="0"/>
        <w:pageBreakBefore w:val="0"/>
        <w:numPr>
          <w:ilvl w:val="0"/>
          <w:numId w:val="0"/>
        </w:numPr>
        <w:topLinePunct w:val="0"/>
        <w:bidi w:val="0"/>
        <w:spacing w:line="560" w:lineRule="exact"/>
        <w:ind w:leftChars="0" w:firstLine="600" w:firstLineChars="200"/>
        <w:textAlignment w:val="auto"/>
        <w:rPr>
          <w:rFonts w:hint="default" w:ascii="仿宋" w:hAnsi="仿宋" w:eastAsia="仿宋" w:cs="仿宋"/>
          <w:color w:val="auto"/>
          <w:sz w:val="30"/>
          <w:szCs w:val="30"/>
          <w:highlight w:val="none"/>
          <w:lang w:val="en" w:eastAsia="zh-CN"/>
        </w:rPr>
      </w:pPr>
      <w:r>
        <w:rPr>
          <w:rFonts w:hint="eastAsia" w:ascii="仿宋" w:hAnsi="仿宋" w:eastAsia="仿宋" w:cs="仿宋"/>
          <w:color w:val="auto"/>
          <w:sz w:val="30"/>
          <w:szCs w:val="30"/>
          <w:highlight w:val="none"/>
          <w:lang w:val="en-US" w:eastAsia="zh-CN"/>
        </w:rPr>
        <w:t>本项目采用综合评分法，评审后得分由高到低顺序排列，得分相同的，按投标报价由低到高顺序排列。得分且投标报价相同的，按</w:t>
      </w:r>
      <w:r>
        <w:rPr>
          <w:rFonts w:hint="default" w:ascii="仿宋" w:hAnsi="仿宋" w:eastAsia="仿宋" w:cs="仿宋"/>
          <w:color w:val="auto"/>
          <w:sz w:val="30"/>
          <w:szCs w:val="30"/>
          <w:highlight w:val="none"/>
          <w:lang w:val="en" w:eastAsia="zh-CN"/>
        </w:rPr>
        <w:t>技术服务方案</w:t>
      </w:r>
      <w:r>
        <w:rPr>
          <w:rFonts w:hint="eastAsia" w:ascii="仿宋" w:hAnsi="仿宋" w:eastAsia="仿宋" w:cs="仿宋"/>
          <w:color w:val="auto"/>
          <w:sz w:val="30"/>
          <w:szCs w:val="30"/>
          <w:highlight w:val="none"/>
          <w:lang w:val="en-US" w:eastAsia="zh-CN"/>
        </w:rPr>
        <w:t>指标优劣顺序排列</w:t>
      </w:r>
      <w:r>
        <w:rPr>
          <w:rFonts w:hint="default" w:ascii="仿宋" w:hAnsi="仿宋" w:eastAsia="仿宋" w:cs="仿宋"/>
          <w:color w:val="auto"/>
          <w:sz w:val="30"/>
          <w:szCs w:val="30"/>
          <w:highlight w:val="none"/>
          <w:lang w:val="en" w:eastAsia="zh-CN"/>
        </w:rPr>
        <w:t>。</w:t>
      </w:r>
    </w:p>
    <w:p>
      <w:pPr>
        <w:keepNext w:val="0"/>
        <w:keepLines w:val="0"/>
        <w:pageBreakBefore w:val="0"/>
        <w:topLinePunct w:val="0"/>
        <w:bidi w:val="0"/>
        <w:spacing w:line="560" w:lineRule="exact"/>
        <w:textAlignment w:val="auto"/>
        <w:rPr>
          <w:rFonts w:hint="default" w:ascii="仿宋" w:hAnsi="仿宋" w:eastAsia="仿宋" w:cs="仿宋"/>
          <w:color w:val="auto"/>
          <w:sz w:val="30"/>
          <w:szCs w:val="30"/>
          <w:highlight w:val="none"/>
          <w:lang w:val="en" w:eastAsia="zh-CN"/>
        </w:rPr>
      </w:pPr>
    </w:p>
    <w:p>
      <w:pPr>
        <w:pStyle w:val="13"/>
        <w:keepNext w:val="0"/>
        <w:keepLines w:val="0"/>
        <w:pageBreakBefore w:val="0"/>
        <w:topLinePunct w:val="0"/>
        <w:bidi w:val="0"/>
        <w:spacing w:line="560" w:lineRule="exact"/>
        <w:textAlignment w:val="auto"/>
        <w:rPr>
          <w:rFonts w:hint="default"/>
          <w:color w:val="auto"/>
          <w:highlight w:val="none"/>
          <w:lang w:val="en" w:eastAsia="zh-CN"/>
        </w:rPr>
      </w:pPr>
    </w:p>
    <w:tbl>
      <w:tblPr>
        <w:tblStyle w:val="14"/>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84"/>
        <w:gridCol w:w="1437"/>
        <w:gridCol w:w="711"/>
        <w:gridCol w:w="1178"/>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2"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序号</w:t>
            </w:r>
          </w:p>
        </w:tc>
        <w:tc>
          <w:tcPr>
            <w:tcW w:w="4010" w:type="dxa"/>
            <w:gridSpan w:val="4"/>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评分项</w:t>
            </w:r>
          </w:p>
        </w:tc>
        <w:tc>
          <w:tcPr>
            <w:tcW w:w="543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2"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color w:val="auto"/>
                <w:sz w:val="21"/>
                <w:szCs w:val="21"/>
                <w:highlight w:val="none"/>
              </w:rPr>
            </w:pPr>
            <w:r>
              <w:rPr>
                <w:rFonts w:hint="eastAsia"/>
                <w:color w:val="auto"/>
                <w:sz w:val="21"/>
                <w:szCs w:val="21"/>
                <w:highlight w:val="none"/>
              </w:rPr>
              <w:t>一</w:t>
            </w:r>
          </w:p>
        </w:tc>
        <w:tc>
          <w:tcPr>
            <w:tcW w:w="4010" w:type="dxa"/>
            <w:gridSpan w:val="4"/>
            <w:vAlign w:val="center"/>
          </w:tcPr>
          <w:p>
            <w:pPr>
              <w:pStyle w:val="21"/>
              <w:keepNext w:val="0"/>
              <w:keepLines w:val="0"/>
              <w:pageBreakBefore w:val="0"/>
              <w:tabs>
                <w:tab w:val="left" w:pos="993"/>
                <w:tab w:val="left" w:pos="1134"/>
              </w:tabs>
              <w:topLinePunct w:val="0"/>
              <w:bidi w:val="0"/>
              <w:spacing w:line="560" w:lineRule="exact"/>
              <w:jc w:val="center"/>
              <w:textAlignment w:val="auto"/>
              <w:rPr>
                <w:color w:val="auto"/>
                <w:sz w:val="21"/>
                <w:szCs w:val="21"/>
                <w:highlight w:val="none"/>
              </w:rPr>
            </w:pPr>
            <w:r>
              <w:rPr>
                <w:rFonts w:hint="eastAsia"/>
                <w:color w:val="auto"/>
                <w:sz w:val="21"/>
                <w:szCs w:val="21"/>
                <w:highlight w:val="none"/>
              </w:rPr>
              <w:t>价格</w:t>
            </w:r>
          </w:p>
        </w:tc>
        <w:tc>
          <w:tcPr>
            <w:tcW w:w="543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2"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color w:val="auto"/>
                <w:sz w:val="21"/>
                <w:szCs w:val="21"/>
                <w:highlight w:val="none"/>
              </w:rPr>
            </w:pPr>
            <w:r>
              <w:rPr>
                <w:rFonts w:hint="eastAsia"/>
                <w:color w:val="auto"/>
                <w:sz w:val="21"/>
                <w:szCs w:val="21"/>
                <w:highlight w:val="none"/>
              </w:rPr>
              <w:t>二</w:t>
            </w:r>
          </w:p>
        </w:tc>
        <w:tc>
          <w:tcPr>
            <w:tcW w:w="4010" w:type="dxa"/>
            <w:gridSpan w:val="4"/>
            <w:vAlign w:val="center"/>
          </w:tcPr>
          <w:p>
            <w:pPr>
              <w:pStyle w:val="21"/>
              <w:keepNext w:val="0"/>
              <w:keepLines w:val="0"/>
              <w:pageBreakBefore w:val="0"/>
              <w:tabs>
                <w:tab w:val="left" w:pos="993"/>
                <w:tab w:val="left" w:pos="1134"/>
              </w:tabs>
              <w:topLinePunct w:val="0"/>
              <w:bidi w:val="0"/>
              <w:spacing w:line="560" w:lineRule="exact"/>
              <w:jc w:val="center"/>
              <w:textAlignment w:val="auto"/>
              <w:rPr>
                <w:color w:val="auto"/>
                <w:sz w:val="21"/>
                <w:szCs w:val="21"/>
                <w:highlight w:val="none"/>
              </w:rPr>
            </w:pPr>
            <w:r>
              <w:rPr>
                <w:rFonts w:hint="eastAsia"/>
                <w:color w:val="auto"/>
                <w:sz w:val="21"/>
                <w:szCs w:val="21"/>
                <w:highlight w:val="none"/>
              </w:rPr>
              <w:t>商务部分</w:t>
            </w:r>
          </w:p>
        </w:tc>
        <w:tc>
          <w:tcPr>
            <w:tcW w:w="543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2" w:type="dxa"/>
            <w:vMerge w:val="restart"/>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序号</w:t>
            </w:r>
          </w:p>
        </w:tc>
        <w:tc>
          <w:tcPr>
            <w:tcW w:w="1437"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评分因素</w:t>
            </w:r>
          </w:p>
        </w:tc>
        <w:tc>
          <w:tcPr>
            <w:tcW w:w="71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权重</w:t>
            </w:r>
          </w:p>
        </w:tc>
        <w:tc>
          <w:tcPr>
            <w:tcW w:w="1178"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评分方式</w:t>
            </w:r>
          </w:p>
        </w:tc>
        <w:tc>
          <w:tcPr>
            <w:tcW w:w="543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kinsoku/>
              <w:overflowPunct/>
              <w:topLinePunct w:val="0"/>
              <w:bidi w:val="0"/>
              <w:spacing w:line="560" w:lineRule="exact"/>
              <w:ind w:left="0" w:leftChars="0" w:right="0" w:rightChars="0"/>
              <w:jc w:val="center"/>
              <w:textAlignment w:val="auto"/>
              <w:rPr>
                <w:rFonts w:ascii="宋体" w:hAnsi="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437" w:type="dxa"/>
            <w:vAlign w:val="center"/>
          </w:tcPr>
          <w:p>
            <w:pPr>
              <w:keepNext w:val="0"/>
              <w:keepLines w:val="0"/>
              <w:pageBreakBefore w:val="0"/>
              <w:widowControl/>
              <w:kinsoku/>
              <w:wordWrap/>
              <w:overflowPunct/>
              <w:topLinePunct w:val="0"/>
              <w:bidi w:val="0"/>
              <w:snapToGrid/>
              <w:spacing w:line="560" w:lineRule="exact"/>
              <w:ind w:left="0" w:leftChars="0" w:right="0" w:rightChars="0"/>
              <w:jc w:val="center"/>
              <w:textAlignment w:val="auto"/>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rPr>
              <w:t>上一年度区级及以上社工服务机构绩效评估成绩</w:t>
            </w:r>
          </w:p>
        </w:tc>
        <w:tc>
          <w:tcPr>
            <w:tcW w:w="711" w:type="dxa"/>
            <w:vAlign w:val="center"/>
          </w:tcPr>
          <w:p>
            <w:pPr>
              <w:keepNext w:val="0"/>
              <w:keepLines w:val="0"/>
              <w:pageBreakBefore w:val="0"/>
              <w:widowControl/>
              <w:kinsoku/>
              <w:wordWrap/>
              <w:overflowPunct/>
              <w:topLinePunct w:val="0"/>
              <w:bidi w:val="0"/>
              <w:snapToGrid/>
              <w:spacing w:line="560" w:lineRule="exact"/>
              <w:ind w:left="0" w:leftChars="0" w:right="0" w:rightChars="0"/>
              <w:jc w:val="center"/>
              <w:textAlignment w:val="auto"/>
              <w:rPr>
                <w:rFonts w:hint="default" w:ascii="宋体" w:hAnsi="宋体"/>
                <w:color w:val="auto"/>
                <w:sz w:val="21"/>
                <w:szCs w:val="21"/>
                <w:highlight w:val="none"/>
                <w:lang w:val="en-US"/>
              </w:rPr>
            </w:pPr>
            <w:r>
              <w:rPr>
                <w:rFonts w:hint="eastAsia" w:ascii="宋体" w:hAnsi="宋体" w:cs="宋体"/>
                <w:color w:val="auto"/>
                <w:kern w:val="0"/>
                <w:sz w:val="21"/>
                <w:szCs w:val="21"/>
                <w:highlight w:val="none"/>
                <w:lang w:val="en-US" w:eastAsia="zh-CN" w:bidi="ar-SA"/>
              </w:rPr>
              <w:t>10</w:t>
            </w:r>
          </w:p>
        </w:tc>
        <w:tc>
          <w:tcPr>
            <w:tcW w:w="1178"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rPr>
            </w:pPr>
            <w:r>
              <w:rPr>
                <w:rFonts w:hint="eastAsia" w:ascii="宋体" w:hAnsi="宋体"/>
                <w:color w:val="auto"/>
                <w:szCs w:val="21"/>
                <w:highlight w:val="none"/>
                <w:lang w:val="sq-AL"/>
              </w:rPr>
              <w:t>专家打分</w:t>
            </w:r>
          </w:p>
        </w:tc>
        <w:tc>
          <w:tcPr>
            <w:tcW w:w="5431" w:type="dxa"/>
            <w:vAlign w:val="center"/>
          </w:tcPr>
          <w:p>
            <w:pPr>
              <w:pStyle w:val="24"/>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line="560" w:lineRule="exact"/>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1.评审标准：</w:t>
            </w:r>
          </w:p>
          <w:p>
            <w:pPr>
              <w:keepNext w:val="0"/>
              <w:keepLines w:val="0"/>
              <w:pageBreakBefore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年度区级或以上社工机构考核评估结果中，评估结果为A（或优）的得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；评估结果为B（或良）的得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；评估结果为</w:t>
            </w:r>
            <w:r>
              <w:rPr>
                <w:rFonts w:hint="eastAsia" w:ascii="宋体" w:hAnsi="宋体" w:cs="宋体"/>
                <w:color w:val="auto"/>
                <w:sz w:val="21"/>
                <w:szCs w:val="21"/>
                <w:highlight w:val="none"/>
                <w:lang w:val="en-US" w:eastAsia="zh-CN"/>
              </w:rPr>
              <w:t>C</w:t>
            </w:r>
            <w:r>
              <w:rPr>
                <w:rFonts w:hint="eastAsia" w:ascii="宋体" w:hAnsi="宋体" w:eastAsia="宋体" w:cs="宋体"/>
                <w:color w:val="auto"/>
                <w:sz w:val="21"/>
                <w:szCs w:val="21"/>
                <w:highlight w:val="none"/>
              </w:rPr>
              <w:t>（或中等）的得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；评估为D（或差等）的，或者没参加评估的不得分。</w:t>
            </w:r>
          </w:p>
          <w:p>
            <w:pPr>
              <w:keepNext w:val="0"/>
              <w:keepLines w:val="0"/>
              <w:pageBreakBefore w:val="0"/>
              <w:widowControl/>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rPr>
              <w:t>2.证明文件：</w:t>
            </w:r>
          </w:p>
          <w:p>
            <w:pPr>
              <w:keepNext w:val="0"/>
              <w:keepLines w:val="0"/>
              <w:pageBreakBefore w:val="0"/>
              <w:kinsoku/>
              <w:wordWrap/>
              <w:overflowPunct/>
              <w:topLinePunct w:val="0"/>
              <w:bidi w:val="0"/>
              <w:snapToGrid/>
              <w:spacing w:line="560" w:lineRule="exact"/>
              <w:ind w:left="0" w:leftChars="0" w:right="0" w:rightChars="0"/>
              <w:textAlignment w:val="auto"/>
              <w:rPr>
                <w:rFonts w:ascii="宋体" w:hAnsi="宋体" w:cs="宋体"/>
                <w:color w:val="auto"/>
                <w:kern w:val="0"/>
                <w:sz w:val="21"/>
                <w:szCs w:val="21"/>
                <w:highlight w:val="none"/>
              </w:rPr>
            </w:pPr>
            <w:r>
              <w:rPr>
                <w:rFonts w:hint="eastAsia" w:ascii="宋体" w:hAnsi="宋体" w:eastAsia="宋体" w:cs="宋体"/>
                <w:color w:val="auto"/>
                <w:sz w:val="21"/>
                <w:szCs w:val="21"/>
                <w:highlight w:val="none"/>
              </w:rPr>
              <w:t>提供网上</w:t>
            </w:r>
            <w:r>
              <w:rPr>
                <w:rFonts w:hint="eastAsia" w:ascii="宋体" w:hAnsi="宋体" w:eastAsia="宋体" w:cs="宋体"/>
                <w:color w:val="auto"/>
                <w:sz w:val="21"/>
                <w:szCs w:val="21"/>
                <w:highlight w:val="none"/>
                <w:lang w:val="en-US" w:eastAsia="zh-CN"/>
              </w:rPr>
              <w:t>评估结果</w:t>
            </w:r>
            <w:r>
              <w:rPr>
                <w:rFonts w:hint="eastAsia" w:ascii="宋体" w:hAnsi="宋体" w:eastAsia="宋体" w:cs="宋体"/>
                <w:color w:val="auto"/>
                <w:sz w:val="21"/>
                <w:szCs w:val="21"/>
                <w:highlight w:val="none"/>
              </w:rPr>
              <w:t>通知或公示截图并加盖投标人公章。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kinsoku/>
              <w:overflowPunct/>
              <w:topLinePunct w:val="0"/>
              <w:bidi w:val="0"/>
              <w:spacing w:line="560" w:lineRule="exact"/>
              <w:ind w:left="0" w:leftChars="0" w:right="0" w:rightChars="0"/>
              <w:jc w:val="center"/>
              <w:textAlignment w:val="auto"/>
              <w:rPr>
                <w:rFonts w:ascii="Times New Roman" w:hAnsi="Times New Roman"/>
                <w:b/>
                <w:bCs/>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437" w:type="dxa"/>
            <w:vAlign w:val="center"/>
          </w:tcPr>
          <w:p>
            <w:pPr>
              <w:keepNext w:val="0"/>
              <w:keepLines w:val="0"/>
              <w:pageBreakBefore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社会组织</w:t>
            </w:r>
          </w:p>
          <w:p>
            <w:pPr>
              <w:keepNext w:val="0"/>
              <w:keepLines w:val="0"/>
              <w:pageBreakBefore w:val="0"/>
              <w:kinsoku/>
              <w:wordWrap/>
              <w:overflowPunct/>
              <w:topLinePunct w:val="0"/>
              <w:bidi w:val="0"/>
              <w:snapToGrid/>
              <w:spacing w:line="560" w:lineRule="exact"/>
              <w:ind w:left="0" w:leftChars="0" w:right="0" w:rightChars="0"/>
              <w:jc w:val="center"/>
              <w:textAlignment w:val="auto"/>
              <w:rPr>
                <w:rFonts w:ascii="宋体" w:hAnsi="宋体"/>
                <w:color w:val="auto"/>
                <w:sz w:val="21"/>
                <w:szCs w:val="21"/>
                <w:highlight w:val="none"/>
                <w:lang w:val="zh-CN"/>
              </w:rPr>
            </w:pPr>
            <w:r>
              <w:rPr>
                <w:rFonts w:hint="eastAsia" w:ascii="宋体" w:hAnsi="宋体" w:eastAsia="宋体" w:cs="宋体"/>
                <w:color w:val="auto"/>
                <w:sz w:val="21"/>
                <w:szCs w:val="21"/>
                <w:highlight w:val="none"/>
                <w:lang w:val="zh-CN"/>
              </w:rPr>
              <w:t>研究成果</w:t>
            </w:r>
          </w:p>
        </w:tc>
        <w:tc>
          <w:tcPr>
            <w:tcW w:w="711" w:type="dxa"/>
            <w:vAlign w:val="center"/>
          </w:tcPr>
          <w:p>
            <w:pPr>
              <w:keepNext w:val="0"/>
              <w:keepLines w:val="0"/>
              <w:pageBreakBefore w:val="0"/>
              <w:kinsoku/>
              <w:wordWrap/>
              <w:overflowPunct/>
              <w:topLinePunct w:val="0"/>
              <w:bidi w:val="0"/>
              <w:snapToGrid/>
              <w:spacing w:line="560" w:lineRule="exact"/>
              <w:ind w:left="0" w:leftChars="0" w:right="0" w:rightChars="0"/>
              <w:jc w:val="center"/>
              <w:textAlignment w:val="auto"/>
              <w:rPr>
                <w:rFonts w:hint="default" w:ascii="宋体" w:hAnsi="宋体"/>
                <w:color w:val="auto"/>
                <w:sz w:val="21"/>
                <w:szCs w:val="21"/>
                <w:highlight w:val="none"/>
                <w:lang w:val="en-US"/>
              </w:rPr>
            </w:pPr>
            <w:r>
              <w:rPr>
                <w:rFonts w:hint="eastAsia" w:ascii="宋体" w:hAnsi="宋体" w:cs="宋体"/>
                <w:color w:val="auto"/>
                <w:sz w:val="21"/>
                <w:szCs w:val="21"/>
                <w:highlight w:val="none"/>
                <w:lang w:val="en-US" w:eastAsia="zh-CN"/>
              </w:rPr>
              <w:t>10</w:t>
            </w:r>
          </w:p>
        </w:tc>
        <w:tc>
          <w:tcPr>
            <w:tcW w:w="1178"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rPr>
            </w:pPr>
            <w:r>
              <w:rPr>
                <w:rFonts w:hint="eastAsia" w:ascii="宋体" w:hAnsi="宋体"/>
                <w:color w:val="auto"/>
                <w:szCs w:val="21"/>
                <w:highlight w:val="none"/>
                <w:lang w:val="sq-AL"/>
              </w:rPr>
              <w:t>专家打分</w:t>
            </w:r>
          </w:p>
        </w:tc>
        <w:tc>
          <w:tcPr>
            <w:tcW w:w="5431" w:type="dxa"/>
            <w:vAlign w:val="center"/>
          </w:tcPr>
          <w:p>
            <w:pPr>
              <w:pStyle w:val="25"/>
              <w:keepNext w:val="0"/>
              <w:keepLines w:val="0"/>
              <w:pageBreakBefore w:val="0"/>
              <w:suppressLineNumbers w:val="0"/>
              <w:kinsoku/>
              <w:overflowPunct/>
              <w:topLinePunct w:val="0"/>
              <w:bidi w:val="0"/>
              <w:spacing w:before="0" w:beforeAutospacing="0" w:afterAutospacing="0" w:line="560" w:lineRule="exact"/>
              <w:ind w:left="0" w:leftChars="0" w:right="0" w:righ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1、评分标准：</w:t>
            </w:r>
          </w:p>
          <w:p>
            <w:pPr>
              <w:pStyle w:val="25"/>
              <w:keepNext w:val="0"/>
              <w:keepLines w:val="0"/>
              <w:pageBreakBefore w:val="0"/>
              <w:suppressLineNumbers w:val="0"/>
              <w:kinsoku/>
              <w:overflowPunct/>
              <w:topLinePunct w:val="0"/>
              <w:bidi w:val="0"/>
              <w:spacing w:before="0" w:beforeAutospacing="0" w:afterAutospacing="0" w:line="5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根据投标人单位专业研究能力评分：</w:t>
            </w:r>
          </w:p>
          <w:p>
            <w:pPr>
              <w:pStyle w:val="25"/>
              <w:keepNext w:val="0"/>
              <w:keepLines w:val="0"/>
              <w:pageBreakBefore w:val="0"/>
              <w:suppressLineNumbers w:val="0"/>
              <w:kinsoku/>
              <w:overflowPunct/>
              <w:topLinePunct w:val="0"/>
              <w:bidi w:val="0"/>
              <w:spacing w:before="0" w:beforeAutospacing="0" w:afterAutospacing="0" w:line="5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自201</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年1月1日至本项目招标公告发布之日，</w:t>
            </w:r>
            <w:r>
              <w:rPr>
                <w:rFonts w:hint="eastAsia" w:ascii="宋体" w:hAnsi="宋体" w:eastAsia="宋体" w:cs="宋体"/>
                <w:color w:val="auto"/>
                <w:sz w:val="21"/>
                <w:szCs w:val="21"/>
                <w:highlight w:val="none"/>
              </w:rPr>
              <w:t>投标人单位或团队主编的正式出版的书籍（有国际连续出版物编号ISSN或ISBN的）</w:t>
            </w:r>
            <w:r>
              <w:rPr>
                <w:rFonts w:hint="eastAsia" w:ascii="宋体" w:hAnsi="宋体" w:eastAsia="宋体" w:cs="宋体"/>
                <w:color w:val="auto"/>
                <w:kern w:val="0"/>
                <w:sz w:val="21"/>
                <w:szCs w:val="21"/>
                <w:highlight w:val="none"/>
                <w:lang w:val="zh-CN"/>
              </w:rPr>
              <w:t>，</w:t>
            </w:r>
            <w:r>
              <w:rPr>
                <w:rFonts w:hint="eastAsia" w:ascii="宋体" w:hAnsi="宋体" w:cs="宋体"/>
                <w:color w:val="auto"/>
                <w:sz w:val="21"/>
                <w:szCs w:val="21"/>
                <w:highlight w:val="none"/>
                <w:lang w:val="en-US" w:eastAsia="zh-CN"/>
              </w:rPr>
              <w:t>每提供一个得5分，最高得10分</w:t>
            </w:r>
            <w:r>
              <w:rPr>
                <w:rFonts w:hint="eastAsia" w:ascii="宋体" w:hAnsi="宋体" w:eastAsia="宋体" w:cs="宋体"/>
                <w:color w:val="auto"/>
                <w:sz w:val="21"/>
                <w:szCs w:val="21"/>
                <w:highlight w:val="none"/>
              </w:rPr>
              <w:t>。</w:t>
            </w:r>
          </w:p>
          <w:p>
            <w:pPr>
              <w:pStyle w:val="25"/>
              <w:keepNext w:val="0"/>
              <w:keepLines w:val="0"/>
              <w:pageBreakBefore w:val="0"/>
              <w:suppressLineNumbers w:val="0"/>
              <w:kinsoku/>
              <w:overflowPunct/>
              <w:topLinePunct w:val="0"/>
              <w:bidi w:val="0"/>
              <w:spacing w:before="0" w:beforeAutospacing="0" w:afterAutospacing="0" w:line="560" w:lineRule="exact"/>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2、证明文件：</w:t>
            </w:r>
          </w:p>
          <w:p>
            <w:pPr>
              <w:keepNext w:val="0"/>
              <w:keepLines w:val="0"/>
              <w:pageBreakBefore w:val="0"/>
              <w:tabs>
                <w:tab w:val="left" w:pos="175"/>
              </w:tabs>
              <w:kinsoku/>
              <w:wordWrap/>
              <w:overflowPunct/>
              <w:topLinePunct w:val="0"/>
              <w:bidi w:val="0"/>
              <w:snapToGrid/>
              <w:spacing w:line="560" w:lineRule="exact"/>
              <w:ind w:left="0" w:leftChars="0" w:right="0" w:rightChars="0"/>
              <w:jc w:val="left"/>
              <w:textAlignment w:val="auto"/>
              <w:rPr>
                <w:rFonts w:ascii="宋体" w:hAnsi="宋体"/>
                <w:color w:val="auto"/>
                <w:sz w:val="21"/>
                <w:szCs w:val="21"/>
                <w:highlight w:val="none"/>
                <w:lang w:val="zh-CN"/>
              </w:rPr>
            </w:pPr>
            <w:r>
              <w:rPr>
                <w:rFonts w:hint="eastAsia" w:ascii="宋体" w:hAnsi="宋体" w:eastAsia="宋体" w:cs="宋体"/>
                <w:color w:val="auto"/>
                <w:sz w:val="21"/>
                <w:szCs w:val="21"/>
                <w:highlight w:val="none"/>
              </w:rPr>
              <w:t>投标人须提供相关出版书籍证明文件扫描件或复印件加盖公章。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widowControl/>
              <w:topLinePunct w:val="0"/>
              <w:bidi w:val="0"/>
              <w:spacing w:line="560" w:lineRule="exact"/>
              <w:jc w:val="center"/>
              <w:textAlignment w:val="auto"/>
              <w:rPr>
                <w:rFonts w:ascii="Times New Roman" w:hAnsi="Times New Roman"/>
                <w:b/>
                <w:bCs/>
                <w:color w:val="auto"/>
                <w:sz w:val="21"/>
                <w:szCs w:val="21"/>
                <w:highlight w:val="none"/>
              </w:rPr>
            </w:pPr>
            <w:r>
              <w:rPr>
                <w:rFonts w:hint="eastAsia" w:ascii="宋体" w:hAnsi="宋体" w:cs="宋体"/>
                <w:color w:val="auto"/>
                <w:kern w:val="0"/>
                <w:szCs w:val="21"/>
                <w:highlight w:val="none"/>
                <w:lang w:val="en-US" w:eastAsia="zh-CN"/>
              </w:rPr>
              <w:t>3.</w:t>
            </w:r>
          </w:p>
        </w:tc>
        <w:tc>
          <w:tcPr>
            <w:tcW w:w="1437"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lang w:val="zh-CN"/>
              </w:rPr>
            </w:pPr>
            <w:r>
              <w:rPr>
                <w:rFonts w:hint="eastAsia" w:ascii="宋体" w:hAnsi="宋体"/>
                <w:color w:val="auto"/>
                <w:szCs w:val="21"/>
                <w:highlight w:val="none"/>
                <w:lang w:val="sq-AL"/>
              </w:rPr>
              <w:t>社会组织评估等级情况</w:t>
            </w:r>
          </w:p>
        </w:tc>
        <w:tc>
          <w:tcPr>
            <w:tcW w:w="711" w:type="dxa"/>
            <w:vAlign w:val="center"/>
          </w:tcPr>
          <w:p>
            <w:pPr>
              <w:keepNext w:val="0"/>
              <w:keepLines w:val="0"/>
              <w:pageBreakBefore w:val="0"/>
              <w:topLinePunct w:val="0"/>
              <w:bidi w:val="0"/>
              <w:spacing w:line="560" w:lineRule="exact"/>
              <w:jc w:val="center"/>
              <w:textAlignment w:val="auto"/>
              <w:rPr>
                <w:rFonts w:hint="default" w:ascii="宋体" w:hAnsi="宋体"/>
                <w:color w:val="auto"/>
                <w:sz w:val="21"/>
                <w:szCs w:val="21"/>
                <w:highlight w:val="none"/>
                <w:lang w:val="en-US"/>
              </w:rPr>
            </w:pPr>
            <w:r>
              <w:rPr>
                <w:rFonts w:hint="eastAsia" w:ascii="宋体" w:hAnsi="宋体"/>
                <w:color w:val="auto"/>
                <w:szCs w:val="21"/>
                <w:highlight w:val="none"/>
                <w:lang w:val="en-US" w:eastAsia="zh-CN"/>
              </w:rPr>
              <w:t>10</w:t>
            </w:r>
          </w:p>
        </w:tc>
        <w:tc>
          <w:tcPr>
            <w:tcW w:w="1178"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rPr>
            </w:pPr>
            <w:r>
              <w:rPr>
                <w:rFonts w:hint="eastAsia" w:ascii="宋体" w:hAnsi="宋体"/>
                <w:color w:val="auto"/>
                <w:szCs w:val="21"/>
                <w:highlight w:val="none"/>
                <w:lang w:val="en-US" w:eastAsia="zh-CN"/>
              </w:rPr>
              <w:t xml:space="preserve">  </w:t>
            </w:r>
            <w:bookmarkStart w:id="1" w:name="_GoBack"/>
            <w:bookmarkEnd w:id="1"/>
            <w:r>
              <w:rPr>
                <w:rFonts w:hint="eastAsia" w:ascii="宋体" w:hAnsi="宋体"/>
                <w:color w:val="auto"/>
                <w:szCs w:val="21"/>
                <w:highlight w:val="none"/>
                <w:lang w:val="en-US" w:eastAsia="zh-CN"/>
              </w:rPr>
              <w:t>专家打分</w:t>
            </w:r>
          </w:p>
        </w:tc>
        <w:tc>
          <w:tcPr>
            <w:tcW w:w="5431" w:type="dxa"/>
            <w:vAlign w:val="center"/>
          </w:tcPr>
          <w:p>
            <w:pPr>
              <w:pStyle w:val="22"/>
              <w:keepNext w:val="0"/>
              <w:keepLines w:val="0"/>
              <w:pageBreakBefore w:val="0"/>
              <w:topLinePunct w:val="0"/>
              <w:bidi w:val="0"/>
              <w:spacing w:before="44" w:line="560" w:lineRule="exact"/>
              <w:ind w:right="75"/>
              <w:textAlignment w:val="auto"/>
              <w:rPr>
                <w:b/>
                <w:bCs/>
                <w:color w:val="auto"/>
                <w:spacing w:val="-4"/>
                <w:kern w:val="2"/>
                <w:sz w:val="21"/>
                <w:szCs w:val="21"/>
                <w:highlight w:val="none"/>
              </w:rPr>
            </w:pPr>
            <w:r>
              <w:rPr>
                <w:rFonts w:hint="eastAsia"/>
                <w:b/>
                <w:bCs/>
                <w:color w:val="auto"/>
                <w:spacing w:val="-4"/>
                <w:kern w:val="2"/>
                <w:sz w:val="21"/>
                <w:highlight w:val="none"/>
                <w:lang w:val="en-US"/>
              </w:rPr>
              <w:t>1.</w:t>
            </w:r>
            <w:r>
              <w:rPr>
                <w:b/>
                <w:bCs/>
                <w:color w:val="auto"/>
                <w:spacing w:val="-4"/>
                <w:kern w:val="2"/>
                <w:sz w:val="21"/>
                <w:highlight w:val="none"/>
              </w:rPr>
              <w:t>评审</w:t>
            </w:r>
            <w:r>
              <w:rPr>
                <w:rFonts w:hint="eastAsia"/>
                <w:b/>
                <w:bCs/>
                <w:color w:val="auto"/>
                <w:spacing w:val="-4"/>
                <w:kern w:val="2"/>
                <w:sz w:val="21"/>
                <w:highlight w:val="none"/>
                <w:lang w:val="en-US" w:eastAsia="zh-CN"/>
              </w:rPr>
              <w:t>标准</w:t>
            </w:r>
            <w:r>
              <w:rPr>
                <w:b/>
                <w:bCs/>
                <w:color w:val="auto"/>
                <w:spacing w:val="-4"/>
                <w:kern w:val="2"/>
                <w:sz w:val="21"/>
                <w:szCs w:val="21"/>
                <w:highlight w:val="none"/>
              </w:rPr>
              <w:t>：</w:t>
            </w:r>
          </w:p>
          <w:p>
            <w:pPr>
              <w:pStyle w:val="22"/>
              <w:keepNext w:val="0"/>
              <w:keepLines w:val="0"/>
              <w:pageBreakBefore w:val="0"/>
              <w:topLinePunct w:val="0"/>
              <w:bidi w:val="0"/>
              <w:spacing w:before="44" w:line="560" w:lineRule="exact"/>
              <w:ind w:right="75"/>
              <w:textAlignment w:val="auto"/>
              <w:rPr>
                <w:color w:val="auto"/>
                <w:spacing w:val="2"/>
                <w:kern w:val="2"/>
                <w:sz w:val="21"/>
                <w:szCs w:val="21"/>
                <w:highlight w:val="none"/>
              </w:rPr>
            </w:pPr>
            <w:r>
              <w:rPr>
                <w:rFonts w:hint="eastAsia"/>
                <w:color w:val="auto"/>
                <w:spacing w:val="-4"/>
                <w:kern w:val="2"/>
                <w:sz w:val="21"/>
                <w:szCs w:val="21"/>
                <w:highlight w:val="none"/>
                <w:lang w:val="en-US"/>
              </w:rPr>
              <w:t>投标人</w:t>
            </w:r>
            <w:r>
              <w:rPr>
                <w:rFonts w:hint="eastAsia"/>
                <w:color w:val="auto"/>
                <w:kern w:val="2"/>
                <w:sz w:val="21"/>
                <w:szCs w:val="21"/>
                <w:highlight w:val="none"/>
              </w:rPr>
              <w:t>经区级及以上民政部门评估，获得社会组织等级评估证书（证书须在有效期内）</w:t>
            </w:r>
            <w:r>
              <w:rPr>
                <w:color w:val="auto"/>
                <w:spacing w:val="2"/>
                <w:kern w:val="2"/>
                <w:sz w:val="21"/>
                <w:szCs w:val="21"/>
                <w:highlight w:val="none"/>
              </w:rPr>
              <w:t>的：</w:t>
            </w:r>
          </w:p>
          <w:p>
            <w:pPr>
              <w:pStyle w:val="22"/>
              <w:keepNext w:val="0"/>
              <w:keepLines w:val="0"/>
              <w:pageBreakBefore w:val="0"/>
              <w:topLinePunct w:val="0"/>
              <w:bidi w:val="0"/>
              <w:spacing w:before="44" w:line="560" w:lineRule="exact"/>
              <w:ind w:right="75"/>
              <w:textAlignment w:val="auto"/>
              <w:rPr>
                <w:color w:val="auto"/>
                <w:kern w:val="2"/>
                <w:sz w:val="21"/>
                <w:szCs w:val="21"/>
                <w:highlight w:val="none"/>
              </w:rPr>
            </w:pPr>
            <w:r>
              <w:rPr>
                <w:color w:val="auto"/>
                <w:spacing w:val="3"/>
                <w:kern w:val="2"/>
                <w:sz w:val="21"/>
                <w:szCs w:val="21"/>
                <w:highlight w:val="none"/>
              </w:rPr>
              <w:t>（1）</w:t>
            </w:r>
            <w:r>
              <w:rPr>
                <w:color w:val="auto"/>
                <w:spacing w:val="7"/>
                <w:kern w:val="2"/>
                <w:sz w:val="21"/>
                <w:szCs w:val="21"/>
                <w:highlight w:val="none"/>
              </w:rPr>
              <w:t xml:space="preserve">获得 </w:t>
            </w:r>
            <w:r>
              <w:rPr>
                <w:rFonts w:hint="eastAsia"/>
                <w:color w:val="auto"/>
                <w:spacing w:val="4"/>
                <w:kern w:val="2"/>
                <w:sz w:val="21"/>
                <w:szCs w:val="21"/>
                <w:highlight w:val="none"/>
                <w:lang w:val="en-US"/>
              </w:rPr>
              <w:t>5</w:t>
            </w:r>
            <w:r>
              <w:rPr>
                <w:color w:val="auto"/>
                <w:spacing w:val="4"/>
                <w:kern w:val="2"/>
                <w:sz w:val="21"/>
                <w:szCs w:val="21"/>
                <w:highlight w:val="none"/>
              </w:rPr>
              <w:t xml:space="preserve">A </w:t>
            </w:r>
            <w:r>
              <w:rPr>
                <w:color w:val="auto"/>
                <w:spacing w:val="-9"/>
                <w:kern w:val="2"/>
                <w:sz w:val="21"/>
                <w:szCs w:val="21"/>
                <w:highlight w:val="none"/>
              </w:rPr>
              <w:t>或以上评估等级的，得</w:t>
            </w:r>
            <w:r>
              <w:rPr>
                <w:rFonts w:hint="eastAsia"/>
                <w:color w:val="auto"/>
                <w:spacing w:val="-9"/>
                <w:kern w:val="2"/>
                <w:sz w:val="21"/>
                <w:szCs w:val="21"/>
                <w:highlight w:val="none"/>
                <w:lang w:val="en-US" w:eastAsia="zh-CN"/>
              </w:rPr>
              <w:t>10分</w:t>
            </w:r>
            <w:r>
              <w:rPr>
                <w:color w:val="auto"/>
                <w:kern w:val="2"/>
                <w:sz w:val="21"/>
                <w:szCs w:val="21"/>
                <w:highlight w:val="none"/>
              </w:rPr>
              <w:t>；</w:t>
            </w:r>
          </w:p>
          <w:p>
            <w:pPr>
              <w:pStyle w:val="22"/>
              <w:keepNext w:val="0"/>
              <w:keepLines w:val="0"/>
              <w:pageBreakBefore w:val="0"/>
              <w:topLinePunct w:val="0"/>
              <w:bidi w:val="0"/>
              <w:spacing w:before="44" w:line="560" w:lineRule="exact"/>
              <w:ind w:right="75"/>
              <w:textAlignment w:val="auto"/>
              <w:rPr>
                <w:color w:val="auto"/>
                <w:spacing w:val="1"/>
                <w:kern w:val="2"/>
                <w:sz w:val="21"/>
                <w:szCs w:val="21"/>
                <w:highlight w:val="none"/>
              </w:rPr>
            </w:pPr>
            <w:r>
              <w:rPr>
                <w:color w:val="auto"/>
                <w:kern w:val="2"/>
                <w:sz w:val="21"/>
                <w:szCs w:val="21"/>
                <w:highlight w:val="none"/>
              </w:rPr>
              <w:t>（2）</w:t>
            </w:r>
            <w:r>
              <w:rPr>
                <w:color w:val="auto"/>
                <w:spacing w:val="-19"/>
                <w:kern w:val="2"/>
                <w:sz w:val="21"/>
                <w:szCs w:val="21"/>
                <w:highlight w:val="none"/>
              </w:rPr>
              <w:t xml:space="preserve">获得 </w:t>
            </w:r>
            <w:r>
              <w:rPr>
                <w:rFonts w:hint="eastAsia"/>
                <w:color w:val="auto"/>
                <w:spacing w:val="-19"/>
                <w:kern w:val="2"/>
                <w:sz w:val="21"/>
                <w:szCs w:val="21"/>
                <w:highlight w:val="none"/>
                <w:lang w:val="en-US"/>
              </w:rPr>
              <w:t>4</w:t>
            </w:r>
            <w:r>
              <w:rPr>
                <w:color w:val="auto"/>
                <w:kern w:val="2"/>
                <w:sz w:val="21"/>
                <w:szCs w:val="21"/>
                <w:highlight w:val="none"/>
              </w:rPr>
              <w:t xml:space="preserve"> A</w:t>
            </w:r>
            <w:r>
              <w:rPr>
                <w:color w:val="auto"/>
                <w:spacing w:val="-3"/>
                <w:kern w:val="2"/>
                <w:sz w:val="21"/>
                <w:szCs w:val="21"/>
                <w:highlight w:val="none"/>
              </w:rPr>
              <w:t xml:space="preserve"> 评估等级的，得</w:t>
            </w:r>
            <w:r>
              <w:rPr>
                <w:rFonts w:hint="eastAsia"/>
                <w:color w:val="auto"/>
                <w:spacing w:val="-3"/>
                <w:kern w:val="2"/>
                <w:sz w:val="21"/>
                <w:szCs w:val="21"/>
                <w:highlight w:val="none"/>
                <w:lang w:val="en-US" w:eastAsia="zh-CN"/>
              </w:rPr>
              <w:t>5分；</w:t>
            </w:r>
            <w:r>
              <w:rPr>
                <w:color w:val="auto"/>
                <w:spacing w:val="1"/>
                <w:kern w:val="2"/>
                <w:sz w:val="21"/>
                <w:szCs w:val="21"/>
                <w:highlight w:val="none"/>
              </w:rPr>
              <w:t xml:space="preserve"> </w:t>
            </w:r>
          </w:p>
          <w:p>
            <w:pPr>
              <w:pStyle w:val="22"/>
              <w:keepNext w:val="0"/>
              <w:keepLines w:val="0"/>
              <w:pageBreakBefore w:val="0"/>
              <w:topLinePunct w:val="0"/>
              <w:bidi w:val="0"/>
              <w:spacing w:before="44" w:line="560" w:lineRule="exact"/>
              <w:ind w:right="75"/>
              <w:textAlignment w:val="auto"/>
              <w:rPr>
                <w:color w:val="auto"/>
                <w:kern w:val="2"/>
                <w:sz w:val="21"/>
                <w:szCs w:val="21"/>
                <w:highlight w:val="none"/>
              </w:rPr>
            </w:pPr>
            <w:r>
              <w:rPr>
                <w:color w:val="auto"/>
                <w:kern w:val="2"/>
                <w:sz w:val="21"/>
                <w:szCs w:val="21"/>
                <w:highlight w:val="none"/>
              </w:rPr>
              <w:t>（3）</w:t>
            </w:r>
            <w:r>
              <w:rPr>
                <w:color w:val="auto"/>
                <w:spacing w:val="-3"/>
                <w:kern w:val="2"/>
                <w:sz w:val="21"/>
                <w:szCs w:val="21"/>
                <w:highlight w:val="none"/>
              </w:rPr>
              <w:t>其他等级或</w:t>
            </w:r>
            <w:r>
              <w:rPr>
                <w:color w:val="auto"/>
                <w:kern w:val="2"/>
                <w:sz w:val="21"/>
                <w:szCs w:val="21"/>
                <w:highlight w:val="none"/>
              </w:rPr>
              <w:t>无评级机构不得分。</w:t>
            </w:r>
          </w:p>
          <w:p>
            <w:pPr>
              <w:keepNext w:val="0"/>
              <w:keepLines w:val="0"/>
              <w:pageBreakBefore w:val="0"/>
              <w:topLinePunct w:val="0"/>
              <w:bidi w:val="0"/>
              <w:spacing w:line="560" w:lineRule="exact"/>
              <w:jc w:val="left"/>
              <w:textAlignment w:val="auto"/>
              <w:rPr>
                <w:rFonts w:hint="eastAsia"/>
                <w:b/>
                <w:bCs/>
                <w:color w:val="auto"/>
                <w:kern w:val="2"/>
                <w:sz w:val="21"/>
                <w:highlight w:val="none"/>
                <w:lang w:val="en-US"/>
              </w:rPr>
            </w:pPr>
            <w:r>
              <w:rPr>
                <w:rFonts w:hint="eastAsia"/>
                <w:b/>
                <w:bCs/>
                <w:color w:val="auto"/>
                <w:kern w:val="2"/>
                <w:sz w:val="21"/>
                <w:highlight w:val="none"/>
                <w:lang w:val="en-US"/>
              </w:rPr>
              <w:t>2.证明文件：</w:t>
            </w:r>
          </w:p>
          <w:p>
            <w:pPr>
              <w:keepNext w:val="0"/>
              <w:keepLines w:val="0"/>
              <w:pageBreakBefore w:val="0"/>
              <w:topLinePunct w:val="0"/>
              <w:bidi w:val="0"/>
              <w:spacing w:line="560" w:lineRule="exact"/>
              <w:jc w:val="left"/>
              <w:textAlignment w:val="auto"/>
              <w:rPr>
                <w:rFonts w:ascii="宋体" w:hAnsi="宋体"/>
                <w:color w:val="auto"/>
                <w:kern w:val="0"/>
                <w:sz w:val="21"/>
                <w:szCs w:val="21"/>
                <w:highlight w:val="none"/>
                <w:lang w:val="zh-CN"/>
              </w:rPr>
            </w:pPr>
            <w:r>
              <w:rPr>
                <w:rFonts w:hint="eastAsia"/>
                <w:color w:val="auto"/>
                <w:kern w:val="2"/>
                <w:sz w:val="21"/>
                <w:highlight w:val="none"/>
              </w:rPr>
              <w:t>提供社会组织等级评估证书（证书须在有效期内）扫描件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kinsoku/>
              <w:overflowPunct/>
              <w:topLinePunct w:val="0"/>
              <w:bidi w:val="0"/>
              <w:spacing w:line="560" w:lineRule="exact"/>
              <w:ind w:left="0" w:leftChars="0" w:right="0" w:right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p>
        </w:tc>
        <w:tc>
          <w:tcPr>
            <w:tcW w:w="1437" w:type="dxa"/>
            <w:vAlign w:val="center"/>
          </w:tcPr>
          <w:p>
            <w:pPr>
              <w:keepNext w:val="0"/>
              <w:keepLines w:val="0"/>
              <w:pageBreakBefore w:val="0"/>
              <w:widowControl/>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投标人通过相关认证</w:t>
            </w:r>
          </w:p>
          <w:p>
            <w:pPr>
              <w:keepNext w:val="0"/>
              <w:keepLines w:val="0"/>
              <w:pageBreakBefore w:val="0"/>
              <w:widowControl/>
              <w:kinsoku/>
              <w:wordWrap/>
              <w:overflowPunct/>
              <w:topLinePunct w:val="0"/>
              <w:bidi w:val="0"/>
              <w:snapToGrid/>
              <w:spacing w:line="560" w:lineRule="exact"/>
              <w:ind w:left="0" w:leftChars="0" w:right="0" w:rightChars="0"/>
              <w:jc w:val="center"/>
              <w:textAlignment w:val="auto"/>
              <w:rPr>
                <w:rFonts w:ascii="宋体" w:hAnsi="宋体"/>
                <w:color w:val="auto"/>
                <w:sz w:val="21"/>
                <w:szCs w:val="21"/>
                <w:highlight w:val="none"/>
                <w:lang w:val="zh-CN"/>
              </w:rPr>
            </w:pPr>
            <w:r>
              <w:rPr>
                <w:rFonts w:hint="eastAsia" w:ascii="宋体" w:hAnsi="宋体" w:eastAsia="宋体" w:cs="宋体"/>
                <w:color w:val="auto"/>
                <w:sz w:val="21"/>
                <w:szCs w:val="21"/>
                <w:highlight w:val="none"/>
              </w:rPr>
              <w:t>情况</w:t>
            </w:r>
          </w:p>
        </w:tc>
        <w:tc>
          <w:tcPr>
            <w:tcW w:w="711" w:type="dxa"/>
            <w:vAlign w:val="center"/>
          </w:tcPr>
          <w:p>
            <w:pPr>
              <w:keepNext w:val="0"/>
              <w:keepLines w:val="0"/>
              <w:pageBreakBefore w:val="0"/>
              <w:widowControl/>
              <w:kinsoku/>
              <w:wordWrap/>
              <w:overflowPunct/>
              <w:topLinePunct w:val="0"/>
              <w:bidi w:val="0"/>
              <w:snapToGrid/>
              <w:spacing w:line="560" w:lineRule="exact"/>
              <w:ind w:left="0" w:leftChars="0" w:right="0" w:rightChars="0"/>
              <w:jc w:val="center"/>
              <w:textAlignment w:val="auto"/>
              <w:rPr>
                <w:rFonts w:hint="default" w:ascii="宋体" w:hAnsi="宋体"/>
                <w:color w:val="auto"/>
                <w:sz w:val="21"/>
                <w:szCs w:val="21"/>
                <w:highlight w:val="none"/>
                <w:lang w:val="en-US"/>
              </w:rPr>
            </w:pPr>
            <w:r>
              <w:rPr>
                <w:rFonts w:hint="eastAsia" w:ascii="宋体" w:hAnsi="宋体" w:cs="Times New Roman"/>
                <w:color w:val="auto"/>
                <w:kern w:val="2"/>
                <w:sz w:val="21"/>
                <w:szCs w:val="21"/>
                <w:highlight w:val="none"/>
                <w:lang w:val="en-US" w:eastAsia="zh-CN" w:bidi="ar-SA"/>
              </w:rPr>
              <w:t>10</w:t>
            </w:r>
          </w:p>
        </w:tc>
        <w:tc>
          <w:tcPr>
            <w:tcW w:w="1178" w:type="dxa"/>
            <w:vAlign w:val="center"/>
          </w:tcPr>
          <w:p>
            <w:pPr>
              <w:keepNext w:val="0"/>
              <w:keepLines w:val="0"/>
              <w:pageBreakBefore w:val="0"/>
              <w:kinsoku/>
              <w:overflowPunct/>
              <w:topLinePunct w:val="0"/>
              <w:bidi w:val="0"/>
              <w:spacing w:line="560" w:lineRule="exact"/>
              <w:ind w:left="0" w:leftChars="0" w:right="0" w:rightChars="0"/>
              <w:jc w:val="center"/>
              <w:textAlignment w:val="auto"/>
              <w:rPr>
                <w:rFonts w:ascii="宋体" w:hAnsi="宋体"/>
                <w:color w:val="auto"/>
                <w:sz w:val="21"/>
                <w:szCs w:val="21"/>
                <w:highlight w:val="none"/>
              </w:rPr>
            </w:pPr>
            <w:r>
              <w:rPr>
                <w:rFonts w:hint="eastAsia" w:ascii="宋体" w:hAnsi="宋体" w:cs="宋体"/>
                <w:color w:val="auto"/>
                <w:kern w:val="0"/>
                <w:szCs w:val="21"/>
                <w:highlight w:val="none"/>
              </w:rPr>
              <w:t>专家打分</w:t>
            </w:r>
          </w:p>
        </w:tc>
        <w:tc>
          <w:tcPr>
            <w:tcW w:w="5431" w:type="dxa"/>
            <w:vAlign w:val="center"/>
          </w:tcPr>
          <w:p>
            <w:pPr>
              <w:keepNext w:val="0"/>
              <w:keepLines w:val="0"/>
              <w:pageBreakBefore w:val="0"/>
              <w:widowControl/>
              <w:kinsoku/>
              <w:wordWrap/>
              <w:overflowPunct/>
              <w:topLinePunct w:val="0"/>
              <w:bidi w:val="0"/>
              <w:snapToGrid/>
              <w:spacing w:line="560" w:lineRule="exact"/>
              <w:ind w:left="0" w:leftChars="0" w:right="0" w:rightChars="0"/>
              <w:jc w:val="left"/>
              <w:textAlignment w:val="auto"/>
              <w:rPr>
                <w:rFonts w:hint="eastAsia" w:ascii="宋体" w:hAnsi="宋体" w:eastAsia="宋体" w:cs="Times New Roman"/>
                <w:b/>
                <w:bCs/>
                <w:color w:val="auto"/>
                <w:kern w:val="2"/>
                <w:sz w:val="21"/>
                <w:szCs w:val="21"/>
                <w:highlight w:val="none"/>
                <w:lang w:val="sq-AL" w:eastAsia="zh-CN" w:bidi="ar-SA"/>
              </w:rPr>
            </w:pPr>
            <w:r>
              <w:rPr>
                <w:rFonts w:hint="eastAsia" w:ascii="宋体" w:hAnsi="宋体" w:eastAsia="宋体" w:cs="Times New Roman"/>
                <w:b/>
                <w:bCs/>
                <w:color w:val="auto"/>
                <w:kern w:val="2"/>
                <w:sz w:val="21"/>
                <w:szCs w:val="21"/>
                <w:highlight w:val="none"/>
                <w:lang w:val="sq-AL" w:eastAsia="zh-CN" w:bidi="ar-SA"/>
              </w:rPr>
              <w:t>1.评审标准：</w:t>
            </w:r>
          </w:p>
          <w:p>
            <w:pPr>
              <w:keepNext w:val="0"/>
              <w:keepLines w:val="0"/>
              <w:pageBreakBefore w:val="0"/>
              <w:widowControl/>
              <w:kinsoku/>
              <w:wordWrap/>
              <w:overflowPunct/>
              <w:topLinePunct w:val="0"/>
              <w:bidi w:val="0"/>
              <w:snapToGrid/>
              <w:spacing w:line="560" w:lineRule="exact"/>
              <w:ind w:left="0" w:leftChars="0" w:right="0" w:rightChars="0"/>
              <w:jc w:val="left"/>
              <w:textAlignment w:val="auto"/>
              <w:rPr>
                <w:rFonts w:hint="eastAsia" w:ascii="宋体" w:hAnsi="宋体" w:eastAsia="宋体" w:cs="Times New Roman"/>
                <w:color w:val="auto"/>
                <w:kern w:val="2"/>
                <w:sz w:val="21"/>
                <w:szCs w:val="21"/>
                <w:highlight w:val="none"/>
                <w:lang w:val="sq-AL" w:eastAsia="zh-CN" w:bidi="ar-SA"/>
              </w:rPr>
            </w:pPr>
            <w:r>
              <w:rPr>
                <w:rFonts w:hint="eastAsia" w:ascii="宋体" w:hAnsi="宋体" w:eastAsia="宋体" w:cs="Times New Roman"/>
                <w:color w:val="auto"/>
                <w:kern w:val="2"/>
                <w:sz w:val="21"/>
                <w:szCs w:val="21"/>
                <w:highlight w:val="none"/>
                <w:lang w:val="sq-AL" w:eastAsia="zh-CN" w:bidi="ar-SA"/>
              </w:rPr>
              <w:t>投标人具有有效的质量管理体系认证证书、售后服务认证证书</w:t>
            </w:r>
            <w:r>
              <w:rPr>
                <w:rFonts w:hint="eastAsia" w:ascii="宋体" w:hAnsi="宋体" w:cs="Times New Roman"/>
                <w:color w:val="auto"/>
                <w:kern w:val="2"/>
                <w:sz w:val="21"/>
                <w:szCs w:val="21"/>
                <w:highlight w:val="none"/>
                <w:lang w:val="sq-AL" w:eastAsia="zh-CN" w:bidi="ar-SA"/>
              </w:rPr>
              <w:t>、环境管理体系认证证书、职业健康安全管理体系认证证书、企业诚信管理体系认证证书</w:t>
            </w:r>
            <w:r>
              <w:rPr>
                <w:rFonts w:hint="eastAsia" w:ascii="宋体" w:hAnsi="宋体" w:eastAsia="宋体" w:cs="Times New Roman"/>
                <w:color w:val="auto"/>
                <w:kern w:val="2"/>
                <w:sz w:val="21"/>
                <w:szCs w:val="21"/>
                <w:highlight w:val="none"/>
                <w:lang w:val="sq-AL" w:eastAsia="zh-CN" w:bidi="ar-SA"/>
              </w:rPr>
              <w:t>且证书在有效期内，每提供一项得</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sq-AL" w:eastAsia="zh-CN" w:bidi="ar-SA"/>
              </w:rPr>
              <w:t>分，满分</w:t>
            </w:r>
            <w:r>
              <w:rPr>
                <w:rFonts w:hint="eastAsia" w:ascii="宋体"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sq-AL" w:eastAsia="zh-CN" w:bidi="ar-SA"/>
              </w:rPr>
              <w:t>分。</w:t>
            </w:r>
          </w:p>
          <w:p>
            <w:pPr>
              <w:keepNext w:val="0"/>
              <w:keepLines w:val="0"/>
              <w:pageBreakBefore w:val="0"/>
              <w:widowControl/>
              <w:kinsoku/>
              <w:wordWrap/>
              <w:overflowPunct/>
              <w:topLinePunct w:val="0"/>
              <w:bidi w:val="0"/>
              <w:snapToGrid/>
              <w:spacing w:line="560" w:lineRule="exact"/>
              <w:ind w:left="0" w:leftChars="0" w:right="0" w:rightChars="0"/>
              <w:jc w:val="left"/>
              <w:textAlignment w:val="auto"/>
              <w:rPr>
                <w:rFonts w:hint="eastAsia" w:ascii="宋体" w:hAnsi="宋体" w:eastAsia="宋体" w:cs="Times New Roman"/>
                <w:b/>
                <w:bCs/>
                <w:color w:val="auto"/>
                <w:kern w:val="2"/>
                <w:sz w:val="21"/>
                <w:szCs w:val="21"/>
                <w:highlight w:val="none"/>
                <w:lang w:val="sq-AL" w:eastAsia="zh-CN" w:bidi="ar-SA"/>
              </w:rPr>
            </w:pPr>
            <w:r>
              <w:rPr>
                <w:rFonts w:hint="eastAsia" w:ascii="宋体" w:hAnsi="宋体" w:eastAsia="宋体" w:cs="Times New Roman"/>
                <w:b/>
                <w:bCs/>
                <w:color w:val="auto"/>
                <w:kern w:val="2"/>
                <w:sz w:val="21"/>
                <w:szCs w:val="21"/>
                <w:highlight w:val="none"/>
                <w:lang w:val="sq-AL" w:eastAsia="zh-CN" w:bidi="ar-SA"/>
              </w:rPr>
              <w:t>2.证明文件：</w:t>
            </w:r>
          </w:p>
          <w:p>
            <w:pPr>
              <w:keepNext w:val="0"/>
              <w:keepLines w:val="0"/>
              <w:pageBreakBefore w:val="0"/>
              <w:widowControl/>
              <w:kinsoku/>
              <w:wordWrap/>
              <w:overflowPunct/>
              <w:topLinePunct w:val="0"/>
              <w:bidi w:val="0"/>
              <w:snapToGrid/>
              <w:spacing w:line="560" w:lineRule="exact"/>
              <w:ind w:left="0" w:leftChars="0" w:right="0" w:rightChars="0"/>
              <w:jc w:val="left"/>
              <w:textAlignment w:val="auto"/>
              <w:rPr>
                <w:rFonts w:ascii="宋体" w:hAnsi="宋体" w:cs="宋体"/>
                <w:color w:val="auto"/>
                <w:kern w:val="0"/>
                <w:sz w:val="21"/>
                <w:szCs w:val="21"/>
                <w:highlight w:val="none"/>
              </w:rPr>
            </w:pPr>
            <w:r>
              <w:rPr>
                <w:rFonts w:hint="eastAsia" w:ascii="宋体" w:hAnsi="宋体" w:eastAsia="宋体" w:cs="Times New Roman"/>
                <w:color w:val="auto"/>
                <w:kern w:val="2"/>
                <w:sz w:val="21"/>
                <w:szCs w:val="21"/>
                <w:highlight w:val="none"/>
                <w:lang w:val="sq-AL" w:eastAsia="zh-CN" w:bidi="ar-SA"/>
              </w:rPr>
              <w:t>投标人须提供有效的证书扫描件（复印件）加盖投标人公章，未提供或不清晰不得分。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topLinePunct w:val="0"/>
              <w:bidi w:val="0"/>
              <w:spacing w:line="5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val="en-US" w:eastAsia="zh-CN"/>
              </w:rPr>
              <w:t>5</w:t>
            </w:r>
          </w:p>
        </w:tc>
        <w:tc>
          <w:tcPr>
            <w:tcW w:w="1437" w:type="dxa"/>
            <w:vAlign w:val="center"/>
          </w:tcPr>
          <w:p>
            <w:pPr>
              <w:pStyle w:val="22"/>
              <w:keepNext w:val="0"/>
              <w:keepLines w:val="0"/>
              <w:pageBreakBefore w:val="0"/>
              <w:topLinePunct w:val="0"/>
              <w:bidi w:val="0"/>
              <w:spacing w:before="44" w:line="560" w:lineRule="exact"/>
              <w:ind w:left="108" w:leftChars="0"/>
              <w:textAlignment w:val="auto"/>
              <w:rPr>
                <w:color w:val="auto"/>
                <w:kern w:val="2"/>
                <w:sz w:val="21"/>
                <w:highlight w:val="none"/>
              </w:rPr>
            </w:pPr>
            <w:r>
              <w:rPr>
                <w:color w:val="auto"/>
                <w:kern w:val="2"/>
                <w:sz w:val="21"/>
                <w:highlight w:val="none"/>
              </w:rPr>
              <w:t>党建工作</w:t>
            </w:r>
          </w:p>
          <w:p>
            <w:pPr>
              <w:pStyle w:val="22"/>
              <w:keepNext w:val="0"/>
              <w:keepLines w:val="0"/>
              <w:pageBreakBefore w:val="0"/>
              <w:topLinePunct w:val="0"/>
              <w:bidi w:val="0"/>
              <w:spacing w:before="44" w:line="560" w:lineRule="exact"/>
              <w:ind w:left="108" w:leftChars="0" w:firstLine="210" w:firstLineChars="100"/>
              <w:textAlignment w:val="auto"/>
              <w:rPr>
                <w:rFonts w:ascii="宋体" w:hAnsi="宋体"/>
                <w:bCs/>
                <w:color w:val="auto"/>
                <w:kern w:val="0"/>
                <w:sz w:val="21"/>
                <w:szCs w:val="21"/>
                <w:highlight w:val="none"/>
                <w:lang w:val="zh-CN"/>
              </w:rPr>
            </w:pPr>
            <w:r>
              <w:rPr>
                <w:color w:val="auto"/>
                <w:kern w:val="2"/>
                <w:sz w:val="21"/>
                <w:highlight w:val="none"/>
              </w:rPr>
              <w:t>情况</w:t>
            </w:r>
          </w:p>
        </w:tc>
        <w:tc>
          <w:tcPr>
            <w:tcW w:w="711" w:type="dxa"/>
            <w:vAlign w:val="center"/>
          </w:tcPr>
          <w:p>
            <w:pPr>
              <w:pStyle w:val="22"/>
              <w:keepNext w:val="0"/>
              <w:keepLines w:val="0"/>
              <w:pageBreakBefore w:val="0"/>
              <w:topLinePunct w:val="0"/>
              <w:bidi w:val="0"/>
              <w:spacing w:before="44" w:line="560" w:lineRule="exact"/>
              <w:textAlignment w:val="auto"/>
              <w:rPr>
                <w:rFonts w:hint="default" w:ascii="宋体" w:hAnsi="宋体"/>
                <w:color w:val="auto"/>
                <w:sz w:val="21"/>
                <w:szCs w:val="21"/>
                <w:highlight w:val="none"/>
                <w:lang w:val="en-US"/>
              </w:rPr>
            </w:pPr>
            <w:r>
              <w:rPr>
                <w:rFonts w:hint="eastAsia" w:cs="宋体"/>
                <w:color w:val="auto"/>
                <w:kern w:val="0"/>
                <w:sz w:val="22"/>
                <w:szCs w:val="21"/>
                <w:highlight w:val="none"/>
                <w:lang w:val="en-US" w:eastAsia="zh-CN" w:bidi="zh-CN"/>
              </w:rPr>
              <w:t>12</w:t>
            </w:r>
          </w:p>
        </w:tc>
        <w:tc>
          <w:tcPr>
            <w:tcW w:w="1178" w:type="dxa"/>
            <w:vAlign w:val="center"/>
          </w:tcPr>
          <w:p>
            <w:pPr>
              <w:keepNext w:val="0"/>
              <w:keepLines w:val="0"/>
              <w:pageBreakBefore w:val="0"/>
              <w:topLinePunct w:val="0"/>
              <w:bidi w:val="0"/>
              <w:spacing w:line="560" w:lineRule="exact"/>
              <w:jc w:val="center"/>
              <w:textAlignment w:val="auto"/>
              <w:rPr>
                <w:rFonts w:ascii="宋体" w:hAnsi="宋体"/>
                <w:b w:val="0"/>
                <w:bCs w:val="0"/>
                <w:color w:val="auto"/>
                <w:sz w:val="21"/>
                <w:szCs w:val="21"/>
                <w:highlight w:val="none"/>
              </w:rPr>
            </w:pPr>
            <w:r>
              <w:rPr>
                <w:rFonts w:hint="eastAsia" w:ascii="宋体" w:hAnsi="宋体" w:cs="宋体"/>
                <w:color w:val="auto"/>
                <w:kern w:val="0"/>
                <w:szCs w:val="21"/>
                <w:highlight w:val="none"/>
              </w:rPr>
              <w:t>专家打分</w:t>
            </w:r>
          </w:p>
        </w:tc>
        <w:tc>
          <w:tcPr>
            <w:tcW w:w="5431" w:type="dxa"/>
            <w:vAlign w:val="center"/>
          </w:tcPr>
          <w:p>
            <w:pPr>
              <w:keepNext w:val="0"/>
              <w:keepLines w:val="0"/>
              <w:pageBreakBefore w:val="0"/>
              <w:widowControl/>
              <w:suppressLineNumbers w:val="0"/>
              <w:topLinePunct w:val="0"/>
              <w:bidi w:val="0"/>
              <w:spacing w:line="560" w:lineRule="exact"/>
              <w:jc w:val="left"/>
              <w:textAlignment w:val="auto"/>
              <w:rPr>
                <w:rFonts w:hint="eastAsia"/>
                <w:b/>
                <w:bCs/>
                <w:color w:val="auto"/>
                <w:highlight w:val="none"/>
                <w:lang w:val="en-US" w:eastAsia="zh-CN"/>
              </w:rPr>
            </w:pPr>
            <w:r>
              <w:rPr>
                <w:rFonts w:hint="eastAsia"/>
                <w:b/>
                <w:bCs/>
                <w:color w:val="auto"/>
                <w:highlight w:val="none"/>
                <w:lang w:val="en-US" w:eastAsia="zh-CN"/>
              </w:rPr>
              <w:t>1.评分标准</w:t>
            </w:r>
          </w:p>
          <w:p>
            <w:pPr>
              <w:pStyle w:val="26"/>
              <w:keepNext w:val="0"/>
              <w:keepLines w:val="0"/>
              <w:pageBreakBefore w:val="0"/>
              <w:topLinePunct w:val="0"/>
              <w:bidi w:val="0"/>
              <w:spacing w:line="560" w:lineRule="exact"/>
              <w:textAlignment w:val="auto"/>
              <w:rPr>
                <w:rFonts w:hint="eastAsia" w:ascii="宋体" w:hAnsi="宋体" w:eastAsia="宋体" w:cs="Times New Roman"/>
                <w:bCs w:val="0"/>
                <w:color w:val="auto"/>
                <w:spacing w:val="0"/>
                <w:kern w:val="2"/>
                <w:sz w:val="21"/>
                <w:szCs w:val="21"/>
                <w:highlight w:val="none"/>
                <w:lang w:val="en-US" w:eastAsia="zh-CN" w:bidi="ar-SA"/>
              </w:rPr>
            </w:pPr>
            <w:r>
              <w:rPr>
                <w:rFonts w:hint="eastAsia" w:ascii="宋体" w:hAnsi="宋体" w:eastAsia="宋体" w:cs="Times New Roman"/>
                <w:bCs w:val="0"/>
                <w:color w:val="auto"/>
                <w:spacing w:val="0"/>
                <w:kern w:val="2"/>
                <w:sz w:val="21"/>
                <w:szCs w:val="21"/>
                <w:highlight w:val="none"/>
                <w:lang w:val="en-US" w:eastAsia="zh-CN" w:bidi="ar-SA"/>
              </w:rPr>
              <w:t>（1）</w:t>
            </w:r>
            <w:r>
              <w:rPr>
                <w:rFonts w:hint="default" w:ascii="宋体" w:hAnsi="宋体" w:eastAsia="宋体" w:cs="Times New Roman"/>
                <w:bCs w:val="0"/>
                <w:color w:val="auto"/>
                <w:spacing w:val="0"/>
                <w:kern w:val="2"/>
                <w:sz w:val="21"/>
                <w:szCs w:val="21"/>
                <w:highlight w:val="none"/>
                <w:lang w:val="en-US" w:eastAsia="zh-CN" w:bidi="ar-SA"/>
              </w:rPr>
              <w:t>投标人成立党组织的</w:t>
            </w:r>
            <w:r>
              <w:rPr>
                <w:rFonts w:hint="eastAsia" w:ascii="宋体" w:hAnsi="宋体" w:eastAsia="宋体" w:cs="Times New Roman"/>
                <w:bCs w:val="0"/>
                <w:color w:val="auto"/>
                <w:spacing w:val="0"/>
                <w:kern w:val="2"/>
                <w:sz w:val="21"/>
                <w:szCs w:val="21"/>
                <w:highlight w:val="none"/>
                <w:lang w:val="en-US" w:eastAsia="zh-CN" w:bidi="ar-SA"/>
              </w:rPr>
              <w:t>，得</w:t>
            </w:r>
            <w:r>
              <w:rPr>
                <w:rFonts w:hint="eastAsia" w:ascii="宋体" w:hAnsi="宋体" w:cs="Times New Roman"/>
                <w:bCs w:val="0"/>
                <w:color w:val="auto"/>
                <w:spacing w:val="0"/>
                <w:kern w:val="2"/>
                <w:sz w:val="21"/>
                <w:szCs w:val="21"/>
                <w:highlight w:val="none"/>
                <w:lang w:val="en-US" w:eastAsia="zh-CN" w:bidi="ar-SA"/>
              </w:rPr>
              <w:t>1</w:t>
            </w:r>
            <w:r>
              <w:rPr>
                <w:rFonts w:hint="eastAsia" w:ascii="宋体" w:hAnsi="宋体" w:eastAsia="宋体" w:cs="Times New Roman"/>
                <w:bCs w:val="0"/>
                <w:color w:val="auto"/>
                <w:spacing w:val="0"/>
                <w:kern w:val="2"/>
                <w:sz w:val="21"/>
                <w:szCs w:val="21"/>
                <w:highlight w:val="none"/>
                <w:lang w:val="en-US" w:eastAsia="zh-CN" w:bidi="ar-SA"/>
              </w:rPr>
              <w:t>分；</w:t>
            </w:r>
          </w:p>
          <w:p>
            <w:pPr>
              <w:pStyle w:val="26"/>
              <w:keepNext w:val="0"/>
              <w:keepLines w:val="0"/>
              <w:pageBreakBefore w:val="0"/>
              <w:topLinePunct w:val="0"/>
              <w:bidi w:val="0"/>
              <w:spacing w:line="560" w:lineRule="exact"/>
              <w:textAlignment w:val="auto"/>
              <w:rPr>
                <w:rFonts w:hint="eastAsia" w:ascii="宋体" w:hAnsi="宋体" w:eastAsia="宋体" w:cs="Times New Roman"/>
                <w:bCs w:val="0"/>
                <w:color w:val="auto"/>
                <w:spacing w:val="0"/>
                <w:kern w:val="2"/>
                <w:sz w:val="21"/>
                <w:szCs w:val="21"/>
                <w:highlight w:val="none"/>
                <w:lang w:val="en-US" w:eastAsia="zh-CN" w:bidi="ar-SA"/>
              </w:rPr>
            </w:pPr>
            <w:r>
              <w:rPr>
                <w:rFonts w:hint="eastAsia" w:ascii="宋体" w:hAnsi="宋体" w:eastAsia="宋体" w:cs="Times New Roman"/>
                <w:bCs w:val="0"/>
                <w:color w:val="auto"/>
                <w:spacing w:val="0"/>
                <w:kern w:val="2"/>
                <w:sz w:val="21"/>
                <w:szCs w:val="21"/>
                <w:highlight w:val="none"/>
                <w:lang w:val="en-US" w:eastAsia="zh-CN" w:bidi="ar-SA"/>
              </w:rPr>
              <w:t>（2）党建工作写入机构章程的，得</w:t>
            </w:r>
            <w:r>
              <w:rPr>
                <w:rFonts w:hint="eastAsia" w:ascii="宋体" w:hAnsi="宋体" w:cs="Times New Roman"/>
                <w:bCs w:val="0"/>
                <w:color w:val="auto"/>
                <w:spacing w:val="0"/>
                <w:kern w:val="2"/>
                <w:sz w:val="21"/>
                <w:szCs w:val="21"/>
                <w:highlight w:val="none"/>
                <w:lang w:val="en-US" w:eastAsia="zh-CN" w:bidi="ar-SA"/>
              </w:rPr>
              <w:t>1</w:t>
            </w:r>
            <w:r>
              <w:rPr>
                <w:rFonts w:hint="eastAsia" w:ascii="宋体" w:hAnsi="宋体" w:eastAsia="宋体" w:cs="Times New Roman"/>
                <w:bCs w:val="0"/>
                <w:color w:val="auto"/>
                <w:spacing w:val="0"/>
                <w:kern w:val="2"/>
                <w:sz w:val="21"/>
                <w:szCs w:val="21"/>
                <w:highlight w:val="none"/>
                <w:lang w:val="en-US" w:eastAsia="zh-CN" w:bidi="ar-SA"/>
              </w:rPr>
              <w:t>分；</w:t>
            </w:r>
          </w:p>
          <w:p>
            <w:pPr>
              <w:pStyle w:val="26"/>
              <w:keepNext w:val="0"/>
              <w:keepLines w:val="0"/>
              <w:pageBreakBefore w:val="0"/>
              <w:topLinePunct w:val="0"/>
              <w:bidi w:val="0"/>
              <w:spacing w:line="560" w:lineRule="exact"/>
              <w:textAlignment w:val="auto"/>
              <w:rPr>
                <w:rFonts w:hint="eastAsia" w:ascii="宋体" w:hAnsi="宋体" w:eastAsia="宋体" w:cs="Times New Roman"/>
                <w:bCs w:val="0"/>
                <w:color w:val="auto"/>
                <w:spacing w:val="0"/>
                <w:kern w:val="2"/>
                <w:sz w:val="21"/>
                <w:szCs w:val="21"/>
                <w:highlight w:val="none"/>
                <w:lang w:val="en-US" w:eastAsia="zh-CN" w:bidi="ar-SA"/>
              </w:rPr>
            </w:pPr>
            <w:r>
              <w:rPr>
                <w:rFonts w:hint="eastAsia" w:ascii="宋体" w:hAnsi="宋体" w:cs="Times New Roman"/>
                <w:bCs w:val="0"/>
                <w:color w:val="auto"/>
                <w:spacing w:val="0"/>
                <w:kern w:val="2"/>
                <w:sz w:val="21"/>
                <w:szCs w:val="21"/>
                <w:highlight w:val="none"/>
                <w:lang w:val="en-US" w:eastAsia="zh-CN" w:bidi="ar-SA"/>
              </w:rPr>
              <w:t>（3）</w:t>
            </w:r>
            <w:r>
              <w:rPr>
                <w:rFonts w:hint="eastAsia" w:ascii="宋体" w:hAnsi="宋体" w:cs="宋体"/>
                <w:color w:val="auto"/>
                <w:kern w:val="0"/>
                <w:sz w:val="21"/>
                <w:szCs w:val="21"/>
                <w:highlight w:val="none"/>
              </w:rPr>
              <w:t>机构发展党员情况，有1名预备党员或正式党员得0.2分，最高不超过2分；</w:t>
            </w:r>
          </w:p>
          <w:p>
            <w:pPr>
              <w:pStyle w:val="26"/>
              <w:keepNext w:val="0"/>
              <w:keepLines w:val="0"/>
              <w:pageBreakBefore w:val="0"/>
              <w:topLinePunct w:val="0"/>
              <w:bidi w:val="0"/>
              <w:spacing w:line="560" w:lineRule="exact"/>
              <w:textAlignment w:val="auto"/>
              <w:rPr>
                <w:rFonts w:hint="eastAsia" w:ascii="宋体" w:hAnsi="宋体" w:eastAsia="宋体" w:cs="Times New Roman"/>
                <w:bCs w:val="0"/>
                <w:color w:val="auto"/>
                <w:spacing w:val="0"/>
                <w:kern w:val="2"/>
                <w:sz w:val="21"/>
                <w:szCs w:val="21"/>
                <w:highlight w:val="none"/>
                <w:lang w:val="en-US" w:eastAsia="zh-CN" w:bidi="ar-SA"/>
              </w:rPr>
            </w:pPr>
            <w:r>
              <w:rPr>
                <w:rFonts w:hint="eastAsia" w:ascii="宋体" w:hAnsi="宋体" w:eastAsia="宋体" w:cs="Times New Roman"/>
                <w:bCs w:val="0"/>
                <w:color w:val="auto"/>
                <w:spacing w:val="0"/>
                <w:kern w:val="2"/>
                <w:sz w:val="21"/>
                <w:szCs w:val="21"/>
                <w:highlight w:val="none"/>
                <w:lang w:val="en-US" w:eastAsia="zh-CN" w:bidi="ar-SA"/>
              </w:rPr>
              <w:t>（</w:t>
            </w:r>
            <w:r>
              <w:rPr>
                <w:rFonts w:hint="eastAsia" w:ascii="宋体" w:hAnsi="宋体" w:cs="Times New Roman"/>
                <w:bCs w:val="0"/>
                <w:color w:val="auto"/>
                <w:spacing w:val="0"/>
                <w:kern w:val="2"/>
                <w:sz w:val="21"/>
                <w:szCs w:val="21"/>
                <w:highlight w:val="none"/>
                <w:lang w:val="en-US" w:eastAsia="zh-CN" w:bidi="ar-SA"/>
              </w:rPr>
              <w:t>4</w:t>
            </w:r>
            <w:r>
              <w:rPr>
                <w:rFonts w:hint="eastAsia" w:ascii="宋体" w:hAnsi="宋体" w:eastAsia="宋体" w:cs="Times New Roman"/>
                <w:bCs w:val="0"/>
                <w:color w:val="auto"/>
                <w:spacing w:val="0"/>
                <w:kern w:val="2"/>
                <w:sz w:val="21"/>
                <w:szCs w:val="21"/>
                <w:highlight w:val="none"/>
                <w:lang w:val="en-US" w:eastAsia="zh-CN" w:bidi="ar-SA"/>
              </w:rPr>
              <w:t>）2020年1月1日以来，投标人党支部获得上级党组织颁发的“先进基层党组织”荣誉或奖项的，得</w:t>
            </w:r>
            <w:r>
              <w:rPr>
                <w:rFonts w:hint="eastAsia" w:ascii="宋体" w:hAnsi="宋体" w:cs="Times New Roman"/>
                <w:bCs w:val="0"/>
                <w:color w:val="auto"/>
                <w:spacing w:val="0"/>
                <w:kern w:val="2"/>
                <w:sz w:val="21"/>
                <w:szCs w:val="21"/>
                <w:highlight w:val="none"/>
                <w:lang w:val="en-US" w:eastAsia="zh-CN" w:bidi="ar-SA"/>
              </w:rPr>
              <w:t>4</w:t>
            </w:r>
            <w:r>
              <w:rPr>
                <w:rFonts w:hint="eastAsia" w:ascii="宋体" w:hAnsi="宋体" w:eastAsia="宋体" w:cs="Times New Roman"/>
                <w:bCs w:val="0"/>
                <w:color w:val="auto"/>
                <w:spacing w:val="0"/>
                <w:kern w:val="2"/>
                <w:sz w:val="21"/>
                <w:szCs w:val="21"/>
                <w:highlight w:val="none"/>
                <w:lang w:val="en-US" w:eastAsia="zh-CN" w:bidi="ar-SA"/>
              </w:rPr>
              <w:t>分。</w:t>
            </w:r>
          </w:p>
          <w:p>
            <w:pPr>
              <w:pStyle w:val="26"/>
              <w:keepNext w:val="0"/>
              <w:keepLines w:val="0"/>
              <w:pageBreakBefore w:val="0"/>
              <w:topLinePunct w:val="0"/>
              <w:bidi w:val="0"/>
              <w:spacing w:line="560" w:lineRule="exact"/>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（5）</w:t>
            </w:r>
            <w:r>
              <w:rPr>
                <w:rFonts w:hint="eastAsia" w:ascii="宋体" w:hAnsi="宋体" w:eastAsia="宋体" w:cs="宋体"/>
                <w:color w:val="auto"/>
                <w:sz w:val="21"/>
                <w:szCs w:val="21"/>
                <w:highlight w:val="none"/>
              </w:rPr>
              <w:t>具有上级党组织（社会组织党委）出具的2019年1月1日至202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月30日监管评价意见，正面评价得</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，负面评价或未提供不得分。</w:t>
            </w:r>
          </w:p>
          <w:p>
            <w:pPr>
              <w:pStyle w:val="26"/>
              <w:keepNext w:val="0"/>
              <w:keepLines w:val="0"/>
              <w:pageBreakBefore w:val="0"/>
              <w:topLinePunct w:val="0"/>
              <w:bidi w:val="0"/>
              <w:spacing w:line="560" w:lineRule="exac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2.证明文件：</w:t>
            </w:r>
          </w:p>
          <w:p>
            <w:pPr>
              <w:pStyle w:val="26"/>
              <w:keepNext w:val="0"/>
              <w:keepLines w:val="0"/>
              <w:pageBreakBefore w:val="0"/>
              <w:topLinePunct w:val="0"/>
              <w:bidi w:val="0"/>
              <w:spacing w:line="560" w:lineRule="exact"/>
              <w:textAlignment w:val="auto"/>
              <w:rPr>
                <w:rFonts w:hint="eastAsia" w:ascii="宋体" w:hAnsi="宋体" w:eastAsia="宋体"/>
                <w:b w:val="0"/>
                <w:bCs w:val="0"/>
                <w:color w:val="auto"/>
                <w:sz w:val="21"/>
                <w:szCs w:val="21"/>
                <w:highlight w:val="none"/>
                <w:lang w:eastAsia="zh-CN"/>
              </w:rPr>
            </w:pPr>
            <w:r>
              <w:rPr>
                <w:rFonts w:hint="eastAsia" w:ascii="宋体" w:hAnsi="宋体" w:eastAsia="宋体" w:cs="Times New Roman"/>
                <w:bCs w:val="0"/>
                <w:color w:val="auto"/>
                <w:spacing w:val="0"/>
                <w:kern w:val="2"/>
                <w:sz w:val="21"/>
                <w:szCs w:val="21"/>
                <w:highlight w:val="none"/>
                <w:lang w:val="en-US" w:eastAsia="zh-CN" w:bidi="ar-SA"/>
              </w:rPr>
              <w:t>第一项提供批复文件扫描件；第二项提供机构章程；第三项</w:t>
            </w:r>
            <w:r>
              <w:rPr>
                <w:rFonts w:hint="eastAsia" w:ascii="宋体" w:hAnsi="宋体" w:cs="Times New Roman"/>
                <w:bCs w:val="0"/>
                <w:color w:val="auto"/>
                <w:spacing w:val="0"/>
                <w:kern w:val="2"/>
                <w:sz w:val="21"/>
                <w:szCs w:val="21"/>
                <w:highlight w:val="none"/>
                <w:lang w:val="en-US" w:eastAsia="zh-CN" w:bidi="ar-SA"/>
              </w:rPr>
              <w:t>提供投标人党支部开具的党员证明；第四项</w:t>
            </w:r>
            <w:r>
              <w:rPr>
                <w:rFonts w:hint="eastAsia" w:ascii="宋体" w:hAnsi="宋体" w:eastAsia="宋体" w:cs="Times New Roman"/>
                <w:bCs w:val="0"/>
                <w:color w:val="auto"/>
                <w:spacing w:val="0"/>
                <w:kern w:val="2"/>
                <w:sz w:val="21"/>
                <w:szCs w:val="21"/>
                <w:highlight w:val="none"/>
                <w:lang w:val="en-US" w:eastAsia="zh-CN" w:bidi="ar-SA"/>
              </w:rPr>
              <w:t>提供荣誉或奖项证明文件扫描件</w:t>
            </w:r>
            <w:r>
              <w:rPr>
                <w:rFonts w:hint="eastAsia" w:ascii="宋体" w:hAnsi="宋体" w:cs="Times New Roman"/>
                <w:bCs w:val="0"/>
                <w:color w:val="auto"/>
                <w:spacing w:val="0"/>
                <w:kern w:val="2"/>
                <w:sz w:val="21"/>
                <w:szCs w:val="21"/>
                <w:highlight w:val="none"/>
                <w:lang w:val="en-US" w:eastAsia="zh-CN" w:bidi="ar-SA"/>
              </w:rPr>
              <w:t>；第五项提供监管评价意见文件扫描件；</w:t>
            </w:r>
            <w:r>
              <w:rPr>
                <w:rFonts w:hint="eastAsia" w:ascii="宋体" w:hAnsi="宋体" w:eastAsia="宋体" w:cs="Times New Roman"/>
                <w:bCs w:val="0"/>
                <w:color w:val="auto"/>
                <w:spacing w:val="0"/>
                <w:kern w:val="2"/>
                <w:sz w:val="21"/>
                <w:szCs w:val="21"/>
                <w:highlight w:val="none"/>
                <w:lang w:val="en-US" w:eastAsia="zh-CN" w:bidi="ar-SA"/>
              </w:rPr>
              <w:t>未提供或不清晰不得分</w:t>
            </w:r>
            <w:r>
              <w:rPr>
                <w:rFonts w:hint="eastAsia" w:ascii="宋体" w:hAnsi="宋体" w:cs="Times New Roman"/>
                <w:bCs w:val="0"/>
                <w:color w:val="auto"/>
                <w:spacing w:val="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top"/>
          </w:tcPr>
          <w:p>
            <w:pPr>
              <w:keepNext w:val="0"/>
              <w:keepLines w:val="0"/>
              <w:pageBreakBefore w:val="0"/>
              <w:wordWrap w:val="0"/>
              <w:topLinePunct w:val="0"/>
              <w:bidi w:val="0"/>
              <w:spacing w:line="560" w:lineRule="exact"/>
              <w:jc w:val="center"/>
              <w:textAlignment w:val="auto"/>
              <w:rPr>
                <w:rFonts w:hint="eastAsia" w:ascii="宋体" w:hAnsi="宋体" w:eastAsia="宋体" w:cs="宋体"/>
                <w:color w:val="auto"/>
                <w:sz w:val="21"/>
                <w:szCs w:val="21"/>
                <w:highlight w:val="none"/>
                <w:lang w:eastAsia="zh-CN"/>
              </w:rPr>
            </w:pPr>
            <w:r>
              <w:rPr>
                <w:rFonts w:hint="eastAsia"/>
                <w:color w:val="auto"/>
                <w:szCs w:val="21"/>
                <w:highlight w:val="none"/>
                <w:lang w:val="en-US" w:eastAsia="zh-CN"/>
              </w:rPr>
              <w:t>6</w:t>
            </w:r>
          </w:p>
        </w:tc>
        <w:tc>
          <w:tcPr>
            <w:tcW w:w="1437" w:type="dxa"/>
            <w:vAlign w:val="top"/>
          </w:tcPr>
          <w:p>
            <w:pPr>
              <w:keepNext w:val="0"/>
              <w:keepLines w:val="0"/>
              <w:pageBreakBefore w:val="0"/>
              <w:wordWrap w:val="0"/>
              <w:topLinePunct w:val="0"/>
              <w:bidi w:val="0"/>
              <w:spacing w:line="560" w:lineRule="exact"/>
              <w:textAlignment w:val="auto"/>
              <w:rPr>
                <w:rFonts w:hint="eastAsia" w:ascii="宋体" w:hAnsi="宋体"/>
                <w:color w:val="auto"/>
                <w:sz w:val="21"/>
                <w:szCs w:val="21"/>
                <w:highlight w:val="none"/>
              </w:rPr>
            </w:pPr>
            <w:r>
              <w:rPr>
                <w:color w:val="auto"/>
                <w:szCs w:val="21"/>
                <w:highlight w:val="none"/>
              </w:rPr>
              <w:t>机构主管部门履约评价</w:t>
            </w:r>
          </w:p>
        </w:tc>
        <w:tc>
          <w:tcPr>
            <w:tcW w:w="711" w:type="dxa"/>
            <w:vAlign w:val="top"/>
          </w:tcPr>
          <w:p>
            <w:pPr>
              <w:keepNext w:val="0"/>
              <w:keepLines w:val="0"/>
              <w:pageBreakBefore w:val="0"/>
              <w:wordWrap w:val="0"/>
              <w:topLinePunct w:val="0"/>
              <w:bidi w:val="0"/>
              <w:spacing w:line="560" w:lineRule="exact"/>
              <w:jc w:val="center"/>
              <w:textAlignment w:val="auto"/>
              <w:rPr>
                <w:rFonts w:hint="eastAsia" w:ascii="宋体" w:hAnsi="宋体"/>
                <w:color w:val="auto"/>
                <w:sz w:val="21"/>
                <w:szCs w:val="21"/>
                <w:highlight w:val="none"/>
              </w:rPr>
            </w:pPr>
            <w:r>
              <w:rPr>
                <w:color w:val="auto"/>
                <w:szCs w:val="21"/>
                <w:highlight w:val="none"/>
              </w:rPr>
              <w:t>6</w:t>
            </w:r>
          </w:p>
        </w:tc>
        <w:tc>
          <w:tcPr>
            <w:tcW w:w="1178" w:type="dxa"/>
            <w:vAlign w:val="top"/>
          </w:tcPr>
          <w:p>
            <w:pPr>
              <w:keepNext w:val="0"/>
              <w:keepLines w:val="0"/>
              <w:pageBreakBefore w:val="0"/>
              <w:wordWrap w:val="0"/>
              <w:topLinePunct w:val="0"/>
              <w:bidi w:val="0"/>
              <w:spacing w:line="560" w:lineRule="exact"/>
              <w:textAlignment w:val="auto"/>
              <w:rPr>
                <w:rFonts w:hint="eastAsia" w:ascii="宋体" w:hAnsi="宋体"/>
                <w:color w:val="auto"/>
                <w:sz w:val="21"/>
                <w:szCs w:val="21"/>
                <w:highlight w:val="none"/>
              </w:rPr>
            </w:pPr>
          </w:p>
        </w:tc>
        <w:tc>
          <w:tcPr>
            <w:tcW w:w="5431" w:type="dxa"/>
            <w:vAlign w:val="top"/>
          </w:tcPr>
          <w:p>
            <w:pPr>
              <w:keepNext w:val="0"/>
              <w:keepLines w:val="0"/>
              <w:pageBreakBefore w:val="0"/>
              <w:wordWrap w:val="0"/>
              <w:topLinePunct w:val="0"/>
              <w:bidi w:val="0"/>
              <w:spacing w:line="560" w:lineRule="exact"/>
              <w:textAlignment w:val="auto"/>
              <w:rPr>
                <w:b/>
                <w:bCs/>
                <w:color w:val="auto"/>
                <w:szCs w:val="21"/>
                <w:highlight w:val="none"/>
              </w:rPr>
            </w:pPr>
            <w:r>
              <w:rPr>
                <w:rFonts w:hint="eastAsia"/>
                <w:b/>
                <w:bCs/>
                <w:color w:val="auto"/>
                <w:szCs w:val="21"/>
                <w:highlight w:val="none"/>
                <w:lang w:val="en-US" w:eastAsia="zh-CN"/>
              </w:rPr>
              <w:t>1、</w:t>
            </w:r>
            <w:r>
              <w:rPr>
                <w:rFonts w:hint="eastAsia"/>
                <w:b/>
                <w:bCs/>
                <w:color w:val="auto"/>
                <w:szCs w:val="21"/>
                <w:highlight w:val="none"/>
                <w:lang w:eastAsia="zh-CN"/>
              </w:rPr>
              <w:t>评审标准：</w:t>
            </w:r>
            <w:r>
              <w:rPr>
                <w:b/>
                <w:bCs/>
                <w:color w:val="auto"/>
                <w:szCs w:val="21"/>
                <w:highlight w:val="none"/>
              </w:rPr>
              <w:t xml:space="preserve">：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由履约主管部门出具一份2020年1月1日至2021年</w:t>
            </w:r>
            <w:r>
              <w:rPr>
                <w:rFonts w:hint="eastAsia"/>
                <w:color w:val="auto"/>
                <w:szCs w:val="21"/>
                <w:highlight w:val="none"/>
                <w:lang w:val="en-US" w:eastAsia="zh-CN"/>
              </w:rPr>
              <w:t>11</w:t>
            </w:r>
            <w:r>
              <w:rPr>
                <w:color w:val="auto"/>
                <w:szCs w:val="21"/>
                <w:highlight w:val="none"/>
              </w:rPr>
              <w:t>月30日所有社工服务项目整体运营情况履约评价，评价为“优秀”或“满意”的得</w:t>
            </w:r>
            <w:r>
              <w:rPr>
                <w:rFonts w:hint="eastAsia"/>
                <w:color w:val="auto"/>
                <w:szCs w:val="21"/>
                <w:highlight w:val="none"/>
                <w:lang w:val="en-US" w:eastAsia="zh-CN"/>
              </w:rPr>
              <w:t>6分</w:t>
            </w:r>
            <w:r>
              <w:rPr>
                <w:color w:val="auto"/>
                <w:szCs w:val="21"/>
                <w:highlight w:val="none"/>
              </w:rPr>
              <w:t xml:space="preserve">，评价为良的得分 </w:t>
            </w:r>
            <w:r>
              <w:rPr>
                <w:rFonts w:hint="eastAsia"/>
                <w:color w:val="auto"/>
                <w:szCs w:val="21"/>
                <w:highlight w:val="none"/>
                <w:lang w:val="en-US" w:eastAsia="zh-CN"/>
              </w:rPr>
              <w:t>4分（</w:t>
            </w:r>
            <w:r>
              <w:rPr>
                <w:color w:val="auto"/>
                <w:szCs w:val="21"/>
                <w:highlight w:val="none"/>
              </w:rPr>
              <w:t xml:space="preserve">如服务评价证明不能反映上述评价内容的不得分），未按要求提供相关材料本项不得分。 </w:t>
            </w:r>
          </w:p>
          <w:p>
            <w:pPr>
              <w:keepNext w:val="0"/>
              <w:keepLines w:val="0"/>
              <w:pageBreakBefore w:val="0"/>
              <w:wordWrap w:val="0"/>
              <w:topLinePunct w:val="0"/>
              <w:bidi w:val="0"/>
              <w:spacing w:line="560" w:lineRule="exact"/>
              <w:textAlignment w:val="auto"/>
              <w:rPr>
                <w:b/>
                <w:bCs/>
                <w:color w:val="auto"/>
                <w:szCs w:val="21"/>
                <w:highlight w:val="none"/>
              </w:rPr>
            </w:pPr>
            <w:r>
              <w:rPr>
                <w:rFonts w:hint="eastAsia"/>
                <w:b/>
                <w:bCs/>
                <w:color w:val="auto"/>
                <w:szCs w:val="21"/>
                <w:highlight w:val="none"/>
                <w:lang w:val="en-US" w:eastAsia="zh-CN"/>
              </w:rPr>
              <w:t>2、证明文件</w:t>
            </w:r>
            <w:r>
              <w:rPr>
                <w:b/>
                <w:bCs/>
                <w:color w:val="auto"/>
                <w:szCs w:val="21"/>
                <w:highlight w:val="none"/>
              </w:rPr>
              <w:t xml:space="preserve">： </w:t>
            </w:r>
          </w:p>
          <w:p>
            <w:pPr>
              <w:keepNext w:val="0"/>
              <w:keepLines w:val="0"/>
              <w:pageBreakBefore w:val="0"/>
              <w:wordWrap w:val="0"/>
              <w:topLinePunct w:val="0"/>
              <w:bidi w:val="0"/>
              <w:spacing w:line="560" w:lineRule="exact"/>
              <w:jc w:val="both"/>
              <w:textAlignment w:val="auto"/>
              <w:rPr>
                <w:rFonts w:hint="eastAsia" w:ascii="宋体" w:hAnsi="宋体"/>
                <w:color w:val="auto"/>
                <w:sz w:val="21"/>
                <w:szCs w:val="21"/>
                <w:highlight w:val="none"/>
              </w:rPr>
            </w:pPr>
            <w:r>
              <w:rPr>
                <w:color w:val="auto"/>
                <w:szCs w:val="21"/>
                <w:highlight w:val="none"/>
              </w:rPr>
              <w:t>提供主管部门出具的履约评价证明。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topLinePunct w:val="0"/>
              <w:bidi w:val="0"/>
              <w:spacing w:line="560" w:lineRule="exact"/>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1437" w:type="dxa"/>
            <w:vAlign w:val="center"/>
          </w:tcPr>
          <w:p>
            <w:pPr>
              <w:keepNext w:val="0"/>
              <w:keepLines w:val="0"/>
              <w:pageBreakBefore w:val="0"/>
              <w:topLinePunct w:val="0"/>
              <w:bidi w:val="0"/>
              <w:spacing w:line="560" w:lineRule="exact"/>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诚信档案</w:t>
            </w:r>
          </w:p>
        </w:tc>
        <w:tc>
          <w:tcPr>
            <w:tcW w:w="711" w:type="dxa"/>
            <w:vAlign w:val="center"/>
          </w:tcPr>
          <w:p>
            <w:pPr>
              <w:keepNext w:val="0"/>
              <w:keepLines w:val="0"/>
              <w:pageBreakBefore w:val="0"/>
              <w:topLinePunct w:val="0"/>
              <w:bidi w:val="0"/>
              <w:spacing w:line="56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2</w:t>
            </w:r>
          </w:p>
        </w:tc>
        <w:tc>
          <w:tcPr>
            <w:tcW w:w="1178" w:type="dxa"/>
            <w:vAlign w:val="center"/>
          </w:tcPr>
          <w:p>
            <w:pPr>
              <w:keepNext w:val="0"/>
              <w:keepLines w:val="0"/>
              <w:pageBreakBefore w:val="0"/>
              <w:topLinePunct w:val="0"/>
              <w:bidi w:val="0"/>
              <w:spacing w:line="560" w:lineRule="exact"/>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专家打分</w:t>
            </w:r>
          </w:p>
        </w:tc>
        <w:tc>
          <w:tcPr>
            <w:tcW w:w="5431" w:type="dxa"/>
            <w:vAlign w:val="center"/>
          </w:tcPr>
          <w:p>
            <w:pPr>
              <w:keepNext w:val="0"/>
              <w:keepLines w:val="0"/>
              <w:pageBreakBefore w:val="0"/>
              <w:topLinePunct w:val="0"/>
              <w:bidi w:val="0"/>
              <w:spacing w:line="560" w:lineRule="exact"/>
              <w:textAlignment w:val="auto"/>
              <w:rPr>
                <w:rFonts w:ascii="宋体" w:hAnsi="宋体"/>
                <w:b/>
                <w:bCs/>
                <w:color w:val="auto"/>
                <w:sz w:val="21"/>
                <w:szCs w:val="21"/>
                <w:highlight w:val="none"/>
              </w:rPr>
            </w:pPr>
            <w:r>
              <w:rPr>
                <w:rFonts w:hint="eastAsia" w:ascii="宋体" w:hAnsi="宋体"/>
                <w:b/>
                <w:bCs/>
                <w:color w:val="auto"/>
                <w:sz w:val="21"/>
                <w:szCs w:val="21"/>
                <w:highlight w:val="none"/>
              </w:rPr>
              <w:t>1、评审标准：</w:t>
            </w:r>
          </w:p>
          <w:p>
            <w:pPr>
              <w:keepNext w:val="0"/>
              <w:keepLines w:val="0"/>
              <w:pageBreakBefore w:val="0"/>
              <w:topLinePunct w:val="0"/>
              <w:bidi w:val="0"/>
              <w:spacing w:line="560" w:lineRule="exact"/>
              <w:textAlignment w:val="auto"/>
              <w:rPr>
                <w:rFonts w:ascii="宋体" w:hAnsi="宋体"/>
                <w:color w:val="auto"/>
                <w:kern w:val="0"/>
                <w:sz w:val="21"/>
                <w:szCs w:val="21"/>
                <w:highlight w:val="none"/>
                <w:lang w:val="sq-AL"/>
              </w:rPr>
            </w:pPr>
            <w:r>
              <w:rPr>
                <w:rFonts w:hint="eastAsia" w:ascii="宋体" w:hAnsi="宋体"/>
                <w:color w:val="auto"/>
                <w:kern w:val="0"/>
                <w:sz w:val="21"/>
                <w:szCs w:val="21"/>
                <w:highlight w:val="none"/>
                <w:lang w:val="sq-AL"/>
              </w:rPr>
              <w:t>根据深圳市财政委员会政府采购诚信管理相关规定，对投标人被记录诚信档案的情况进行评审（对于受过行政处罚供应商，行政处罚期满后，可参与政府采购活动，其诚信分不再扣减。）</w:t>
            </w:r>
          </w:p>
          <w:p>
            <w:pPr>
              <w:pStyle w:val="22"/>
              <w:keepNext w:val="0"/>
              <w:keepLines w:val="0"/>
              <w:pageBreakBefore w:val="0"/>
              <w:kinsoku w:val="0"/>
              <w:overflowPunct w:val="0"/>
              <w:topLinePunct w:val="0"/>
              <w:bidi w:val="0"/>
              <w:spacing w:line="560" w:lineRule="exact"/>
              <w:jc w:val="both"/>
              <w:textAlignment w:val="auto"/>
              <w:rPr>
                <w:b/>
                <w:bCs/>
                <w:color w:val="auto"/>
                <w:sz w:val="21"/>
                <w:szCs w:val="21"/>
                <w:highlight w:val="none"/>
              </w:rPr>
            </w:pPr>
            <w:r>
              <w:rPr>
                <w:rFonts w:hint="eastAsia"/>
                <w:b/>
                <w:bCs/>
                <w:color w:val="auto"/>
                <w:sz w:val="21"/>
                <w:szCs w:val="21"/>
                <w:highlight w:val="none"/>
              </w:rPr>
              <w:t>2、证明文件：</w:t>
            </w:r>
          </w:p>
          <w:p>
            <w:pPr>
              <w:keepNext w:val="0"/>
              <w:keepLines w:val="0"/>
              <w:pageBreakBefore w:val="0"/>
              <w:topLinePunct w:val="0"/>
              <w:bidi w:val="0"/>
              <w:spacing w:line="560" w:lineRule="exact"/>
              <w:textAlignment w:val="auto"/>
              <w:rPr>
                <w:rFonts w:ascii="宋体" w:hAnsi="宋体" w:eastAsia="宋体" w:cs="Times New Roman"/>
                <w:color w:val="auto"/>
                <w:kern w:val="0"/>
                <w:sz w:val="21"/>
                <w:szCs w:val="21"/>
                <w:highlight w:val="none"/>
                <w:lang w:val="en-US" w:eastAsia="zh-CN" w:bidi="ar-SA"/>
              </w:rPr>
            </w:pPr>
            <w:r>
              <w:rPr>
                <w:rFonts w:hint="eastAsia" w:ascii="宋体" w:hAnsi="宋体"/>
                <w:color w:val="auto"/>
                <w:sz w:val="21"/>
                <w:szCs w:val="21"/>
                <w:highlight w:val="none"/>
              </w:rPr>
              <w:t>须提供《诚信承诺函》，如若投标人承诺与实际情况不相符，将按照虚假投标的情况报相关主管部门处理，承诺函应按招标文件格式填写原件加盖投标人公章。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2"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color w:val="auto"/>
                <w:sz w:val="21"/>
                <w:szCs w:val="21"/>
                <w:highlight w:val="none"/>
              </w:rPr>
              <w:t>三</w:t>
            </w:r>
          </w:p>
        </w:tc>
        <w:tc>
          <w:tcPr>
            <w:tcW w:w="4010" w:type="dxa"/>
            <w:gridSpan w:val="4"/>
            <w:vAlign w:val="center"/>
          </w:tcPr>
          <w:p>
            <w:pPr>
              <w:pStyle w:val="21"/>
              <w:keepNext w:val="0"/>
              <w:keepLines w:val="0"/>
              <w:pageBreakBefore w:val="0"/>
              <w:tabs>
                <w:tab w:val="left" w:pos="993"/>
                <w:tab w:val="left" w:pos="1134"/>
              </w:tabs>
              <w:topLinePunct w:val="0"/>
              <w:bidi w:val="0"/>
              <w:spacing w:line="560" w:lineRule="exact"/>
              <w:jc w:val="center"/>
              <w:textAlignment w:val="auto"/>
              <w:rPr>
                <w:color w:val="auto"/>
                <w:sz w:val="21"/>
                <w:szCs w:val="21"/>
                <w:highlight w:val="none"/>
              </w:rPr>
            </w:pPr>
            <w:r>
              <w:rPr>
                <w:rFonts w:hint="eastAsia"/>
                <w:color w:val="auto"/>
                <w:sz w:val="21"/>
                <w:szCs w:val="21"/>
                <w:highlight w:val="none"/>
              </w:rPr>
              <w:t>技术部分</w:t>
            </w:r>
          </w:p>
        </w:tc>
        <w:tc>
          <w:tcPr>
            <w:tcW w:w="543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2" w:type="dxa"/>
            <w:vMerge w:val="restart"/>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pStyle w:val="21"/>
              <w:keepNext w:val="0"/>
              <w:keepLines w:val="0"/>
              <w:pageBreakBefore w:val="0"/>
              <w:tabs>
                <w:tab w:val="left" w:pos="993"/>
                <w:tab w:val="left" w:pos="1134"/>
              </w:tabs>
              <w:topLinePunct w:val="0"/>
              <w:bidi w:val="0"/>
              <w:spacing w:line="560" w:lineRule="exact"/>
              <w:textAlignment w:val="auto"/>
              <w:rPr>
                <w:b w:val="0"/>
                <w:bCs/>
                <w:color w:val="auto"/>
                <w:sz w:val="21"/>
                <w:szCs w:val="21"/>
                <w:highlight w:val="none"/>
              </w:rPr>
            </w:pPr>
            <w:r>
              <w:rPr>
                <w:rFonts w:hint="eastAsia"/>
                <w:b w:val="0"/>
                <w:bCs/>
                <w:color w:val="auto"/>
                <w:sz w:val="21"/>
                <w:szCs w:val="21"/>
                <w:highlight w:val="none"/>
              </w:rPr>
              <w:t>序号</w:t>
            </w:r>
          </w:p>
        </w:tc>
        <w:tc>
          <w:tcPr>
            <w:tcW w:w="1437"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评分因素</w:t>
            </w:r>
          </w:p>
        </w:tc>
        <w:tc>
          <w:tcPr>
            <w:tcW w:w="71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权重</w:t>
            </w:r>
          </w:p>
        </w:tc>
        <w:tc>
          <w:tcPr>
            <w:tcW w:w="1178"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评分方式</w:t>
            </w:r>
          </w:p>
        </w:tc>
        <w:tc>
          <w:tcPr>
            <w:tcW w:w="5431"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r>
              <w:rPr>
                <w:rFonts w:hint="eastAsia"/>
                <w:b w:val="0"/>
                <w:bCs/>
                <w:color w:val="auto"/>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rFonts w:hint="eastAsia" w:ascii="宋体" w:hAnsi="宋体" w:eastAsia="宋体" w:cs="Times New Roman"/>
                <w:b w:val="0"/>
                <w:bCs/>
                <w:color w:val="auto"/>
                <w:kern w:val="2"/>
                <w:sz w:val="21"/>
                <w:szCs w:val="21"/>
                <w:highlight w:val="none"/>
                <w:lang w:val="en-US" w:eastAsia="zh-CN" w:bidi="ar-SA"/>
              </w:rPr>
            </w:pPr>
            <w:r>
              <w:rPr>
                <w:rFonts w:hint="eastAsia"/>
                <w:b w:val="0"/>
                <w:bCs/>
                <w:color w:val="auto"/>
                <w:sz w:val="21"/>
                <w:szCs w:val="21"/>
                <w:highlight w:val="none"/>
                <w:lang w:val="en-US" w:eastAsia="zh-CN"/>
              </w:rPr>
              <w:t>1</w:t>
            </w:r>
          </w:p>
        </w:tc>
        <w:tc>
          <w:tcPr>
            <w:tcW w:w="1437" w:type="dxa"/>
            <w:vAlign w:val="center"/>
          </w:tcPr>
          <w:p>
            <w:pPr>
              <w:keepNext w:val="0"/>
              <w:keepLines w:val="0"/>
              <w:pageBreakBefore w:val="0"/>
              <w:topLinePunct w:val="0"/>
              <w:bidi w:val="0"/>
              <w:spacing w:line="5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项目人员</w:t>
            </w:r>
          </w:p>
          <w:p>
            <w:pPr>
              <w:keepNext w:val="0"/>
              <w:keepLines w:val="0"/>
              <w:pageBreakBefore w:val="0"/>
              <w:topLinePunct w:val="0"/>
              <w:bidi w:val="0"/>
              <w:spacing w:line="560" w:lineRule="exact"/>
              <w:jc w:val="center"/>
              <w:textAlignment w:val="auto"/>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 w:val="21"/>
                <w:szCs w:val="21"/>
                <w:highlight w:val="none"/>
              </w:rPr>
              <w:t>管理</w:t>
            </w:r>
          </w:p>
        </w:tc>
        <w:tc>
          <w:tcPr>
            <w:tcW w:w="711" w:type="dxa"/>
            <w:vAlign w:val="center"/>
          </w:tcPr>
          <w:p>
            <w:pPr>
              <w:keepNext w:val="0"/>
              <w:keepLines w:val="0"/>
              <w:pageBreakBefore w:val="0"/>
              <w:topLinePunct w:val="0"/>
              <w:bidi w:val="0"/>
              <w:spacing w:line="56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6</w:t>
            </w:r>
          </w:p>
        </w:tc>
        <w:tc>
          <w:tcPr>
            <w:tcW w:w="1178" w:type="dxa"/>
            <w:vAlign w:val="center"/>
          </w:tcPr>
          <w:p>
            <w:pPr>
              <w:keepNext w:val="0"/>
              <w:keepLines w:val="0"/>
              <w:pageBreakBefore w:val="0"/>
              <w:topLinePunct w:val="0"/>
              <w:bidi w:val="0"/>
              <w:spacing w:line="56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专家打分</w:t>
            </w:r>
          </w:p>
        </w:tc>
        <w:tc>
          <w:tcPr>
            <w:tcW w:w="5431" w:type="dxa"/>
            <w:vAlign w:val="center"/>
          </w:tcPr>
          <w:p>
            <w:pPr>
              <w:pStyle w:val="23"/>
              <w:keepNext w:val="0"/>
              <w:keepLines w:val="0"/>
              <w:pageBreakBefore w:val="0"/>
              <w:topLinePunct w:val="0"/>
              <w:bidi w:val="0"/>
              <w:spacing w:line="560" w:lineRule="exact"/>
              <w:ind w:firstLine="0" w:firstLineChars="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eastAsia="zh-CN"/>
              </w:rPr>
              <w:t>（一）</w:t>
            </w:r>
            <w:r>
              <w:rPr>
                <w:rFonts w:hint="eastAsia" w:ascii="宋体" w:hAnsi="宋体" w:cs="宋体"/>
                <w:b/>
                <w:color w:val="auto"/>
                <w:sz w:val="21"/>
                <w:szCs w:val="21"/>
                <w:highlight w:val="none"/>
              </w:rPr>
              <w:t>评审内容：</w:t>
            </w:r>
          </w:p>
          <w:p>
            <w:pPr>
              <w:pStyle w:val="23"/>
              <w:keepNext w:val="0"/>
              <w:keepLines w:val="0"/>
              <w:pageBreakBefore w:val="0"/>
              <w:topLinePunct w:val="0"/>
              <w:bidi w:val="0"/>
              <w:spacing w:line="560" w:lineRule="exact"/>
              <w:ind w:firstLine="0" w:firstLineChars="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投入项目的服务人员的工作分配、职责安排及培训制度的情况进行横向比较。</w:t>
            </w:r>
          </w:p>
          <w:p>
            <w:pPr>
              <w:pStyle w:val="23"/>
              <w:keepNext w:val="0"/>
              <w:keepLines w:val="0"/>
              <w:pageBreakBefore w:val="0"/>
              <w:topLinePunct w:val="0"/>
              <w:bidi w:val="0"/>
              <w:spacing w:line="560" w:lineRule="exact"/>
              <w:ind w:firstLine="0" w:firstLineChars="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eastAsia="zh-CN"/>
              </w:rPr>
              <w:t>（二）</w:t>
            </w:r>
            <w:r>
              <w:rPr>
                <w:rFonts w:hint="eastAsia" w:ascii="宋体" w:hAnsi="宋体" w:cs="宋体"/>
                <w:b/>
                <w:color w:val="auto"/>
                <w:sz w:val="21"/>
                <w:szCs w:val="21"/>
                <w:highlight w:val="none"/>
              </w:rPr>
              <w:t>评审标准：</w:t>
            </w:r>
          </w:p>
          <w:p>
            <w:pPr>
              <w:keepNext w:val="0"/>
              <w:keepLines w:val="0"/>
              <w:pageBreakBefore w:val="0"/>
              <w:widowControl/>
              <w:topLinePunct w:val="0"/>
              <w:bidi w:val="0"/>
              <w:snapToGrid w:val="0"/>
              <w:spacing w:line="560" w:lineRule="exact"/>
              <w:jc w:val="left"/>
              <w:textAlignment w:val="auto"/>
              <w:rPr>
                <w:rFonts w:hint="eastAsia" w:ascii="宋体" w:hAnsi="宋体" w:eastAsia="宋体" w:cs="宋体"/>
                <w:color w:val="auto"/>
                <w:kern w:val="0"/>
                <w:sz w:val="21"/>
                <w:szCs w:val="21"/>
                <w:highlight w:val="none"/>
                <w:lang w:val="sq-AL" w:eastAsia="zh-CN" w:bidi="ar-SA"/>
              </w:rPr>
            </w:pPr>
            <w:r>
              <w:rPr>
                <w:rFonts w:hint="eastAsia" w:ascii="宋体" w:hAnsi="宋体" w:cs="宋体"/>
                <w:color w:val="auto"/>
                <w:sz w:val="21"/>
                <w:szCs w:val="21"/>
                <w:highlight w:val="none"/>
              </w:rPr>
              <w:t>根据优劣情况评分：评价为优的得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分；评价为良的得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分；评价为中的得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分；评价为差的不得分。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topLinePunct w:val="0"/>
              <w:bidi w:val="0"/>
              <w:spacing w:line="5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437" w:type="dxa"/>
            <w:vAlign w:val="top"/>
          </w:tcPr>
          <w:p>
            <w:pPr>
              <w:keepNext w:val="0"/>
              <w:keepLines w:val="0"/>
              <w:pageBreakBefore w:val="0"/>
              <w:wordWrap w:val="0"/>
              <w:topLinePunct w:val="0"/>
              <w:bidi w:val="0"/>
              <w:spacing w:line="560" w:lineRule="exact"/>
              <w:textAlignment w:val="auto"/>
              <w:rPr>
                <w:rFonts w:ascii="宋体" w:hAnsi="宋体"/>
                <w:color w:val="auto"/>
                <w:sz w:val="21"/>
                <w:szCs w:val="21"/>
                <w:highlight w:val="none"/>
                <w:lang w:val="zh-CN"/>
              </w:rPr>
            </w:pPr>
            <w:r>
              <w:rPr>
                <w:color w:val="auto"/>
                <w:szCs w:val="21"/>
                <w:highlight w:val="none"/>
              </w:rPr>
              <w:t>项目的跟踪服务、意见反馈、监控评估等流程方案</w:t>
            </w:r>
          </w:p>
        </w:tc>
        <w:tc>
          <w:tcPr>
            <w:tcW w:w="711" w:type="dxa"/>
            <w:vAlign w:val="top"/>
          </w:tcPr>
          <w:p>
            <w:pPr>
              <w:keepNext w:val="0"/>
              <w:keepLines w:val="0"/>
              <w:pageBreakBefore w:val="0"/>
              <w:wordWrap w:val="0"/>
              <w:topLinePunct w:val="0"/>
              <w:bidi w:val="0"/>
              <w:spacing w:line="560" w:lineRule="exact"/>
              <w:jc w:val="center"/>
              <w:textAlignment w:val="auto"/>
              <w:rPr>
                <w:rFonts w:hint="eastAsia" w:ascii="宋体" w:hAnsi="宋体" w:eastAsia="宋体"/>
                <w:color w:val="auto"/>
                <w:sz w:val="21"/>
                <w:szCs w:val="21"/>
                <w:highlight w:val="none"/>
                <w:lang w:eastAsia="zh-CN"/>
              </w:rPr>
            </w:pPr>
            <w:r>
              <w:rPr>
                <w:rFonts w:hint="eastAsia"/>
                <w:color w:val="auto"/>
                <w:szCs w:val="21"/>
                <w:highlight w:val="none"/>
                <w:lang w:val="en-US" w:eastAsia="zh-CN"/>
              </w:rPr>
              <w:t>6</w:t>
            </w:r>
          </w:p>
        </w:tc>
        <w:tc>
          <w:tcPr>
            <w:tcW w:w="1178" w:type="dxa"/>
            <w:vAlign w:val="top"/>
          </w:tcPr>
          <w:p>
            <w:pPr>
              <w:keepNext w:val="0"/>
              <w:keepLines w:val="0"/>
              <w:pageBreakBefore w:val="0"/>
              <w:wordWrap w:val="0"/>
              <w:topLinePunct w:val="0"/>
              <w:bidi w:val="0"/>
              <w:spacing w:line="560" w:lineRule="exact"/>
              <w:textAlignment w:val="auto"/>
              <w:rPr>
                <w:rFonts w:ascii="宋体" w:hAnsi="宋体"/>
                <w:color w:val="auto"/>
                <w:sz w:val="21"/>
                <w:szCs w:val="21"/>
                <w:highlight w:val="none"/>
              </w:rPr>
            </w:pPr>
          </w:p>
        </w:tc>
        <w:tc>
          <w:tcPr>
            <w:tcW w:w="5431" w:type="dxa"/>
            <w:vAlign w:val="top"/>
          </w:tcPr>
          <w:p>
            <w:pPr>
              <w:keepNext w:val="0"/>
              <w:keepLines w:val="0"/>
              <w:pageBreakBefore w:val="0"/>
              <w:wordWrap w:val="0"/>
              <w:topLinePunct w:val="0"/>
              <w:bidi w:val="0"/>
              <w:spacing w:line="560" w:lineRule="exact"/>
              <w:textAlignment w:val="auto"/>
              <w:rPr>
                <w:color w:val="auto"/>
                <w:szCs w:val="21"/>
                <w:highlight w:val="none"/>
              </w:rPr>
            </w:pPr>
            <w:r>
              <w:rPr>
                <w:rFonts w:hint="eastAsia"/>
                <w:b/>
                <w:bCs/>
                <w:color w:val="auto"/>
                <w:szCs w:val="21"/>
                <w:highlight w:val="none"/>
                <w:lang w:eastAsia="zh-CN"/>
              </w:rPr>
              <w:t>（一）</w:t>
            </w:r>
            <w:r>
              <w:rPr>
                <w:b/>
                <w:bCs/>
                <w:color w:val="auto"/>
                <w:szCs w:val="21"/>
                <w:highlight w:val="none"/>
              </w:rPr>
              <w:t>评分内容：</w:t>
            </w:r>
            <w:r>
              <w:rPr>
                <w:color w:val="auto"/>
                <w:szCs w:val="21"/>
                <w:highlight w:val="none"/>
              </w:rPr>
              <w:t xml:space="preserve">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根据采购需求，投标机构需提供具有以下几个方面的流程方案：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1.项目的跟踪服务；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2.意见反馈；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3.监控评估； </w:t>
            </w:r>
          </w:p>
          <w:p>
            <w:pPr>
              <w:pStyle w:val="23"/>
              <w:keepNext w:val="0"/>
              <w:keepLines w:val="0"/>
              <w:pageBreakBefore w:val="0"/>
              <w:topLinePunct w:val="0"/>
              <w:bidi w:val="0"/>
              <w:spacing w:line="560" w:lineRule="exact"/>
              <w:ind w:firstLine="0" w:firstLineChars="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eastAsia="zh-CN"/>
              </w:rPr>
              <w:t>（二）</w:t>
            </w:r>
            <w:r>
              <w:rPr>
                <w:rFonts w:hint="eastAsia" w:ascii="宋体" w:hAnsi="宋体" w:cs="宋体"/>
                <w:b/>
                <w:color w:val="auto"/>
                <w:sz w:val="21"/>
                <w:szCs w:val="21"/>
                <w:highlight w:val="none"/>
              </w:rPr>
              <w:t>评审标准：</w:t>
            </w:r>
          </w:p>
          <w:p>
            <w:pPr>
              <w:keepNext w:val="0"/>
              <w:keepLines w:val="0"/>
              <w:pageBreakBefore w:val="0"/>
              <w:wordWrap w:val="0"/>
              <w:topLinePunct w:val="0"/>
              <w:bidi w:val="0"/>
              <w:spacing w:line="560" w:lineRule="exact"/>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rPr>
              <w:t>根据优劣情况评分：评价为优的得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分；评价为良的得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分；评价为中的得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分；评价为差的不得分。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topLinePunct w:val="0"/>
              <w:bidi w:val="0"/>
              <w:spacing w:line="5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437"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lang w:val="zh-CN"/>
              </w:rPr>
            </w:pPr>
            <w:r>
              <w:rPr>
                <w:color w:val="auto"/>
                <w:szCs w:val="21"/>
                <w:highlight w:val="none"/>
              </w:rPr>
              <w:t>服务承诺</w:t>
            </w:r>
          </w:p>
        </w:tc>
        <w:tc>
          <w:tcPr>
            <w:tcW w:w="711" w:type="dxa"/>
            <w:vAlign w:val="center"/>
          </w:tcPr>
          <w:p>
            <w:pPr>
              <w:keepNext w:val="0"/>
              <w:keepLines w:val="0"/>
              <w:pageBreakBefore w:val="0"/>
              <w:topLinePunct w:val="0"/>
              <w:bidi w:val="0"/>
              <w:spacing w:line="560" w:lineRule="exact"/>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1178"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rPr>
            </w:pPr>
          </w:p>
        </w:tc>
        <w:tc>
          <w:tcPr>
            <w:tcW w:w="5431" w:type="dxa"/>
            <w:vAlign w:val="center"/>
          </w:tcPr>
          <w:p>
            <w:pPr>
              <w:keepNext w:val="0"/>
              <w:keepLines w:val="0"/>
              <w:pageBreakBefore w:val="0"/>
              <w:wordWrap w:val="0"/>
              <w:topLinePunct w:val="0"/>
              <w:bidi w:val="0"/>
              <w:spacing w:line="560" w:lineRule="exact"/>
              <w:textAlignment w:val="auto"/>
              <w:rPr>
                <w:b/>
                <w:bCs/>
                <w:color w:val="auto"/>
                <w:szCs w:val="21"/>
                <w:highlight w:val="none"/>
              </w:rPr>
            </w:pPr>
            <w:r>
              <w:rPr>
                <w:b/>
                <w:bCs/>
                <w:color w:val="auto"/>
                <w:szCs w:val="21"/>
                <w:highlight w:val="none"/>
              </w:rPr>
              <w:t xml:space="preserve">（一）评分内容：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投标人承诺，一旦中标将全力配合采购单位参与</w:t>
            </w:r>
            <w:r>
              <w:rPr>
                <w:rFonts w:hint="eastAsia"/>
                <w:color w:val="auto"/>
                <w:szCs w:val="21"/>
                <w:highlight w:val="none"/>
                <w:lang w:eastAsia="zh-CN"/>
              </w:rPr>
              <w:t>坪山</w:t>
            </w:r>
            <w:r>
              <w:rPr>
                <w:color w:val="auto"/>
                <w:szCs w:val="21"/>
                <w:highlight w:val="none"/>
              </w:rPr>
              <w:t>社会工作发展和监督考核。得</w:t>
            </w:r>
            <w:r>
              <w:rPr>
                <w:rFonts w:hint="eastAsia"/>
                <w:color w:val="auto"/>
                <w:szCs w:val="21"/>
                <w:highlight w:val="none"/>
                <w:lang w:val="en-US" w:eastAsia="zh-CN"/>
              </w:rPr>
              <w:t>6分</w:t>
            </w:r>
            <w:r>
              <w:rPr>
                <w:color w:val="auto"/>
                <w:szCs w:val="21"/>
                <w:highlight w:val="none"/>
              </w:rPr>
              <w:t xml:space="preserve">。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（二）评分依据： </w:t>
            </w:r>
          </w:p>
          <w:p>
            <w:pPr>
              <w:keepNext w:val="0"/>
              <w:keepLines w:val="0"/>
              <w:pageBreakBefore w:val="0"/>
              <w:topLinePunct w:val="0"/>
              <w:bidi w:val="0"/>
              <w:spacing w:line="560" w:lineRule="exact"/>
              <w:textAlignment w:val="auto"/>
              <w:rPr>
                <w:rFonts w:hint="eastAsia" w:ascii="宋体" w:hAnsi="宋体" w:eastAsia="宋体"/>
                <w:b/>
                <w:bCs/>
                <w:color w:val="auto"/>
                <w:kern w:val="0"/>
                <w:sz w:val="21"/>
                <w:szCs w:val="21"/>
                <w:highlight w:val="none"/>
                <w:lang w:val="zh-CN" w:eastAsia="zh-CN"/>
              </w:rPr>
            </w:pPr>
            <w:r>
              <w:rPr>
                <w:color w:val="auto"/>
                <w:szCs w:val="21"/>
                <w:highlight w:val="none"/>
              </w:rPr>
              <w:t>提供承诺函（格式自拟）。</w:t>
            </w:r>
            <w:r>
              <w:rPr>
                <w:rFonts w:hint="eastAsia"/>
                <w:color w:val="auto"/>
                <w:szCs w:val="21"/>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keepNext w:val="0"/>
              <w:keepLines w:val="0"/>
              <w:pageBreakBefore w:val="0"/>
              <w:topLinePunct w:val="0"/>
              <w:bidi w:val="0"/>
              <w:spacing w:line="560" w:lineRule="exact"/>
              <w:jc w:val="center"/>
              <w:textAlignment w:val="auto"/>
              <w:rPr>
                <w:rFonts w:ascii="Times New Roman" w:hAnsi="Times New Roman" w:eastAsia="宋体" w:cs="Times New Roman"/>
                <w:b/>
                <w:bCs/>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1437" w:type="dxa"/>
            <w:vAlign w:val="center"/>
          </w:tcPr>
          <w:p>
            <w:pPr>
              <w:keepNext w:val="0"/>
              <w:keepLines w:val="0"/>
              <w:pageBreakBefore w:val="0"/>
              <w:topLinePunct w:val="0"/>
              <w:bidi w:val="0"/>
              <w:spacing w:line="560" w:lineRule="exact"/>
              <w:jc w:val="center"/>
              <w:textAlignment w:val="auto"/>
              <w:rPr>
                <w:rFonts w:ascii="宋体" w:hAnsi="宋体" w:eastAsia="宋体" w:cs="Times New Roman"/>
                <w:color w:val="auto"/>
                <w:kern w:val="2"/>
                <w:sz w:val="21"/>
                <w:szCs w:val="21"/>
                <w:highlight w:val="none"/>
                <w:lang w:val="zh-CN" w:eastAsia="zh-CN" w:bidi="ar-SA"/>
              </w:rPr>
            </w:pPr>
            <w:r>
              <w:rPr>
                <w:rFonts w:hint="eastAsia" w:ascii="宋体" w:hAnsi="宋体"/>
                <w:color w:val="auto"/>
                <w:sz w:val="21"/>
                <w:szCs w:val="21"/>
                <w:highlight w:val="none"/>
              </w:rPr>
              <w:t>人员素质</w:t>
            </w:r>
          </w:p>
        </w:tc>
        <w:tc>
          <w:tcPr>
            <w:tcW w:w="711" w:type="dxa"/>
            <w:vAlign w:val="center"/>
          </w:tcPr>
          <w:p>
            <w:pPr>
              <w:keepNext w:val="0"/>
              <w:keepLines w:val="0"/>
              <w:pageBreakBefore w:val="0"/>
              <w:topLinePunct w:val="0"/>
              <w:bidi w:val="0"/>
              <w:spacing w:line="560" w:lineRule="exact"/>
              <w:jc w:val="center"/>
              <w:textAlignment w:val="auto"/>
              <w:rPr>
                <w:rFonts w:ascii="宋体" w:hAnsi="宋体" w:eastAsia="宋体" w:cs="Times New Roman"/>
                <w:color w:val="auto"/>
                <w:kern w:val="2"/>
                <w:sz w:val="21"/>
                <w:szCs w:val="21"/>
                <w:highlight w:val="none"/>
                <w:lang w:val="zh-CN" w:eastAsia="zh-CN" w:bidi="ar-SA"/>
              </w:rPr>
            </w:pPr>
            <w:r>
              <w:rPr>
                <w:rFonts w:hint="eastAsia" w:ascii="宋体" w:hAnsi="宋体"/>
                <w:color w:val="auto"/>
                <w:sz w:val="21"/>
                <w:szCs w:val="21"/>
                <w:highlight w:val="none"/>
              </w:rPr>
              <w:t>6</w:t>
            </w:r>
          </w:p>
        </w:tc>
        <w:tc>
          <w:tcPr>
            <w:tcW w:w="1178" w:type="dxa"/>
            <w:vAlign w:val="center"/>
          </w:tcPr>
          <w:p>
            <w:pPr>
              <w:keepNext w:val="0"/>
              <w:keepLines w:val="0"/>
              <w:pageBreakBefore w:val="0"/>
              <w:topLinePunct w:val="0"/>
              <w:bidi w:val="0"/>
              <w:spacing w:line="560" w:lineRule="exact"/>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专家打分</w:t>
            </w:r>
          </w:p>
        </w:tc>
        <w:tc>
          <w:tcPr>
            <w:tcW w:w="5431" w:type="dxa"/>
            <w:vAlign w:val="center"/>
          </w:tcPr>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（一）评分内容：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投标机构针对该项目配置人员：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1、投标人承诺，一旦中标将完全按照所中标项目的人员要求配齐相应的工作人员。提供承诺书，得 </w:t>
            </w:r>
            <w:r>
              <w:rPr>
                <w:rFonts w:hint="eastAsia"/>
                <w:color w:val="auto"/>
                <w:szCs w:val="21"/>
                <w:highlight w:val="none"/>
                <w:lang w:val="en-US" w:eastAsia="zh-CN"/>
              </w:rPr>
              <w:t>1分</w:t>
            </w:r>
            <w:r>
              <w:rPr>
                <w:color w:val="auto"/>
                <w:szCs w:val="21"/>
                <w:highlight w:val="none"/>
              </w:rPr>
              <w:t xml:space="preserve">。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2、具有助理（初级）社工师或以上职业资格证书，每提供一个得</w:t>
            </w:r>
            <w:r>
              <w:rPr>
                <w:rFonts w:hint="eastAsia"/>
                <w:color w:val="auto"/>
                <w:szCs w:val="21"/>
                <w:highlight w:val="none"/>
                <w:lang w:val="en-US" w:eastAsia="zh-CN"/>
              </w:rPr>
              <w:t>2分</w:t>
            </w:r>
            <w:r>
              <w:rPr>
                <w:color w:val="auto"/>
                <w:szCs w:val="21"/>
                <w:highlight w:val="none"/>
              </w:rPr>
              <w:t>，最高得</w:t>
            </w:r>
            <w:r>
              <w:rPr>
                <w:rFonts w:hint="eastAsia"/>
                <w:color w:val="auto"/>
                <w:szCs w:val="21"/>
                <w:highlight w:val="none"/>
                <w:lang w:val="en-US" w:eastAsia="zh-CN"/>
              </w:rPr>
              <w:t>4分</w:t>
            </w:r>
            <w:r>
              <w:rPr>
                <w:color w:val="auto"/>
                <w:szCs w:val="21"/>
                <w:highlight w:val="none"/>
              </w:rPr>
              <w:t xml:space="preserve">。 </w:t>
            </w:r>
          </w:p>
          <w:p>
            <w:pPr>
              <w:pStyle w:val="26"/>
              <w:keepNext w:val="0"/>
              <w:keepLines w:val="0"/>
              <w:pageBreakBefore w:val="0"/>
              <w:topLinePunct w:val="0"/>
              <w:bidi w:val="0"/>
              <w:spacing w:line="560" w:lineRule="exact"/>
              <w:textAlignment w:val="auto"/>
              <w:rPr>
                <w:rFonts w:hint="default" w:ascii="Calibri" w:hAnsi="Calibri" w:eastAsia="宋体" w:cs="Times New Roman"/>
                <w:bCs w:val="0"/>
                <w:color w:val="auto"/>
                <w:spacing w:val="0"/>
                <w:kern w:val="2"/>
                <w:sz w:val="21"/>
                <w:szCs w:val="21"/>
                <w:highlight w:val="none"/>
                <w:lang w:val="en-US" w:eastAsia="zh-CN" w:bidi="ar-SA"/>
              </w:rPr>
            </w:pPr>
            <w:r>
              <w:rPr>
                <w:rFonts w:hint="eastAsia" w:ascii="Calibri" w:hAnsi="Calibri" w:eastAsia="宋体" w:cs="Times New Roman"/>
                <w:bCs w:val="0"/>
                <w:color w:val="auto"/>
                <w:spacing w:val="0"/>
                <w:kern w:val="2"/>
                <w:sz w:val="21"/>
                <w:szCs w:val="21"/>
                <w:highlight w:val="none"/>
                <w:lang w:val="en-US" w:eastAsia="zh-CN" w:bidi="ar-SA"/>
              </w:rPr>
              <w:t>3、具有中共党员，每提供一个得0.5分，最高得1分</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以上累计 </w:t>
            </w:r>
          </w:p>
          <w:p>
            <w:pPr>
              <w:keepNext w:val="0"/>
              <w:keepLines w:val="0"/>
              <w:pageBreakBefore w:val="0"/>
              <w:wordWrap w:val="0"/>
              <w:topLinePunct w:val="0"/>
              <w:bidi w:val="0"/>
              <w:spacing w:line="560" w:lineRule="exact"/>
              <w:textAlignment w:val="auto"/>
              <w:rPr>
                <w:color w:val="auto"/>
                <w:szCs w:val="21"/>
                <w:highlight w:val="none"/>
              </w:rPr>
            </w:pPr>
            <w:r>
              <w:rPr>
                <w:color w:val="auto"/>
                <w:szCs w:val="21"/>
                <w:highlight w:val="none"/>
              </w:rPr>
              <w:t xml:space="preserve">（二）评分依据： </w:t>
            </w:r>
          </w:p>
          <w:p>
            <w:pPr>
              <w:pStyle w:val="18"/>
              <w:keepNext w:val="0"/>
              <w:keepLines w:val="0"/>
              <w:pageBreakBefore w:val="0"/>
              <w:topLinePunct w:val="0"/>
              <w:bidi w:val="0"/>
              <w:spacing w:line="560" w:lineRule="exact"/>
              <w:ind w:firstLine="0" w:firstLineChars="0"/>
              <w:jc w:val="left"/>
              <w:textAlignment w:val="auto"/>
              <w:rPr>
                <w:rFonts w:hint="eastAsia" w:ascii="宋体" w:hAnsi="宋体" w:eastAsia="宋体" w:cs="Times New Roman"/>
                <w:color w:val="auto"/>
                <w:kern w:val="2"/>
                <w:sz w:val="21"/>
                <w:szCs w:val="21"/>
                <w:highlight w:val="none"/>
                <w:lang w:val="en-US" w:eastAsia="zh-CN" w:bidi="ar-SA"/>
              </w:rPr>
            </w:pPr>
            <w:r>
              <w:rPr>
                <w:color w:val="auto"/>
                <w:szCs w:val="21"/>
                <w:highlight w:val="none"/>
              </w:rPr>
              <w:t>第1项提供承诺书；第 2项提供相关证书</w:t>
            </w:r>
            <w:r>
              <w:rPr>
                <w:rFonts w:hint="eastAsia"/>
                <w:color w:val="auto"/>
                <w:szCs w:val="21"/>
                <w:highlight w:val="none"/>
                <w:lang w:eastAsia="zh-CN"/>
              </w:rPr>
              <w:t>；</w:t>
            </w:r>
            <w:r>
              <w:rPr>
                <w:rFonts w:hint="eastAsia" w:ascii="宋体" w:hAnsi="宋体" w:eastAsia="宋体" w:cs="Times New Roman"/>
                <w:bCs w:val="0"/>
                <w:color w:val="auto"/>
                <w:spacing w:val="0"/>
                <w:kern w:val="2"/>
                <w:sz w:val="21"/>
                <w:szCs w:val="21"/>
                <w:highlight w:val="none"/>
                <w:lang w:val="en-US" w:eastAsia="zh-CN" w:bidi="ar-SA"/>
              </w:rPr>
              <w:t>第</w:t>
            </w:r>
            <w:r>
              <w:rPr>
                <w:rFonts w:hint="eastAsia" w:ascii="宋体" w:hAnsi="宋体" w:cs="Times New Roman"/>
                <w:bCs w:val="0"/>
                <w:color w:val="auto"/>
                <w:spacing w:val="0"/>
                <w:kern w:val="2"/>
                <w:sz w:val="21"/>
                <w:szCs w:val="21"/>
                <w:highlight w:val="none"/>
                <w:lang w:val="en-US" w:eastAsia="zh-CN" w:bidi="ar-SA"/>
              </w:rPr>
              <w:t>3</w:t>
            </w:r>
            <w:r>
              <w:rPr>
                <w:rFonts w:hint="eastAsia" w:ascii="宋体" w:hAnsi="宋体" w:eastAsia="宋体" w:cs="Times New Roman"/>
                <w:bCs w:val="0"/>
                <w:color w:val="auto"/>
                <w:spacing w:val="0"/>
                <w:kern w:val="2"/>
                <w:sz w:val="21"/>
                <w:szCs w:val="21"/>
                <w:highlight w:val="none"/>
                <w:lang w:val="en-US" w:eastAsia="zh-CN" w:bidi="ar-SA"/>
              </w:rPr>
              <w:t>项</w:t>
            </w:r>
            <w:r>
              <w:rPr>
                <w:rFonts w:hint="eastAsia" w:ascii="宋体" w:hAnsi="宋体" w:cs="Times New Roman"/>
                <w:bCs w:val="0"/>
                <w:color w:val="auto"/>
                <w:spacing w:val="0"/>
                <w:kern w:val="2"/>
                <w:sz w:val="21"/>
                <w:szCs w:val="21"/>
                <w:highlight w:val="none"/>
                <w:lang w:val="en-US" w:eastAsia="zh-CN" w:bidi="ar-SA"/>
              </w:rPr>
              <w:t>提供投标人党支部开具的党员证明。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22" w:type="dxa"/>
            <w:vMerge w:val="continue"/>
            <w:vAlign w:val="center"/>
          </w:tcPr>
          <w:p>
            <w:pPr>
              <w:pStyle w:val="21"/>
              <w:keepNext w:val="0"/>
              <w:keepLines w:val="0"/>
              <w:pageBreakBefore w:val="0"/>
              <w:tabs>
                <w:tab w:val="left" w:pos="993"/>
                <w:tab w:val="left" w:pos="1134"/>
              </w:tabs>
              <w:topLinePunct w:val="0"/>
              <w:bidi w:val="0"/>
              <w:spacing w:line="560" w:lineRule="exact"/>
              <w:jc w:val="center"/>
              <w:textAlignment w:val="auto"/>
              <w:rPr>
                <w:b w:val="0"/>
                <w:bCs/>
                <w:color w:val="auto"/>
                <w:sz w:val="21"/>
                <w:szCs w:val="21"/>
                <w:highlight w:val="none"/>
              </w:rPr>
            </w:pPr>
          </w:p>
        </w:tc>
        <w:tc>
          <w:tcPr>
            <w:tcW w:w="684" w:type="dxa"/>
            <w:vAlign w:val="center"/>
          </w:tcPr>
          <w:p>
            <w:pPr>
              <w:pStyle w:val="21"/>
              <w:keepNext w:val="0"/>
              <w:keepLines w:val="0"/>
              <w:pageBreakBefore w:val="0"/>
              <w:tabs>
                <w:tab w:val="left" w:pos="993"/>
                <w:tab w:val="left" w:pos="1134"/>
              </w:tabs>
              <w:topLinePunct w:val="0"/>
              <w:bidi w:val="0"/>
              <w:spacing w:line="560" w:lineRule="exact"/>
              <w:jc w:val="center"/>
              <w:textAlignment w:val="auto"/>
              <w:rPr>
                <w:rFonts w:hint="eastAsia" w:eastAsia="宋体"/>
                <w:b w:val="0"/>
                <w:bCs/>
                <w:color w:val="auto"/>
                <w:sz w:val="21"/>
                <w:szCs w:val="21"/>
                <w:highlight w:val="none"/>
                <w:lang w:eastAsia="zh-CN"/>
              </w:rPr>
            </w:pPr>
            <w:r>
              <w:rPr>
                <w:rFonts w:hint="eastAsia"/>
                <w:b w:val="0"/>
                <w:bCs/>
                <w:color w:val="auto"/>
                <w:sz w:val="21"/>
                <w:szCs w:val="21"/>
                <w:highlight w:val="none"/>
                <w:lang w:val="en-US" w:eastAsia="zh-CN"/>
              </w:rPr>
              <w:t>5</w:t>
            </w:r>
          </w:p>
        </w:tc>
        <w:tc>
          <w:tcPr>
            <w:tcW w:w="1437"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lang w:val="zh-CN"/>
              </w:rPr>
            </w:pPr>
            <w:r>
              <w:rPr>
                <w:rFonts w:hint="eastAsia" w:ascii="宋体" w:hAnsi="宋体"/>
                <w:color w:val="auto"/>
                <w:sz w:val="21"/>
                <w:szCs w:val="21"/>
                <w:highlight w:val="none"/>
              </w:rPr>
              <w:t>项目经费计划使用合理性</w:t>
            </w:r>
          </w:p>
        </w:tc>
        <w:tc>
          <w:tcPr>
            <w:tcW w:w="711" w:type="dxa"/>
            <w:vAlign w:val="center"/>
          </w:tcPr>
          <w:p>
            <w:pPr>
              <w:keepNext w:val="0"/>
              <w:keepLines w:val="0"/>
              <w:pageBreakBefore w:val="0"/>
              <w:topLinePunct w:val="0"/>
              <w:bidi w:val="0"/>
              <w:spacing w:line="560" w:lineRule="exact"/>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1178" w:type="dxa"/>
            <w:vAlign w:val="center"/>
          </w:tcPr>
          <w:p>
            <w:pPr>
              <w:keepNext w:val="0"/>
              <w:keepLines w:val="0"/>
              <w:pageBreakBefore w:val="0"/>
              <w:topLinePunct w:val="0"/>
              <w:bidi w:val="0"/>
              <w:spacing w:line="5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专家打分</w:t>
            </w:r>
          </w:p>
        </w:tc>
        <w:tc>
          <w:tcPr>
            <w:tcW w:w="5431" w:type="dxa"/>
            <w:vAlign w:val="center"/>
          </w:tcPr>
          <w:p>
            <w:pPr>
              <w:keepNext w:val="0"/>
              <w:keepLines w:val="0"/>
              <w:pageBreakBefore w:val="0"/>
              <w:topLinePunct w:val="0"/>
              <w:bidi w:val="0"/>
              <w:spacing w:line="560" w:lineRule="exac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lang w:eastAsia="zh-CN"/>
              </w:rPr>
              <w:t>（一）</w:t>
            </w:r>
            <w:r>
              <w:rPr>
                <w:rFonts w:hint="eastAsia" w:ascii="宋体" w:hAnsi="宋体" w:cs="宋体"/>
                <w:b/>
                <w:bCs/>
                <w:color w:val="auto"/>
                <w:sz w:val="21"/>
                <w:szCs w:val="21"/>
                <w:highlight w:val="none"/>
              </w:rPr>
              <w:t>评审内容：</w:t>
            </w:r>
          </w:p>
          <w:p>
            <w:pPr>
              <w:keepNext w:val="0"/>
              <w:keepLines w:val="0"/>
              <w:pageBreakBefore w:val="0"/>
              <w:topLinePunct w:val="0"/>
              <w:bidi w:val="0"/>
              <w:spacing w:line="5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根据投标人制定的财务使用计划，对工作中各项可能的支出考虑全面细致，项目经费中用于各项目服务开展经费的比例合理（包括员工待遇、相关福利和业务活动经费，培训费、设备购置、运作经费等安排），</w:t>
            </w:r>
          </w:p>
          <w:p>
            <w:pPr>
              <w:keepNext w:val="0"/>
              <w:keepLines w:val="0"/>
              <w:pageBreakBefore w:val="0"/>
              <w:topLinePunct w:val="0"/>
              <w:bidi w:val="0"/>
              <w:spacing w:line="560" w:lineRule="exact"/>
              <w:textAlignment w:val="auto"/>
              <w:rPr>
                <w:rFonts w:ascii="宋体" w:hAnsi="宋体" w:cs="宋体"/>
                <w:b/>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cs="宋体"/>
                <w:b/>
                <w:bCs/>
                <w:color w:val="auto"/>
                <w:sz w:val="21"/>
                <w:szCs w:val="21"/>
                <w:highlight w:val="none"/>
              </w:rPr>
              <w:t>评审标准</w:t>
            </w:r>
            <w:r>
              <w:rPr>
                <w:rFonts w:hint="eastAsia" w:ascii="宋体" w:hAnsi="宋体" w:cs="宋体"/>
                <w:b/>
                <w:color w:val="auto"/>
                <w:sz w:val="21"/>
                <w:szCs w:val="21"/>
                <w:highlight w:val="none"/>
              </w:rPr>
              <w:t>：</w:t>
            </w:r>
          </w:p>
          <w:p>
            <w:pPr>
              <w:keepNext w:val="0"/>
              <w:keepLines w:val="0"/>
              <w:pageBreakBefore w:val="0"/>
              <w:topLinePunct w:val="0"/>
              <w:bidi w:val="0"/>
              <w:spacing w:line="560" w:lineRule="exact"/>
              <w:textAlignment w:val="auto"/>
              <w:rPr>
                <w:rFonts w:ascii="宋体" w:hAnsi="宋体"/>
                <w:color w:val="auto"/>
                <w:sz w:val="21"/>
                <w:szCs w:val="21"/>
                <w:highlight w:val="none"/>
                <w:lang w:val="zh-CN"/>
              </w:rPr>
            </w:pPr>
            <w:r>
              <w:rPr>
                <w:rFonts w:hint="eastAsia" w:ascii="宋体" w:hAnsi="宋体"/>
                <w:color w:val="auto"/>
                <w:kern w:val="0"/>
                <w:sz w:val="21"/>
                <w:szCs w:val="21"/>
                <w:highlight w:val="none"/>
                <w:lang w:val="sq-AL"/>
              </w:rPr>
              <w:t>根据优劣情况评分</w:t>
            </w:r>
            <w:r>
              <w:rPr>
                <w:rFonts w:ascii="宋体" w:hAnsi="宋体"/>
                <w:color w:val="auto"/>
                <w:kern w:val="0"/>
                <w:sz w:val="21"/>
                <w:szCs w:val="21"/>
                <w:highlight w:val="none"/>
                <w:lang w:val="sq-AL"/>
              </w:rPr>
              <w:t>:</w:t>
            </w:r>
            <w:r>
              <w:rPr>
                <w:rFonts w:hint="eastAsia" w:ascii="宋体" w:hAnsi="宋体"/>
                <w:color w:val="auto"/>
                <w:kern w:val="0"/>
                <w:sz w:val="21"/>
                <w:szCs w:val="21"/>
                <w:highlight w:val="none"/>
                <w:lang w:val="sq-AL"/>
              </w:rPr>
              <w:t>评价为优的得</w:t>
            </w:r>
            <w:r>
              <w:rPr>
                <w:rFonts w:hint="eastAsia" w:ascii="宋体" w:hAnsi="宋体"/>
                <w:color w:val="auto"/>
                <w:kern w:val="0"/>
                <w:sz w:val="21"/>
                <w:szCs w:val="21"/>
                <w:highlight w:val="none"/>
                <w:lang w:val="en-US" w:eastAsia="zh-CN"/>
              </w:rPr>
              <w:t>6</w:t>
            </w:r>
            <w:r>
              <w:rPr>
                <w:rFonts w:hint="eastAsia" w:ascii="宋体" w:hAnsi="宋体"/>
                <w:color w:val="auto"/>
                <w:kern w:val="0"/>
                <w:sz w:val="21"/>
                <w:szCs w:val="21"/>
                <w:highlight w:val="none"/>
                <w:lang w:val="sq-AL"/>
              </w:rPr>
              <w:t>分；评价为良的得</w:t>
            </w:r>
            <w:r>
              <w:rPr>
                <w:rFonts w:hint="eastAsia" w:ascii="宋体" w:hAnsi="宋体"/>
                <w:color w:val="auto"/>
                <w:kern w:val="0"/>
                <w:sz w:val="21"/>
                <w:szCs w:val="21"/>
                <w:highlight w:val="none"/>
              </w:rPr>
              <w:t>4</w:t>
            </w:r>
            <w:r>
              <w:rPr>
                <w:rFonts w:hint="eastAsia" w:ascii="宋体" w:hAnsi="宋体"/>
                <w:color w:val="auto"/>
                <w:kern w:val="0"/>
                <w:sz w:val="21"/>
                <w:szCs w:val="21"/>
                <w:highlight w:val="none"/>
                <w:lang w:val="sq-AL"/>
              </w:rPr>
              <w:t>分；评价为中的得</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lang w:val="sq-AL"/>
              </w:rPr>
              <w:t>分；评价为差的不得分。</w:t>
            </w:r>
          </w:p>
        </w:tc>
      </w:tr>
    </w:tbl>
    <w:p>
      <w:pPr>
        <w:pStyle w:val="2"/>
        <w:keepNext w:val="0"/>
        <w:keepLines w:val="0"/>
        <w:pageBreakBefore w:val="0"/>
        <w:numPr>
          <w:ilvl w:val="0"/>
          <w:numId w:val="0"/>
        </w:numPr>
        <w:topLinePunct w:val="0"/>
        <w:bidi w:val="0"/>
        <w:spacing w:line="560" w:lineRule="exact"/>
        <w:ind w:leftChars="0"/>
        <w:textAlignment w:val="auto"/>
        <w:rPr>
          <w:rFonts w:hint="default" w:ascii="仿宋" w:hAnsi="仿宋" w:eastAsia="仿宋" w:cs="仿宋"/>
          <w:color w:val="auto"/>
          <w:sz w:val="30"/>
          <w:szCs w:val="30"/>
          <w:highlight w:val="none"/>
          <w:lang w:val="en"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五、商务要求</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（一）服务期：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0"/>
          <w:szCs w:val="30"/>
          <w:highlight w:val="non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2022年1月1日-2022年12月31日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（二）服务地点：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0"/>
          <w:szCs w:val="30"/>
          <w:highlight w:val="non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深圳市坪山区坑梓街道丹梓龙庭、新明苑社工服务点</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（三）付款方式：</w:t>
      </w:r>
    </w:p>
    <w:p>
      <w:pPr>
        <w:keepNext w:val="0"/>
        <w:keepLines w:val="0"/>
        <w:pageBreakBefore w:val="0"/>
        <w:tabs>
          <w:tab w:val="left" w:pos="0"/>
          <w:tab w:val="left" w:pos="180"/>
          <w:tab w:val="left" w:pos="1440"/>
        </w:tabs>
        <w:topLinePunct w:val="0"/>
        <w:bidi w:val="0"/>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项目经费分三期支付（由采购单位支付给中标供应商）。第一期：在合同生效，预计2022年4月份支付总价款50%，</w:t>
      </w:r>
      <w:r>
        <w:rPr>
          <w:rFonts w:hint="eastAsia" w:ascii="仿宋" w:hAnsi="仿宋" w:eastAsia="仿宋" w:cs="仿宋"/>
          <w:color w:val="auto"/>
          <w:kern w:val="2"/>
          <w:sz w:val="32"/>
          <w:szCs w:val="32"/>
          <w:highlight w:val="none"/>
          <w:lang w:val="en" w:eastAsia="zh-CN" w:bidi="ar-SA"/>
        </w:rPr>
        <w:t>186000</w:t>
      </w:r>
      <w:r>
        <w:rPr>
          <w:rFonts w:hint="eastAsia" w:ascii="仿宋" w:hAnsi="仿宋" w:eastAsia="仿宋" w:cs="仿宋"/>
          <w:color w:val="auto"/>
          <w:kern w:val="2"/>
          <w:sz w:val="32"/>
          <w:szCs w:val="32"/>
          <w:highlight w:val="none"/>
          <w:lang w:val="en-US" w:eastAsia="zh-CN" w:bidi="ar-SA"/>
        </w:rPr>
        <w:t>元；第二期：在项目运营6个月并经街道自行评估合格后的10个工作日内支付总价款35%，</w:t>
      </w:r>
      <w:r>
        <w:rPr>
          <w:rFonts w:hint="eastAsia" w:ascii="仿宋" w:hAnsi="仿宋" w:eastAsia="仿宋" w:cs="仿宋"/>
          <w:color w:val="auto"/>
          <w:kern w:val="2"/>
          <w:sz w:val="32"/>
          <w:szCs w:val="32"/>
          <w:highlight w:val="none"/>
          <w:lang w:val="en" w:eastAsia="zh-CN" w:bidi="ar-SA"/>
        </w:rPr>
        <w:t>130200</w:t>
      </w:r>
      <w:r>
        <w:rPr>
          <w:rFonts w:hint="eastAsia" w:ascii="仿宋" w:hAnsi="仿宋" w:eastAsia="仿宋" w:cs="仿宋"/>
          <w:color w:val="auto"/>
          <w:kern w:val="2"/>
          <w:sz w:val="32"/>
          <w:szCs w:val="32"/>
          <w:highlight w:val="none"/>
          <w:lang w:val="en-US" w:eastAsia="zh-CN" w:bidi="ar-SA"/>
        </w:rPr>
        <w:t>元；评价结果不合格不再支付剩余费用，并终止合同；第三期：项目运营完毕并经街道自行评估合格后预计2023年4月份支付总价款15%，</w:t>
      </w:r>
      <w:r>
        <w:rPr>
          <w:rFonts w:hint="eastAsia" w:ascii="仿宋" w:hAnsi="仿宋" w:eastAsia="仿宋" w:cs="仿宋"/>
          <w:color w:val="auto"/>
          <w:kern w:val="2"/>
          <w:sz w:val="32"/>
          <w:szCs w:val="32"/>
          <w:highlight w:val="none"/>
          <w:lang w:val="en" w:eastAsia="zh-CN" w:bidi="ar-SA"/>
        </w:rPr>
        <w:t>55800</w:t>
      </w:r>
      <w:r>
        <w:rPr>
          <w:rFonts w:hint="eastAsia" w:ascii="仿宋" w:hAnsi="仿宋" w:eastAsia="仿宋" w:cs="仿宋"/>
          <w:color w:val="auto"/>
          <w:kern w:val="2"/>
          <w:sz w:val="32"/>
          <w:szCs w:val="32"/>
          <w:highlight w:val="none"/>
          <w:lang w:val="en-US" w:eastAsia="zh-CN" w:bidi="ar-SA"/>
        </w:rPr>
        <w:t>元；如终期评估结果不合格不再支付剩余费用，并终止合同。注：经费拨付的时限如因行政因素、审批程序、不可抗的客观因素等导致经费拨付推迟,不视为采购单位违约采购单位有权作出解释,可根据实际情况与中标供应商进行沟通说明,协商达成一致约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（四）违约责任：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甲方于每年的合同期满前两个月对乙方进行考核，经甲方考核不合格的，乙方应按甲方要求进行整改，整改后仍不合格的，甲方有权单方解除合同</w:t>
      </w:r>
      <w:r>
        <w:rPr>
          <w:rFonts w:hint="eastAsia" w:ascii="仿宋" w:hAnsi="仿宋" w:eastAsia="仿宋" w:cs="仿宋"/>
          <w:color w:val="auto"/>
          <w:sz w:val="32"/>
          <w:szCs w:val="32"/>
          <w:highlight w:val="none"/>
          <w:lang w:eastAsia="zh-CN"/>
        </w:rPr>
        <w:t>，且乙方需要退还甲方已支付的服务费的</w:t>
      </w:r>
      <w:r>
        <w:rPr>
          <w:rFonts w:hint="eastAsia" w:ascii="仿宋" w:hAnsi="仿宋" w:eastAsia="仿宋" w:cs="仿宋"/>
          <w:color w:val="auto"/>
          <w:sz w:val="32"/>
          <w:szCs w:val="32"/>
          <w:highlight w:val="none"/>
          <w:lang w:val="en-US" w:eastAsia="zh-CN"/>
        </w:rPr>
        <w:t>40%，剩余的服务费，甲方不再支付</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若非年度考核不合格或合同约定的其它正当理由，甲乙单方中途解除合同，则单独解除合同一方应向对方支付一次性违约金。</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（五）履约担保金：</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default" w:ascii="黑体" w:hAnsi="宋体" w:eastAsia="黑体" w:cs="宋体"/>
          <w:b/>
          <w:color w:val="auto"/>
          <w:kern w:val="0"/>
          <w:sz w:val="32"/>
          <w:szCs w:val="32"/>
          <w:highlight w:val="none"/>
          <w:lang w:val="en-US" w:eastAsia="zh-CN" w:bidi="ar-SA"/>
        </w:rPr>
      </w:pPr>
      <w:r>
        <w:rPr>
          <w:rFonts w:hint="eastAsia" w:ascii="黑体" w:hAnsi="宋体" w:eastAsia="黑体" w:cs="宋体"/>
          <w:b/>
          <w:color w:val="auto"/>
          <w:kern w:val="0"/>
          <w:sz w:val="32"/>
          <w:szCs w:val="32"/>
          <w:highlight w:val="none"/>
          <w:lang w:val="en-US" w:eastAsia="zh-CN" w:bidi="ar-SA"/>
        </w:rPr>
        <w:t>六、联系人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lang w:eastAsia="zh-CN"/>
        </w:rPr>
        <w:t>侯炜</w:t>
      </w:r>
      <w:r>
        <w:rPr>
          <w:rFonts w:hint="eastAsia" w:ascii="仿宋" w:hAnsi="仿宋" w:eastAsia="仿宋" w:cs="仿宋"/>
          <w:color w:val="auto"/>
          <w:sz w:val="32"/>
          <w:szCs w:val="32"/>
          <w:highlight w:val="none"/>
        </w:rPr>
        <w:t xml:space="preserve">          联系电话：</w:t>
      </w:r>
      <w:r>
        <w:rPr>
          <w:rFonts w:hint="eastAsia" w:ascii="仿宋" w:hAnsi="仿宋" w:eastAsia="仿宋" w:cs="仿宋"/>
          <w:color w:val="auto"/>
          <w:sz w:val="32"/>
          <w:szCs w:val="32"/>
          <w:highlight w:val="none"/>
          <w:lang w:val="en-US" w:eastAsia="zh-CN"/>
        </w:rPr>
        <w:t>0755-84136757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b/>
          <w:bCs/>
          <w:color w:val="auto"/>
          <w:kern w:val="44"/>
          <w:sz w:val="28"/>
          <w:szCs w:val="44"/>
          <w:highlight w:val="none"/>
        </w:rPr>
        <w:sectPr>
          <w:footerReference r:id="rId5" w:type="default"/>
          <w:pgSz w:w="11906" w:h="16838"/>
          <w:pgMar w:top="1418" w:right="1474" w:bottom="1091" w:left="1588" w:header="851" w:footer="992" w:gutter="0"/>
          <w:pgNumType w:fmt="decimal"/>
          <w:cols w:space="720" w:num="1"/>
          <w:docGrid w:type="lines" w:linePitch="312" w:charSpace="0"/>
        </w:sectPr>
      </w:pPr>
      <w:r>
        <w:rPr>
          <w:rFonts w:hint="eastAsia" w:ascii="仿宋" w:hAnsi="仿宋" w:eastAsia="仿宋" w:cs="仿宋"/>
          <w:color w:val="auto"/>
          <w:sz w:val="32"/>
          <w:szCs w:val="32"/>
          <w:highlight w:val="none"/>
        </w:rPr>
        <w:t>联系地址：</w:t>
      </w:r>
      <w:r>
        <w:rPr>
          <w:rFonts w:hint="eastAsia" w:ascii="仿宋" w:hAnsi="仿宋" w:eastAsia="仿宋" w:cs="仿宋"/>
          <w:color w:val="auto"/>
          <w:sz w:val="32"/>
          <w:szCs w:val="32"/>
          <w:highlight w:val="none"/>
          <w:lang w:eastAsia="zh-CN"/>
        </w:rPr>
        <w:t>坑梓街道办事处人民西路</w:t>
      </w:r>
      <w:r>
        <w:rPr>
          <w:rFonts w:hint="eastAsia" w:ascii="仿宋" w:hAnsi="仿宋" w:eastAsia="仿宋" w:cs="仿宋"/>
          <w:color w:val="auto"/>
          <w:sz w:val="32"/>
          <w:szCs w:val="32"/>
          <w:highlight w:val="none"/>
          <w:lang w:val="en-US" w:eastAsia="zh-CN"/>
        </w:rPr>
        <w:t>2号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0"/>
          <w:szCs w:val="30"/>
          <w:highlight w:val="none"/>
          <w:lang w:val="en-US" w:eastAsia="zh-CN"/>
        </w:rPr>
      </w:pPr>
    </w:p>
    <w:sectPr>
      <w:footerReference r:id="rId6" w:type="default"/>
      <w:pgSz w:w="11906" w:h="16838"/>
      <w:pgMar w:top="1304" w:right="1474" w:bottom="130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z3CyyQ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Oz3CyyQIAAO4FAAAOAAAAAAAAAAEAIAAAADUBAABkcnMvZTJvRG9jLnhtbFBL&#10;BQYAAAAABgAGAFkBAABwBg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3B"/>
    <w:rsid w:val="000116D9"/>
    <w:rsid w:val="000400EB"/>
    <w:rsid w:val="000B3887"/>
    <w:rsid w:val="000F1214"/>
    <w:rsid w:val="001417DE"/>
    <w:rsid w:val="00197D9B"/>
    <w:rsid w:val="001A749B"/>
    <w:rsid w:val="0024013B"/>
    <w:rsid w:val="002752F5"/>
    <w:rsid w:val="00282252"/>
    <w:rsid w:val="002952A5"/>
    <w:rsid w:val="003167CA"/>
    <w:rsid w:val="003E2C53"/>
    <w:rsid w:val="003F6B23"/>
    <w:rsid w:val="004448C2"/>
    <w:rsid w:val="004668D4"/>
    <w:rsid w:val="00472CAA"/>
    <w:rsid w:val="00546D2D"/>
    <w:rsid w:val="005E4923"/>
    <w:rsid w:val="005E73DE"/>
    <w:rsid w:val="006D30AC"/>
    <w:rsid w:val="00743A2A"/>
    <w:rsid w:val="00750A55"/>
    <w:rsid w:val="00781428"/>
    <w:rsid w:val="007E47C9"/>
    <w:rsid w:val="008351C4"/>
    <w:rsid w:val="008C4CFB"/>
    <w:rsid w:val="008E1859"/>
    <w:rsid w:val="00907217"/>
    <w:rsid w:val="00A21711"/>
    <w:rsid w:val="00A40A85"/>
    <w:rsid w:val="00A777F5"/>
    <w:rsid w:val="00AA6AAB"/>
    <w:rsid w:val="00B17BE3"/>
    <w:rsid w:val="00B46211"/>
    <w:rsid w:val="00B62EF3"/>
    <w:rsid w:val="00BC5D17"/>
    <w:rsid w:val="00BD08D8"/>
    <w:rsid w:val="00C36EC4"/>
    <w:rsid w:val="00DA00A1"/>
    <w:rsid w:val="00DD4895"/>
    <w:rsid w:val="00EA2AAE"/>
    <w:rsid w:val="00EFBCC2"/>
    <w:rsid w:val="00F04133"/>
    <w:rsid w:val="00F13051"/>
    <w:rsid w:val="00FC5F1B"/>
    <w:rsid w:val="00FF2E97"/>
    <w:rsid w:val="016D0E26"/>
    <w:rsid w:val="042D36B2"/>
    <w:rsid w:val="0734002A"/>
    <w:rsid w:val="080B59DE"/>
    <w:rsid w:val="0AEB6040"/>
    <w:rsid w:val="0C5716F5"/>
    <w:rsid w:val="0DF70BD9"/>
    <w:rsid w:val="0E3B663C"/>
    <w:rsid w:val="0ED81463"/>
    <w:rsid w:val="0F4F06F7"/>
    <w:rsid w:val="132F4C9D"/>
    <w:rsid w:val="13D30429"/>
    <w:rsid w:val="1571558C"/>
    <w:rsid w:val="15BA408E"/>
    <w:rsid w:val="1624685F"/>
    <w:rsid w:val="165FDC76"/>
    <w:rsid w:val="182C162A"/>
    <w:rsid w:val="198B4D72"/>
    <w:rsid w:val="1C1401DC"/>
    <w:rsid w:val="1C86202E"/>
    <w:rsid w:val="1FE86BEB"/>
    <w:rsid w:val="1FED2081"/>
    <w:rsid w:val="1FFEAA08"/>
    <w:rsid w:val="209F62F4"/>
    <w:rsid w:val="21317414"/>
    <w:rsid w:val="224D2314"/>
    <w:rsid w:val="2286220D"/>
    <w:rsid w:val="22BC77FF"/>
    <w:rsid w:val="26911A0D"/>
    <w:rsid w:val="27705886"/>
    <w:rsid w:val="27CC29DB"/>
    <w:rsid w:val="2A5F29AA"/>
    <w:rsid w:val="2AEA333D"/>
    <w:rsid w:val="2C107871"/>
    <w:rsid w:val="2C514C06"/>
    <w:rsid w:val="2D1768F0"/>
    <w:rsid w:val="2EFEA117"/>
    <w:rsid w:val="2F3EC2C1"/>
    <w:rsid w:val="2FC863DC"/>
    <w:rsid w:val="316656BF"/>
    <w:rsid w:val="33CF4BF8"/>
    <w:rsid w:val="33D040DB"/>
    <w:rsid w:val="354EE33B"/>
    <w:rsid w:val="3924196C"/>
    <w:rsid w:val="3AFF8DFC"/>
    <w:rsid w:val="3B6DEA2E"/>
    <w:rsid w:val="3EFFD9C0"/>
    <w:rsid w:val="3F5FEE43"/>
    <w:rsid w:val="3FBF64E0"/>
    <w:rsid w:val="3FE7061E"/>
    <w:rsid w:val="3FFE19C6"/>
    <w:rsid w:val="3FFE7E15"/>
    <w:rsid w:val="40E15F28"/>
    <w:rsid w:val="41220617"/>
    <w:rsid w:val="41B233BD"/>
    <w:rsid w:val="45841CBA"/>
    <w:rsid w:val="481B4D2D"/>
    <w:rsid w:val="48791763"/>
    <w:rsid w:val="4BFF7673"/>
    <w:rsid w:val="4D2E324F"/>
    <w:rsid w:val="4D714664"/>
    <w:rsid w:val="4F070CFC"/>
    <w:rsid w:val="4F93EC97"/>
    <w:rsid w:val="4F95996F"/>
    <w:rsid w:val="52E05D7F"/>
    <w:rsid w:val="54023F8B"/>
    <w:rsid w:val="5460402C"/>
    <w:rsid w:val="569F2D7B"/>
    <w:rsid w:val="58D87E9E"/>
    <w:rsid w:val="58FFA5D4"/>
    <w:rsid w:val="5D255ED8"/>
    <w:rsid w:val="5D6D3A4E"/>
    <w:rsid w:val="5E160B13"/>
    <w:rsid w:val="5EED79A2"/>
    <w:rsid w:val="5F800AB8"/>
    <w:rsid w:val="5FFFCD13"/>
    <w:rsid w:val="60C12241"/>
    <w:rsid w:val="613E0788"/>
    <w:rsid w:val="62D22BB5"/>
    <w:rsid w:val="634333E8"/>
    <w:rsid w:val="65401983"/>
    <w:rsid w:val="65A50382"/>
    <w:rsid w:val="65C33426"/>
    <w:rsid w:val="65F53409"/>
    <w:rsid w:val="67F141B6"/>
    <w:rsid w:val="693F098B"/>
    <w:rsid w:val="6965272F"/>
    <w:rsid w:val="699A07D5"/>
    <w:rsid w:val="69FF7E2C"/>
    <w:rsid w:val="6ADC0BF6"/>
    <w:rsid w:val="6AEF5CF5"/>
    <w:rsid w:val="6B0E45D2"/>
    <w:rsid w:val="6B664389"/>
    <w:rsid w:val="6BFFD559"/>
    <w:rsid w:val="6D9BDB85"/>
    <w:rsid w:val="6DC56210"/>
    <w:rsid w:val="6EEE3AF3"/>
    <w:rsid w:val="6F2801C1"/>
    <w:rsid w:val="6F37E88C"/>
    <w:rsid w:val="6F977E0B"/>
    <w:rsid w:val="6FAF8943"/>
    <w:rsid w:val="6FE33A34"/>
    <w:rsid w:val="70F8382B"/>
    <w:rsid w:val="732401E4"/>
    <w:rsid w:val="7360651B"/>
    <w:rsid w:val="73FD80F6"/>
    <w:rsid w:val="74BE59B8"/>
    <w:rsid w:val="75B77D33"/>
    <w:rsid w:val="75F78055"/>
    <w:rsid w:val="761C68DF"/>
    <w:rsid w:val="777B36EE"/>
    <w:rsid w:val="795D6AFC"/>
    <w:rsid w:val="798A5CF7"/>
    <w:rsid w:val="79B3E3B2"/>
    <w:rsid w:val="7AF1F689"/>
    <w:rsid w:val="7B0D6562"/>
    <w:rsid w:val="7BA566D4"/>
    <w:rsid w:val="7BB5719F"/>
    <w:rsid w:val="7BB7EB60"/>
    <w:rsid w:val="7CAF23AF"/>
    <w:rsid w:val="7CD60B3F"/>
    <w:rsid w:val="7D587FC0"/>
    <w:rsid w:val="7D6D65A0"/>
    <w:rsid w:val="7DB7ED6C"/>
    <w:rsid w:val="7DC778F0"/>
    <w:rsid w:val="7DEB054F"/>
    <w:rsid w:val="7DFE3E3B"/>
    <w:rsid w:val="7DFFCA91"/>
    <w:rsid w:val="7E27EE6B"/>
    <w:rsid w:val="7ECB7CCE"/>
    <w:rsid w:val="7EDF3B6C"/>
    <w:rsid w:val="7EE3B94B"/>
    <w:rsid w:val="7EED15B6"/>
    <w:rsid w:val="7EEF0B6C"/>
    <w:rsid w:val="7EEFC3D9"/>
    <w:rsid w:val="7EFCF0BA"/>
    <w:rsid w:val="7F450BC0"/>
    <w:rsid w:val="7F57284A"/>
    <w:rsid w:val="7F77CFB7"/>
    <w:rsid w:val="7F7DD6A6"/>
    <w:rsid w:val="7F7F4125"/>
    <w:rsid w:val="7FB68E57"/>
    <w:rsid w:val="7FBB4C5F"/>
    <w:rsid w:val="7FBFF89F"/>
    <w:rsid w:val="7FEAA258"/>
    <w:rsid w:val="7FEF3451"/>
    <w:rsid w:val="7FEF88E0"/>
    <w:rsid w:val="7FFBC6F7"/>
    <w:rsid w:val="7FFD16BF"/>
    <w:rsid w:val="7FFDF2DF"/>
    <w:rsid w:val="7FFF7A98"/>
    <w:rsid w:val="8FBBD32D"/>
    <w:rsid w:val="93BE571E"/>
    <w:rsid w:val="9A1AE584"/>
    <w:rsid w:val="9BEC3B19"/>
    <w:rsid w:val="9CFB5C58"/>
    <w:rsid w:val="9DEFB83F"/>
    <w:rsid w:val="9FE97218"/>
    <w:rsid w:val="A77FCA23"/>
    <w:rsid w:val="AC19B4FE"/>
    <w:rsid w:val="B0FA3B62"/>
    <w:rsid w:val="B3B478A9"/>
    <w:rsid w:val="B6B9501C"/>
    <w:rsid w:val="B7EB0AE9"/>
    <w:rsid w:val="B7FCE4EC"/>
    <w:rsid w:val="B7FF3869"/>
    <w:rsid w:val="B9C603F7"/>
    <w:rsid w:val="B9DF8D6E"/>
    <w:rsid w:val="BB6E548F"/>
    <w:rsid w:val="BBBD0D05"/>
    <w:rsid w:val="BBEA023F"/>
    <w:rsid w:val="BBF6E94C"/>
    <w:rsid w:val="BBFFBAF6"/>
    <w:rsid w:val="BDEFAC27"/>
    <w:rsid w:val="BE77DAA8"/>
    <w:rsid w:val="BEFAED36"/>
    <w:rsid w:val="BFD342E3"/>
    <w:rsid w:val="BFF4960E"/>
    <w:rsid w:val="CAFE19D0"/>
    <w:rsid w:val="CC223D71"/>
    <w:rsid w:val="CEF75EDC"/>
    <w:rsid w:val="CF4D0748"/>
    <w:rsid w:val="D3BA94D1"/>
    <w:rsid w:val="D573B493"/>
    <w:rsid w:val="D5EFE755"/>
    <w:rsid w:val="D7ED08EC"/>
    <w:rsid w:val="D9FBD18A"/>
    <w:rsid w:val="DBA71996"/>
    <w:rsid w:val="DD9F73DF"/>
    <w:rsid w:val="DE7FDEA9"/>
    <w:rsid w:val="DED72007"/>
    <w:rsid w:val="DF8729E0"/>
    <w:rsid w:val="DFC4103E"/>
    <w:rsid w:val="E6EB3D91"/>
    <w:rsid w:val="E747D0DB"/>
    <w:rsid w:val="E74F4124"/>
    <w:rsid w:val="E7DFA28A"/>
    <w:rsid w:val="E7FF7F18"/>
    <w:rsid w:val="EAFB185D"/>
    <w:rsid w:val="EB962463"/>
    <w:rsid w:val="ECEFB936"/>
    <w:rsid w:val="EDEBDD27"/>
    <w:rsid w:val="EEBD40B1"/>
    <w:rsid w:val="EF5D1E74"/>
    <w:rsid w:val="EFB143AA"/>
    <w:rsid w:val="EFF33AD2"/>
    <w:rsid w:val="EFF96953"/>
    <w:rsid w:val="F1F8CB4E"/>
    <w:rsid w:val="F5F63FC3"/>
    <w:rsid w:val="F6770D77"/>
    <w:rsid w:val="F67C7697"/>
    <w:rsid w:val="F6BF9920"/>
    <w:rsid w:val="F73B3D6E"/>
    <w:rsid w:val="F77B2277"/>
    <w:rsid w:val="F77E1963"/>
    <w:rsid w:val="F7BD9087"/>
    <w:rsid w:val="F7FA23F9"/>
    <w:rsid w:val="F7FB4538"/>
    <w:rsid w:val="F7FDD20A"/>
    <w:rsid w:val="F9FB1024"/>
    <w:rsid w:val="F9FFE222"/>
    <w:rsid w:val="FB5E57BF"/>
    <w:rsid w:val="FB6CCCF6"/>
    <w:rsid w:val="FB7F184A"/>
    <w:rsid w:val="FBBFED60"/>
    <w:rsid w:val="FBFF87BA"/>
    <w:rsid w:val="FCA9B9B5"/>
    <w:rsid w:val="FCCF6E32"/>
    <w:rsid w:val="FCF72E02"/>
    <w:rsid w:val="FD2F7F11"/>
    <w:rsid w:val="FD560303"/>
    <w:rsid w:val="FD5BD8B9"/>
    <w:rsid w:val="FD5E2853"/>
    <w:rsid w:val="FDFE7736"/>
    <w:rsid w:val="FE679689"/>
    <w:rsid w:val="FEBB40A5"/>
    <w:rsid w:val="FEDF2EB5"/>
    <w:rsid w:val="FEFDE2C9"/>
    <w:rsid w:val="FEFF3D46"/>
    <w:rsid w:val="FEFFA735"/>
    <w:rsid w:val="FF1F09C0"/>
    <w:rsid w:val="FF65AE34"/>
    <w:rsid w:val="FF7DAAEA"/>
    <w:rsid w:val="FF7DBECB"/>
    <w:rsid w:val="FF7E140D"/>
    <w:rsid w:val="FF8FD1DB"/>
    <w:rsid w:val="FF9F1E04"/>
    <w:rsid w:val="FF9FAB8A"/>
    <w:rsid w:val="FF9FF96A"/>
    <w:rsid w:val="FFABBBDB"/>
    <w:rsid w:val="FFADC794"/>
    <w:rsid w:val="FFB9CFCD"/>
    <w:rsid w:val="FFBBF184"/>
    <w:rsid w:val="FFBF9B60"/>
    <w:rsid w:val="FFBFFE91"/>
    <w:rsid w:val="FFDA82BF"/>
    <w:rsid w:val="FFEB0A2C"/>
    <w:rsid w:val="FFEBB27B"/>
    <w:rsid w:val="FFEF7F53"/>
    <w:rsid w:val="FFEFC1E4"/>
    <w:rsid w:val="FFF413BA"/>
    <w:rsid w:val="FFFDA44D"/>
    <w:rsid w:val="FFFF2102"/>
    <w:rsid w:val="FFFF2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黑体"/>
      <w:kern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styleId="3">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6">
    <w:name w:val="Normal Indent"/>
    <w:basedOn w:val="1"/>
    <w:qFormat/>
    <w:uiPriority w:val="0"/>
    <w:pPr>
      <w:ind w:firstLine="420"/>
    </w:pPr>
    <w:rPr>
      <w:szCs w:val="20"/>
    </w:rPr>
  </w:style>
  <w:style w:type="paragraph" w:styleId="7">
    <w:name w:val="Document Map"/>
    <w:basedOn w:val="1"/>
    <w:link w:val="19"/>
    <w:qFormat/>
    <w:uiPriority w:val="0"/>
    <w:rPr>
      <w:rFonts w:ascii="宋体"/>
      <w:sz w:val="18"/>
      <w:szCs w:val="18"/>
    </w:rPr>
  </w:style>
  <w:style w:type="paragraph" w:styleId="8">
    <w:name w:val="annotation text"/>
    <w:basedOn w:val="1"/>
    <w:next w:val="9"/>
    <w:qFormat/>
    <w:uiPriority w:val="0"/>
    <w:pPr>
      <w:jc w:val="left"/>
    </w:pPr>
  </w:style>
  <w:style w:type="paragraph" w:styleId="9">
    <w:name w:val="toc 5"/>
    <w:basedOn w:val="1"/>
    <w:next w:val="1"/>
    <w:qFormat/>
    <w:uiPriority w:val="0"/>
    <w:pPr>
      <w:ind w:left="840"/>
      <w:jc w:val="left"/>
    </w:pPr>
    <w:rPr>
      <w:szCs w:val="21"/>
    </w:rPr>
  </w:style>
  <w:style w:type="paragraph" w:styleId="10">
    <w:name w:val="footer"/>
    <w:basedOn w:val="1"/>
    <w:link w:val="17"/>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664"/>
    </w:pPr>
    <w:rPr>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脚 Char"/>
    <w:link w:val="10"/>
    <w:qFormat/>
    <w:uiPriority w:val="0"/>
    <w:rPr>
      <w:rFonts w:hint="default" w:ascii="Calibri" w:hAnsi="Calibri" w:eastAsia="宋体" w:cs="Calibri"/>
      <w:kern w:val="2"/>
      <w:sz w:val="18"/>
      <w:szCs w:val="18"/>
      <w:lang w:val="en-US" w:eastAsia="zh-CN"/>
    </w:rPr>
  </w:style>
  <w:style w:type="paragraph" w:customStyle="1" w:styleId="18">
    <w:name w:val="List Paragraph"/>
    <w:basedOn w:val="1"/>
    <w:unhideWhenUsed/>
    <w:qFormat/>
    <w:uiPriority w:val="99"/>
    <w:pPr>
      <w:ind w:firstLine="420" w:firstLineChars="200"/>
    </w:pPr>
  </w:style>
  <w:style w:type="character" w:customStyle="1" w:styleId="19">
    <w:name w:val="文档结构图 Char"/>
    <w:basedOn w:val="16"/>
    <w:link w:val="7"/>
    <w:qFormat/>
    <w:uiPriority w:val="0"/>
    <w:rPr>
      <w:rFonts w:ascii="宋体" w:hAnsi="Calibri"/>
      <w:kern w:val="2"/>
      <w:sz w:val="18"/>
      <w:szCs w:val="18"/>
    </w:rPr>
  </w:style>
  <w:style w:type="paragraph" w:customStyle="1" w:styleId="20">
    <w:name w:val="表格内文字"/>
    <w:basedOn w:val="1"/>
    <w:qFormat/>
    <w:uiPriority w:val="0"/>
    <w:rPr>
      <w:sz w:val="24"/>
      <w:szCs w:val="20"/>
    </w:rPr>
  </w:style>
  <w:style w:type="paragraph" w:customStyle="1" w:styleId="21">
    <w:name w:val="USE 1"/>
    <w:basedOn w:val="1"/>
    <w:qFormat/>
    <w:uiPriority w:val="0"/>
    <w:pPr>
      <w:spacing w:line="200" w:lineRule="atLeast"/>
      <w:jc w:val="left"/>
    </w:pPr>
    <w:rPr>
      <w:rFonts w:ascii="宋体" w:hAnsi="宋体"/>
      <w:b/>
      <w:sz w:val="24"/>
      <w:szCs w:val="28"/>
    </w:rPr>
  </w:style>
  <w:style w:type="paragraph" w:customStyle="1" w:styleId="22">
    <w:name w:val="Table Paragraph"/>
    <w:basedOn w:val="1"/>
    <w:qFormat/>
    <w:uiPriority w:val="99"/>
    <w:pPr>
      <w:autoSpaceDE w:val="0"/>
      <w:autoSpaceDN w:val="0"/>
      <w:adjustRightInd w:val="0"/>
      <w:jc w:val="left"/>
    </w:pPr>
    <w:rPr>
      <w:rFonts w:ascii="宋体" w:hAnsi="宋体" w:cs="宋体"/>
      <w:kern w:val="0"/>
      <w:sz w:val="24"/>
    </w:rPr>
  </w:style>
  <w:style w:type="paragraph" w:customStyle="1" w:styleId="23">
    <w:name w:val="_Style 2"/>
    <w:basedOn w:val="1"/>
    <w:qFormat/>
    <w:uiPriority w:val="0"/>
    <w:pPr>
      <w:ind w:firstLine="420" w:firstLineChars="200"/>
    </w:pPr>
    <w:rPr>
      <w:szCs w:val="20"/>
    </w:rPr>
  </w:style>
  <w:style w:type="paragraph" w:customStyle="1" w:styleId="24">
    <w:name w:val="列出段落11"/>
    <w:basedOn w:val="1"/>
    <w:qFormat/>
    <w:uiPriority w:val="99"/>
    <w:pPr>
      <w:ind w:firstLine="420" w:firstLineChars="200"/>
    </w:pPr>
  </w:style>
  <w:style w:type="paragraph" w:customStyle="1" w:styleId="25">
    <w:name w:val="List Paragraph1"/>
    <w:qFormat/>
    <w:uiPriority w:val="0"/>
    <w:pPr>
      <w:widowControl w:val="0"/>
      <w:ind w:firstLine="420" w:firstLineChars="200"/>
      <w:jc w:val="both"/>
    </w:pPr>
    <w:rPr>
      <w:rFonts w:ascii="Calibri" w:hAnsi="Calibri" w:eastAsia="宋体" w:cs="Times New Roman"/>
      <w:kern w:val="2"/>
      <w:sz w:val="21"/>
      <w:szCs w:val="20"/>
      <w:lang w:val="en-US" w:eastAsia="zh-CN" w:bidi="ar-SA"/>
    </w:rPr>
  </w:style>
  <w:style w:type="paragraph" w:customStyle="1" w:styleId="2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Words>
  <Characters>1209</Characters>
  <Lines>10</Lines>
  <Paragraphs>2</Paragraphs>
  <TotalTime>5</TotalTime>
  <ScaleCrop>false</ScaleCrop>
  <LinksUpToDate>false</LinksUpToDate>
  <CharactersWithSpaces>1418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2019-04-03T14:37:00Z</dcterms:created>
  <dc:creator>Administrator</dc:creator>
  <cp:lastModifiedBy>a66</cp:lastModifiedBy>
  <cp:lastPrinted>2021-11-07T16:20:00Z</cp:lastPrinted>
  <dcterms:modified xsi:type="dcterms:W3CDTF">2021-12-14T16:06:44Z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