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2021年坪山区特级教师评审通过候选人名单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9"/>
        <w:gridCol w:w="1883"/>
        <w:gridCol w:w="1234"/>
        <w:gridCol w:w="3666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3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张珂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深圳市</w:t>
            </w:r>
          </w:p>
        </w:tc>
        <w:tc>
          <w:tcPr>
            <w:tcW w:w="3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深圳市坪山区坑梓中心小学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何艳红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深圳市</w:t>
            </w:r>
          </w:p>
        </w:tc>
        <w:tc>
          <w:tcPr>
            <w:tcW w:w="3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深圳市坪山区锦龙小学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程宏亮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深圳市</w:t>
            </w:r>
          </w:p>
        </w:tc>
        <w:tc>
          <w:tcPr>
            <w:tcW w:w="3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  <w:t>深圳市坪山区坪山实验学校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</w:p>
    <w:p>
      <w:pPr>
        <w:pStyle w:val="2"/>
        <w:spacing w:before="10"/>
        <w:rPr>
          <w:rFonts w:ascii="方正小标宋简体"/>
          <w:sz w:val="2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1564"/>
    <w:rsid w:val="3EB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2021-07-26T03:37:00Z</dcterms:created>
  <dc:creator>谭晓君</dc:creator>
  <cp:lastModifiedBy>谭晓君</cp:lastModifiedBy>
  <dcterms:modified xsi:type="dcterms:W3CDTF">2021-07-26T03:43:38Z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