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bookmarkStart w:id="0" w:name="_GoBack"/>
      <w:bookmarkEnd w:id="0"/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坪山区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2020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年度安居工程计划</w:t>
      </w:r>
    </w:p>
    <w:p>
      <w:pPr>
        <w:spacing w:line="560" w:lineRule="exact"/>
        <w:rPr>
          <w:rFonts w:ascii="黑体" w:hAnsi="黑体" w:eastAsia="黑体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为贯彻落实我区安居工程工作部署</w:t>
      </w:r>
      <w:r>
        <w:rPr>
          <w:rFonts w:hint="eastAsia" w:ascii="仿宋_GB2312" w:hAnsi="黑体" w:eastAsia="仿宋_GB2312"/>
          <w:sz w:val="32"/>
          <w:szCs w:val="32"/>
        </w:rPr>
        <w:t>，确保完成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2020</w:t>
      </w:r>
      <w:r>
        <w:rPr>
          <w:rFonts w:hint="eastAsia" w:ascii="仿宋_GB2312" w:hAnsi="黑体" w:eastAsia="仿宋_GB2312"/>
          <w:sz w:val="32"/>
          <w:szCs w:val="32"/>
        </w:rPr>
        <w:t>年安居工程任务，根据《深圳市住房发展2020年度实施计划》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（深建字〔2020〕78号）</w:t>
      </w:r>
      <w:r>
        <w:rPr>
          <w:rFonts w:hint="eastAsia" w:ascii="仿宋_GB2312" w:hAnsi="黑体" w:eastAsia="仿宋_GB2312"/>
          <w:sz w:val="32"/>
          <w:szCs w:val="32"/>
        </w:rPr>
        <w:t>要求，特制订本计划：</w:t>
      </w:r>
    </w:p>
    <w:p>
      <w:pPr>
        <w:overflowPunct w:val="0"/>
        <w:snapToGrid w:val="0"/>
        <w:spacing w:line="560" w:lineRule="exact"/>
        <w:ind w:firstLine="640" w:firstLineChars="200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一、建设筹集目标</w:t>
      </w:r>
    </w:p>
    <w:p>
      <w:pPr>
        <w:overflowPunct w:val="0"/>
        <w:snapToGrid w:val="0"/>
        <w:spacing w:line="560" w:lineRule="exact"/>
        <w:ind w:firstLine="640" w:firstLineChars="200"/>
        <w:rPr>
          <w:rFonts w:hint="eastAsia" w:ascii="仿宋_GB2312" w:hAnsi="宋体" w:eastAsia="仿宋_GB2312"/>
          <w:sz w:val="32"/>
          <w:szCs w:val="32"/>
          <w:lang w:eastAsia="zh-CN"/>
        </w:rPr>
      </w:pPr>
      <w:r>
        <w:rPr>
          <w:rFonts w:hint="eastAsia" w:ascii="仿宋_GB2312" w:hAnsi="华文仿宋" w:eastAsia="仿宋_GB2312" w:cs="Times New Roman"/>
          <w:sz w:val="32"/>
          <w:szCs w:val="32"/>
        </w:rPr>
        <w:t>2020年</w:t>
      </w:r>
      <w:r>
        <w:rPr>
          <w:rFonts w:hint="eastAsia" w:ascii="仿宋_GB2312" w:hAnsi="华文仿宋" w:eastAsia="仿宋_GB2312" w:cs="Times New Roman"/>
          <w:sz w:val="32"/>
          <w:szCs w:val="32"/>
          <w:lang w:val="en-US" w:eastAsia="zh-CN"/>
        </w:rPr>
        <w:t>全市</w:t>
      </w:r>
      <w:r>
        <w:rPr>
          <w:rFonts w:hint="eastAsia" w:ascii="仿宋_GB2312" w:hAnsi="华文仿宋" w:eastAsia="仿宋_GB2312" w:cs="Times New Roman"/>
          <w:sz w:val="32"/>
          <w:szCs w:val="32"/>
        </w:rPr>
        <w:t>计划建设筹集安居工程8.1万套</w:t>
      </w:r>
      <w:r>
        <w:rPr>
          <w:rFonts w:hint="eastAsia" w:ascii="仿宋_GB2312" w:hAnsi="华文仿宋" w:eastAsia="仿宋_GB2312" w:cs="Times New Roman"/>
          <w:sz w:val="32"/>
          <w:szCs w:val="32"/>
          <w:lang w:eastAsia="zh-CN"/>
        </w:rPr>
        <w:t>，</w:t>
      </w:r>
      <w:r>
        <w:rPr>
          <w:rFonts w:hint="eastAsia" w:ascii="仿宋_GB2312" w:hAnsi="华文仿宋" w:eastAsia="仿宋_GB2312" w:cs="Times New Roman"/>
          <w:sz w:val="32"/>
          <w:szCs w:val="32"/>
        </w:rPr>
        <w:t>按责任单位划分，</w:t>
      </w:r>
      <w:r>
        <w:rPr>
          <w:rFonts w:hint="eastAsia" w:ascii="仿宋_GB2312" w:hAnsi="华文仿宋" w:eastAsia="仿宋_GB2312" w:cs="Times New Roman"/>
          <w:sz w:val="32"/>
          <w:szCs w:val="32"/>
          <w:lang w:val="en-US" w:eastAsia="zh-CN"/>
        </w:rPr>
        <w:t>我</w:t>
      </w:r>
      <w:r>
        <w:rPr>
          <w:rFonts w:hint="eastAsia" w:ascii="仿宋_GB2312" w:hAnsi="华文仿宋" w:eastAsia="仿宋_GB2312" w:cs="Times New Roman"/>
          <w:sz w:val="32"/>
          <w:szCs w:val="32"/>
        </w:rPr>
        <w:t>区</w:t>
      </w:r>
      <w:r>
        <w:rPr>
          <w:rFonts w:hint="eastAsia" w:ascii="仿宋_GB2312" w:hAnsi="华文仿宋" w:eastAsia="仿宋_GB2312" w:cs="Times New Roman"/>
          <w:sz w:val="32"/>
          <w:szCs w:val="32"/>
          <w:lang w:val="en-US" w:eastAsia="zh-CN"/>
        </w:rPr>
        <w:t>任务为4713</w:t>
      </w:r>
      <w:r>
        <w:rPr>
          <w:rFonts w:hint="eastAsia" w:ascii="仿宋_GB2312" w:hAnsi="华文仿宋" w:eastAsia="仿宋_GB2312" w:cs="Times New Roman"/>
          <w:sz w:val="32"/>
          <w:szCs w:val="32"/>
        </w:rPr>
        <w:t>套</w:t>
      </w:r>
      <w:r>
        <w:rPr>
          <w:rFonts w:hint="eastAsia" w:ascii="仿宋_GB2312" w:hAnsi="华文仿宋" w:eastAsia="仿宋_GB2312" w:cs="Times New Roman"/>
          <w:sz w:val="32"/>
          <w:szCs w:val="32"/>
          <w:lang w:eastAsia="zh-CN"/>
        </w:rPr>
        <w:t>。</w:t>
      </w:r>
    </w:p>
    <w:p>
      <w:pPr>
        <w:overflowPunct w:val="0"/>
        <w:snapToGrid w:val="0"/>
        <w:spacing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开工是指规划设计的永久性工程已破土开槽（地基处理或打永久桩）。仅进行了工程地质勘察、场地平整、旧有建筑物拆除、临时建筑、施工用临时道路和水电等建设，未破土刨槽的，均不应计为正式开工。</w:t>
      </w:r>
    </w:p>
    <w:p>
      <w:pPr>
        <w:overflowPunct w:val="0"/>
        <w:snapToGrid w:val="0"/>
        <w:spacing w:line="560" w:lineRule="exact"/>
        <w:ind w:firstLine="640" w:firstLineChars="200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二、计划基本建成（含竣工）任务</w:t>
      </w:r>
    </w:p>
    <w:p>
      <w:pPr>
        <w:overflowPunct w:val="0"/>
        <w:snapToGrid w:val="0"/>
        <w:spacing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ascii="仿宋_GB2312" w:hAnsi="华文仿宋" w:eastAsia="仿宋_GB2312" w:cs="Times New Roman"/>
          <w:sz w:val="32"/>
          <w:szCs w:val="32"/>
        </w:rPr>
        <w:t>2020年</w:t>
      </w:r>
      <w:r>
        <w:rPr>
          <w:rFonts w:hint="eastAsia" w:ascii="仿宋_GB2312" w:hAnsi="华文仿宋" w:eastAsia="仿宋_GB2312" w:cs="Times New Roman"/>
          <w:sz w:val="32"/>
          <w:szCs w:val="32"/>
          <w:lang w:val="en-US" w:eastAsia="zh-CN"/>
        </w:rPr>
        <w:t>全市</w:t>
      </w:r>
      <w:r>
        <w:rPr>
          <w:rFonts w:ascii="仿宋_GB2312" w:hAnsi="华文仿宋" w:eastAsia="仿宋_GB2312" w:cs="Times New Roman"/>
          <w:sz w:val="32"/>
          <w:szCs w:val="32"/>
        </w:rPr>
        <w:t>计划基本建成（含竣工）</w:t>
      </w:r>
      <w:r>
        <w:rPr>
          <w:rFonts w:hint="eastAsia" w:ascii="仿宋_GB2312" w:hAnsi="华文仿宋" w:eastAsia="仿宋_GB2312" w:cs="Times New Roman"/>
          <w:sz w:val="32"/>
          <w:szCs w:val="32"/>
        </w:rPr>
        <w:t>安居工程</w:t>
      </w:r>
      <w:r>
        <w:rPr>
          <w:rFonts w:ascii="仿宋_GB2312" w:hAnsi="华文仿宋" w:eastAsia="仿宋_GB2312" w:cs="Times New Roman"/>
          <w:sz w:val="32"/>
          <w:szCs w:val="32"/>
        </w:rPr>
        <w:t>2.</w:t>
      </w:r>
      <w:r>
        <w:rPr>
          <w:rFonts w:hint="eastAsia" w:ascii="仿宋_GB2312" w:hAnsi="华文仿宋" w:eastAsia="仿宋_GB2312" w:cs="Times New Roman"/>
          <w:sz w:val="32"/>
          <w:szCs w:val="32"/>
        </w:rPr>
        <w:t>28万套，按责任单位划分，</w:t>
      </w:r>
      <w:r>
        <w:rPr>
          <w:rFonts w:hint="eastAsia" w:ascii="仿宋_GB2312" w:hAnsi="华文仿宋" w:eastAsia="仿宋_GB2312" w:cs="Times New Roman"/>
          <w:sz w:val="32"/>
          <w:szCs w:val="32"/>
          <w:lang w:val="en-US" w:eastAsia="zh-CN"/>
        </w:rPr>
        <w:t>我</w:t>
      </w:r>
      <w:r>
        <w:rPr>
          <w:rFonts w:hint="eastAsia" w:ascii="仿宋_GB2312" w:hAnsi="华文仿宋" w:eastAsia="仿宋_GB2312" w:cs="Times New Roman"/>
          <w:sz w:val="32"/>
          <w:szCs w:val="32"/>
        </w:rPr>
        <w:t>区</w:t>
      </w:r>
      <w:r>
        <w:rPr>
          <w:rFonts w:hint="eastAsia" w:ascii="仿宋_GB2312" w:hAnsi="华文仿宋" w:eastAsia="仿宋_GB2312" w:cs="Times New Roman"/>
          <w:sz w:val="32"/>
          <w:szCs w:val="32"/>
          <w:lang w:val="en-US" w:eastAsia="zh-CN"/>
        </w:rPr>
        <w:t>任务为714</w:t>
      </w:r>
      <w:r>
        <w:rPr>
          <w:rFonts w:hint="eastAsia" w:ascii="仿宋_GB2312" w:hAnsi="华文仿宋" w:eastAsia="仿宋_GB2312" w:cs="Times New Roman"/>
          <w:sz w:val="32"/>
          <w:szCs w:val="32"/>
        </w:rPr>
        <w:t>套</w:t>
      </w:r>
      <w:r>
        <w:rPr>
          <w:rFonts w:hint="eastAsia" w:ascii="仿宋_GB2312" w:hAnsi="华文仿宋" w:eastAsia="仿宋_GB2312" w:cs="Times New Roman"/>
          <w:sz w:val="32"/>
          <w:szCs w:val="32"/>
          <w:lang w:eastAsia="zh-CN"/>
        </w:rPr>
        <w:t>。</w:t>
      </w:r>
    </w:p>
    <w:p>
      <w:pPr>
        <w:overflowPunct w:val="0"/>
        <w:snapToGrid w:val="0"/>
        <w:spacing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对竣工项目：项目单体工程应按批准的设计文件要求全部完工，达到交付使用条件，并按规定程序和要求进行竣工验收，具体包括以下两类情况：一是建设项目竣工验收备案，取得备案表；二是部分单体工程经开发建设单位组织竣工验收合格。</w:t>
      </w:r>
    </w:p>
    <w:p>
      <w:pPr>
        <w:overflowPunct w:val="0"/>
        <w:snapToGrid w:val="0"/>
        <w:spacing w:line="560" w:lineRule="exact"/>
        <w:ind w:firstLine="640" w:firstLineChars="200"/>
        <w:rPr>
          <w:rFonts w:ascii="仿宋_GB2312" w:hAnsi="宋体" w:eastAsia="仿宋_GB2312"/>
          <w:b/>
          <w:bCs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对计划基本建成项目：单位工程按批准的设计文件要求，主体工程完工并基本达到使用条件，具体包括以下三类情况：一是开发建设单位组织验收合格，经建设主管部门备案；二是单体工程完成，经开发建设单位组织竣工验收合格，出具竣工验收报告；三是单体工程完工达到了竣工验收标准，施工单位向建设单位提交工程竣工报告和完整的质量材料，请建设单位组织验收。</w:t>
      </w:r>
    </w:p>
    <w:p>
      <w:pPr>
        <w:overflowPunct w:val="0"/>
        <w:snapToGrid w:val="0"/>
        <w:spacing w:line="560" w:lineRule="exact"/>
        <w:ind w:firstLine="640" w:firstLineChars="200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三、计划供应任务</w:t>
      </w:r>
    </w:p>
    <w:p>
      <w:pPr>
        <w:overflowPunct w:val="0"/>
        <w:snapToGrid w:val="0"/>
        <w:spacing w:line="560" w:lineRule="exact"/>
        <w:ind w:firstLine="640" w:firstLineChars="200"/>
        <w:rPr>
          <w:rFonts w:hint="eastAsia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</w:rPr>
        <w:t>2020年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全市</w:t>
      </w:r>
      <w:r>
        <w:rPr>
          <w:rFonts w:hint="eastAsia" w:ascii="仿宋_GB2312" w:hAnsi="宋体" w:eastAsia="仿宋_GB2312"/>
          <w:sz w:val="32"/>
          <w:szCs w:val="32"/>
        </w:rPr>
        <w:t>计划供应安居工程</w:t>
      </w:r>
      <w:r>
        <w:rPr>
          <w:rFonts w:ascii="仿宋_GB2312" w:hAnsi="宋体" w:eastAsia="仿宋_GB2312"/>
          <w:sz w:val="32"/>
          <w:szCs w:val="32"/>
        </w:rPr>
        <w:t>4</w:t>
      </w:r>
      <w:r>
        <w:rPr>
          <w:rFonts w:hint="eastAsia" w:ascii="仿宋_GB2312" w:hAnsi="宋体" w:eastAsia="仿宋_GB2312"/>
          <w:sz w:val="32"/>
          <w:szCs w:val="32"/>
        </w:rPr>
        <w:t>万套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，</w:t>
      </w:r>
      <w:r>
        <w:rPr>
          <w:rFonts w:hint="eastAsia" w:ascii="仿宋_GB2312" w:hAnsi="华文仿宋" w:eastAsia="仿宋_GB2312" w:cs="Times New Roman"/>
          <w:sz w:val="32"/>
          <w:szCs w:val="32"/>
        </w:rPr>
        <w:t>按责任单位</w:t>
      </w:r>
      <w:r>
        <w:rPr>
          <w:rFonts w:hint="eastAsia" w:ascii="仿宋_GB2312" w:hAnsi="华文仿宋" w:eastAsia="仿宋_GB2312" w:cs="Times New Roman"/>
          <w:sz w:val="32"/>
          <w:szCs w:val="32"/>
          <w:lang w:val="en-US" w:eastAsia="zh-CN"/>
        </w:rPr>
        <w:t>划</w:t>
      </w:r>
      <w:r>
        <w:rPr>
          <w:rFonts w:hint="eastAsia" w:ascii="仿宋_GB2312" w:hAnsi="华文仿宋" w:eastAsia="仿宋_GB2312" w:cs="Times New Roman"/>
          <w:sz w:val="32"/>
          <w:szCs w:val="32"/>
        </w:rPr>
        <w:t>分，</w:t>
      </w:r>
      <w:r>
        <w:rPr>
          <w:rFonts w:hint="eastAsia" w:ascii="仿宋_GB2312" w:hAnsi="华文仿宋" w:eastAsia="仿宋_GB2312" w:cs="Times New Roman"/>
          <w:sz w:val="32"/>
          <w:szCs w:val="32"/>
          <w:lang w:val="en-US" w:eastAsia="zh-CN"/>
        </w:rPr>
        <w:t>我</w:t>
      </w:r>
      <w:r>
        <w:rPr>
          <w:rFonts w:hint="eastAsia" w:ascii="仿宋_GB2312" w:hAnsi="华文仿宋" w:eastAsia="仿宋_GB2312" w:cs="Times New Roman"/>
          <w:sz w:val="32"/>
          <w:szCs w:val="32"/>
        </w:rPr>
        <w:t>区</w:t>
      </w:r>
      <w:r>
        <w:rPr>
          <w:rFonts w:hint="eastAsia" w:ascii="仿宋_GB2312" w:hAnsi="华文仿宋" w:eastAsia="仿宋_GB2312" w:cs="Times New Roman"/>
          <w:sz w:val="32"/>
          <w:szCs w:val="32"/>
          <w:lang w:val="en-US" w:eastAsia="zh-CN"/>
        </w:rPr>
        <w:t>任务为2285</w:t>
      </w:r>
      <w:r>
        <w:rPr>
          <w:rFonts w:hint="eastAsia" w:ascii="仿宋_GB2312" w:hAnsi="华文仿宋" w:eastAsia="仿宋_GB2312" w:cs="Times New Roman"/>
          <w:sz w:val="32"/>
          <w:szCs w:val="32"/>
        </w:rPr>
        <w:t>套</w:t>
      </w:r>
      <w:r>
        <w:rPr>
          <w:rFonts w:hint="eastAsia" w:ascii="仿宋_GB2312" w:hAnsi="华文仿宋" w:eastAsia="仿宋_GB2312" w:cs="Times New Roman"/>
          <w:sz w:val="32"/>
          <w:szCs w:val="32"/>
          <w:lang w:eastAsia="zh-CN"/>
        </w:rPr>
        <w:t>。</w:t>
      </w:r>
    </w:p>
    <w:p>
      <w:pPr>
        <w:snapToGrid w:val="0"/>
        <w:spacing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供应标准：一是对社会公开配租配售的项目，以发布配租配售通告为准；二是对未发布配租配售通告且由住房保障部门分配的项目，公共租赁住房以签订租赁合同（协议）为准，安居型商品房以签订买卖合同为准；三是企事业单位自行建设筹集、分配的项目，以分配结果报住房保障部门备案为准；四是拆迁安置房项目以签订拆迁安置协议或发布通告为准。</w:t>
      </w:r>
    </w:p>
    <w:p>
      <w:pPr>
        <w:overflowPunct w:val="0"/>
        <w:snapToGrid w:val="0"/>
        <w:spacing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合理确定年度住房供应结构，原则上各区应提供一定比例的房源面向轮候家庭公开配租。对房源供应紧张的区，应加大住房租赁补贴发放力度。各区制定的住房租赁补贴发放政策经市住房保障部门批准实施。</w:t>
      </w:r>
    </w:p>
    <w:p>
      <w:pPr>
        <w:overflowPunct w:val="0"/>
        <w:snapToGrid w:val="0"/>
        <w:spacing w:line="560" w:lineRule="exact"/>
        <w:ind w:firstLine="640" w:firstLineChars="200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  <w:lang w:val="en-US" w:eastAsia="zh-CN"/>
        </w:rPr>
        <w:t>四</w:t>
      </w:r>
      <w:r>
        <w:rPr>
          <w:rFonts w:hint="eastAsia" w:ascii="黑体" w:hAnsi="黑体" w:eastAsia="黑体"/>
          <w:bCs/>
          <w:sz w:val="32"/>
          <w:szCs w:val="32"/>
        </w:rPr>
        <w:t>、货币补贴</w:t>
      </w:r>
    </w:p>
    <w:p>
      <w:pPr>
        <w:overflowPunct w:val="0"/>
        <w:snapToGrid w:val="0"/>
        <w:spacing w:line="560" w:lineRule="exact"/>
        <w:ind w:firstLine="640" w:firstLineChars="200"/>
        <w:rPr>
          <w:rFonts w:hint="eastAsia" w:ascii="仿宋_GB2312" w:hAnsi="华文仿宋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华文仿宋" w:eastAsia="仿宋_GB2312" w:cs="Times New Roman"/>
          <w:sz w:val="32"/>
          <w:szCs w:val="32"/>
        </w:rPr>
        <w:t>对符合条件的低保及低保边缘住房困难家庭，按规定发放住房货币补贴，继续实现应保尽保。</w:t>
      </w:r>
      <w:r>
        <w:rPr>
          <w:rFonts w:hint="eastAsia" w:ascii="仿宋_GB2312" w:hAnsi="华文仿宋" w:eastAsia="仿宋_GB2312" w:cs="Times New Roman"/>
          <w:sz w:val="32"/>
          <w:szCs w:val="32"/>
          <w:lang w:val="en-US" w:eastAsia="zh-CN"/>
        </w:rPr>
        <w:t>我区2020年计划发放补贴户数合计15户，其中面向低保（低保边缘）家庭发放户数15户。</w:t>
      </w:r>
    </w:p>
    <w:p>
      <w:pPr>
        <w:overflowPunct w:val="0"/>
        <w:snapToGrid w:val="0"/>
        <w:spacing w:line="560" w:lineRule="exact"/>
        <w:ind w:firstLine="640" w:firstLineChars="200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  <w:lang w:val="en-US" w:eastAsia="zh-CN"/>
        </w:rPr>
        <w:t>五</w:t>
      </w:r>
      <w:r>
        <w:rPr>
          <w:rFonts w:hint="eastAsia" w:ascii="黑体" w:hAnsi="黑体" w:eastAsia="黑体"/>
          <w:bCs/>
          <w:sz w:val="32"/>
          <w:szCs w:val="32"/>
        </w:rPr>
        <w:t>、完善配套设施建设</w:t>
      </w:r>
    </w:p>
    <w:p>
      <w:pPr>
        <w:overflowPunct w:val="0"/>
        <w:snapToGrid w:val="0"/>
        <w:spacing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华文仿宋" w:eastAsia="仿宋_GB2312" w:cs="Times New Roman"/>
          <w:sz w:val="32"/>
          <w:szCs w:val="32"/>
        </w:rPr>
        <w:t>对于列入本年度实施计划中的基本建成（含竣工）及供应项目，</w:t>
      </w:r>
      <w:r>
        <w:rPr>
          <w:rFonts w:hint="eastAsia" w:ascii="仿宋_GB2312" w:hAnsi="华文仿宋" w:eastAsia="仿宋_GB2312" w:cs="Times New Roman"/>
          <w:sz w:val="32"/>
          <w:szCs w:val="32"/>
          <w:lang w:val="en-US" w:eastAsia="zh-CN"/>
        </w:rPr>
        <w:t>我</w:t>
      </w:r>
      <w:r>
        <w:rPr>
          <w:rFonts w:hint="eastAsia" w:ascii="仿宋_GB2312" w:hAnsi="华文仿宋" w:eastAsia="仿宋_GB2312" w:cs="Times New Roman"/>
          <w:sz w:val="32"/>
          <w:szCs w:val="32"/>
        </w:rPr>
        <w:t>区</w:t>
      </w:r>
      <w:r>
        <w:rPr>
          <w:rFonts w:hint="eastAsia" w:ascii="仿宋_GB2312" w:hAnsi="华文仿宋" w:eastAsia="仿宋_GB2312" w:cs="Times New Roman"/>
          <w:sz w:val="32"/>
          <w:szCs w:val="32"/>
          <w:lang w:val="en-US" w:eastAsia="zh-CN"/>
        </w:rPr>
        <w:t>将</w:t>
      </w:r>
      <w:r>
        <w:rPr>
          <w:rFonts w:hint="eastAsia" w:ascii="仿宋_GB2312" w:hAnsi="华文仿宋" w:eastAsia="仿宋_GB2312" w:cs="Times New Roman"/>
          <w:sz w:val="32"/>
          <w:szCs w:val="32"/>
        </w:rPr>
        <w:t>在第一季度完成配套设施建设情况调查、制定配套设施与安居工程项目同步交付使用计划。重点推进存在问题项目的基础设施、公共服务与公共交通设施建设，重点督办项目水、电、气、路等市政配套及公交等一旦入住就必要具备并启用的配套设施，逐步推进项目教育、文体、医疗、商业等配套设施完善。</w:t>
      </w:r>
    </w:p>
    <w:p>
      <w:pPr>
        <w:overflowPunct w:val="0"/>
        <w:snapToGrid w:val="0"/>
        <w:spacing w:line="560" w:lineRule="exact"/>
        <w:ind w:firstLine="640" w:firstLineChars="200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六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、继续完善公共住房基础信息平台建设，打造智慧安居</w:t>
      </w:r>
    </w:p>
    <w:p>
      <w:pPr>
        <w:overflowPunct w:val="0"/>
        <w:snapToGrid w:val="0"/>
        <w:spacing w:line="560" w:lineRule="exact"/>
        <w:ind w:firstLine="640" w:firstLineChars="200"/>
        <w:rPr>
          <w:rFonts w:hint="eastAsia" w:ascii="仿宋_GB2312" w:hAnsi="宋体" w:eastAsia="仿宋_GB2312"/>
          <w:sz w:val="32"/>
          <w:szCs w:val="32"/>
          <w:lang w:eastAsia="zh-CN"/>
        </w:rPr>
      </w:pPr>
      <w:r>
        <w:rPr>
          <w:rFonts w:hint="eastAsia" w:ascii="仿宋_GB2312" w:hAnsi="华文仿宋" w:eastAsia="仿宋_GB2312" w:cs="Times New Roman"/>
          <w:sz w:val="32"/>
          <w:szCs w:val="32"/>
        </w:rPr>
        <w:t>基于住建局、规资局、政法委网格办等的房屋数据基础上，打通公共住房基础信息平台、住房租赁服务监管平台、房地产信息平台，进行科学分析和有效监管。继续完善公共住房基础信息平台统计、跟踪功能，督促建设单位和各监管单位及时准确填报项目信息，加强安居工程项目信息化管理力度。梳理往年已安排建设安居工程项目进展情况，针对部分项目进展缓慢的原因，进一步完善项目管理的体制机制。</w:t>
      </w:r>
    </w:p>
    <w:p>
      <w:pPr>
        <w:snapToGrid w:val="0"/>
        <w:spacing w:line="560" w:lineRule="exact"/>
        <w:ind w:firstLine="640" w:firstLineChars="200"/>
        <w:rPr>
          <w:rFonts w:hint="eastAsia" w:ascii="黑体" w:hAnsi="华文仿宋" w:eastAsia="黑体"/>
          <w:sz w:val="32"/>
          <w:szCs w:val="32"/>
        </w:rPr>
      </w:pPr>
      <w:r>
        <w:rPr>
          <w:rFonts w:hint="eastAsia" w:ascii="黑体" w:hAnsi="华文仿宋" w:eastAsia="黑体"/>
          <w:sz w:val="32"/>
          <w:szCs w:val="32"/>
          <w:lang w:val="en-US" w:eastAsia="zh-CN"/>
        </w:rPr>
        <w:t>七</w:t>
      </w:r>
      <w:r>
        <w:rPr>
          <w:rFonts w:hint="eastAsia" w:ascii="黑体" w:hAnsi="华文仿宋" w:eastAsia="黑体"/>
          <w:sz w:val="32"/>
          <w:szCs w:val="32"/>
        </w:rPr>
        <w:t>、实施解释</w:t>
      </w:r>
    </w:p>
    <w:p>
      <w:pPr>
        <w:spacing w:line="560" w:lineRule="exact"/>
        <w:ind w:firstLine="640" w:firstLineChars="200"/>
        <w:rPr>
          <w:rFonts w:ascii="仿宋_GB2312" w:hAnsi="华文仿宋" w:eastAsia="仿宋_GB2312"/>
          <w:sz w:val="32"/>
          <w:szCs w:val="32"/>
        </w:rPr>
      </w:pPr>
      <w:r>
        <w:rPr>
          <w:rFonts w:hint="eastAsia" w:ascii="仿宋_GB2312" w:hAnsi="华文仿宋" w:eastAsia="仿宋_GB2312"/>
          <w:sz w:val="32"/>
          <w:szCs w:val="32"/>
        </w:rPr>
        <w:t>本计划自批准之日起生效，由</w:t>
      </w:r>
      <w:r>
        <w:rPr>
          <w:rFonts w:hint="eastAsia" w:ascii="仿宋_GB2312" w:hAnsi="华文仿宋" w:eastAsia="仿宋_GB2312"/>
          <w:sz w:val="32"/>
          <w:szCs w:val="32"/>
          <w:lang w:val="en-US" w:eastAsia="zh-CN"/>
        </w:rPr>
        <w:t>深圳市</w:t>
      </w:r>
      <w:r>
        <w:rPr>
          <w:rFonts w:hint="eastAsia" w:ascii="仿宋_GB2312" w:hAnsi="华文仿宋" w:eastAsia="仿宋_GB2312"/>
          <w:sz w:val="32"/>
          <w:szCs w:val="32"/>
        </w:rPr>
        <w:t>坪山区</w:t>
      </w:r>
      <w:r>
        <w:rPr>
          <w:rFonts w:hint="eastAsia" w:ascii="仿宋_GB2312" w:hAnsi="华文仿宋" w:eastAsia="仿宋_GB2312"/>
          <w:sz w:val="32"/>
          <w:szCs w:val="32"/>
          <w:lang w:eastAsia="zh-CN"/>
        </w:rPr>
        <w:t>住房保障中心</w:t>
      </w:r>
      <w:r>
        <w:rPr>
          <w:rFonts w:hint="eastAsia" w:ascii="仿宋_GB2312" w:hAnsi="华文仿宋" w:eastAsia="仿宋_GB2312"/>
          <w:sz w:val="32"/>
          <w:szCs w:val="32"/>
        </w:rPr>
        <w:t>负责解释。</w:t>
      </w:r>
    </w:p>
    <w:p>
      <w:pPr>
        <w:spacing w:line="560" w:lineRule="exact"/>
      </w:pPr>
    </w:p>
    <w:p>
      <w:pPr>
        <w:spacing w:line="560" w:lineRule="exact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420" w:rightChars="200"/>
        <w:jc w:val="right"/>
        <w:textAlignment w:val="auto"/>
        <w:outlineLvl w:val="9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/>
        </w:rPr>
        <w:t xml:space="preserve">                                    </w:t>
      </w:r>
      <w:r>
        <w:rPr>
          <w:rFonts w:hint="eastAsia" w:ascii="仿宋_GB2312" w:eastAsia="仿宋_GB2312"/>
          <w:sz w:val="32"/>
          <w:szCs w:val="32"/>
        </w:rPr>
        <w:t>深圳市坪山区</w:t>
      </w:r>
      <w:r>
        <w:rPr>
          <w:rFonts w:hint="eastAsia" w:ascii="仿宋_GB2312" w:eastAsia="仿宋_GB2312"/>
          <w:sz w:val="32"/>
          <w:szCs w:val="32"/>
          <w:lang w:eastAsia="zh-CN"/>
        </w:rPr>
        <w:t>住房保障中心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420" w:rightChars="200"/>
        <w:jc w:val="center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         2020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6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12</w:t>
      </w:r>
      <w:r>
        <w:rPr>
          <w:rFonts w:hint="eastAsia" w:ascii="仿宋_GB2312" w:eastAsia="仿宋_GB2312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right="420" w:rightChars="200"/>
        <w:jc w:val="right"/>
        <w:textAlignment w:val="auto"/>
        <w:outlineLvl w:val="9"/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2109D5"/>
    <w:rsid w:val="0B2109D5"/>
    <w:rsid w:val="2C6A791C"/>
    <w:rsid w:val="34CA7B5A"/>
    <w:rsid w:val="4D27717C"/>
    <w:rsid w:val="4D8100AF"/>
    <w:rsid w:val="536F0B2F"/>
    <w:rsid w:val="53B8563B"/>
    <w:rsid w:val="59D053BB"/>
    <w:rsid w:val="607E1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2020-12-19T02:59:00Z</dcterms:created>
  <dc:creator>廖思扬</dc:creator>
  <cp:lastModifiedBy>发文</cp:lastModifiedBy>
  <dcterms:modified xsi:type="dcterms:W3CDTF">2020-12-23T10:31:13Z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