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坪山区建设工程承包商（监理）履约评分标准表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10"/>
        <w:gridCol w:w="1027"/>
        <w:gridCol w:w="751"/>
        <w:gridCol w:w="1071"/>
        <w:gridCol w:w="1078"/>
        <w:gridCol w:w="1484"/>
        <w:gridCol w:w="711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评价形式</w:t>
            </w:r>
          </w:p>
        </w:tc>
        <w:tc>
          <w:tcPr>
            <w:tcW w:w="6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10" w:firstLineChars="100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工程名称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承包商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总得分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评价等级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□良好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建设单位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评价时间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容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满分分值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扣分标准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机构人员配备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项目总监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与投标承诺或者合同是否一致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是否有常驻现场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是否称职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是否有未经批准擅自更换项目总监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其他监理人员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与投标承诺或者合同是否相符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到位是否良好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专业、数量是否满足监理工作的实际要求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是否具有相应的监理工作能力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是否保持相对稳定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调整变更是否有得到建设单位的认可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是否有未履行相关手续擅自调整更换监理人员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是否有仅在项目挂名不实际履行职责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监理质量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施工准备阶段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是否有认真主动地配合建设单位完成施工准备阶段各项监理工作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工程质量控制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16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制定了针对合同项目的完善的监理方案，并严格执行的，不扣分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制定了针对合同项目的完善的监理方案，基本能按方案执行的，扣</w:t>
            </w: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未制定针对合同项目的完善的监理方案的，扣1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是否及时组织各项、各阶段工程验收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安全文明生产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16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未制定针对合同项目的安全文明施工制度，扣4分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监理工程师是否有严格地依照有关法律、法规对施工安全实施有效监理并承担监理责任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是否有督促施工企业落实安全生产、文明施工措施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对违规施工以及安全隐患是否有采取有效措施制止、纠正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工程投资控制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是否有合理控制工程投资成本和主动提出优化节约方案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工程计量、变更签证、预结算和工程款支付审核是否准确、实事求是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工程合同管理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是否有及时公正地按照监理合同及监理规范的要求执行工程变更、工程延期、费用索赔、工程分包、争端仲裁和确认承包人违约等有关合同管理的工作内容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检验设备配置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是否有按投标承诺或者合同配置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是否满足工程监理需求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进度控制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工期控制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是否有主动控制工程的各阶段工期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是否有监理单位原因导致实际工期超过合同工期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配合与服务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Cs w:val="21"/>
              </w:rPr>
              <w:t>20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竣工移交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监理资料是否齐全、规范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是否能够按合同要求办理工程竣工移交手续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11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配合情况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是否能够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按合同约定</w:t>
            </w:r>
            <w:r>
              <w:rPr>
                <w:rFonts w:hint="eastAsia" w:ascii="宋体" w:hAnsi="宋体" w:eastAsia="宋体" w:cs="Times New Roman"/>
                <w:szCs w:val="21"/>
              </w:rPr>
              <w:t>配合建设单位及其他相关部门的工作和依法推动施工单位的工作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12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诚信情况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是否有在没有得到相应许可的情况下，对外公开涉及任何机密资料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是否有串通相关单位弄虚作假现象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是否有对违法违规行为隐瞒不报情况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213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7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注：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、工程建设单位可结合其工程特点和具体要求，增加和量化具体评分指标（仅限于二级指标的内容、分值、权重，一级指标项及分值、权重不得调整），制定评分表，并按百分制将分项分值进行折算调整。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</w:rPr>
              <w:t xml:space="preserve">0.5 </w:t>
            </w:r>
            <w:r>
              <w:rPr>
                <w:rFonts w:hint="eastAsia" w:ascii="宋体" w:hAnsi="宋体" w:eastAsia="宋体" w:cs="Times New Roman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评价人签字：</w:t>
            </w:r>
          </w:p>
          <w:p>
            <w:pPr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7B89"/>
    <w:rsid w:val="7B0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2020-11-03T08:38:00Z</dcterms:created>
  <dc:creator>Ada</dc:creator>
  <cp:lastModifiedBy>Ada</cp:lastModifiedBy>
  <dcterms:modified xsi:type="dcterms:W3CDTF">2020-11-03T08:39:07Z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