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坪山区建设工程承包商（监理）履约评分标准表</w:t>
      </w:r>
    </w:p>
    <w:tbl>
      <w:tblPr>
        <w:tblStyle w:val="4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1110"/>
        <w:gridCol w:w="1027"/>
        <w:gridCol w:w="751"/>
        <w:gridCol w:w="1071"/>
        <w:gridCol w:w="1078"/>
        <w:gridCol w:w="1484"/>
        <w:gridCol w:w="711"/>
        <w:gridCol w:w="7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评价形式</w:t>
            </w:r>
          </w:p>
        </w:tc>
        <w:tc>
          <w:tcPr>
            <w:tcW w:w="68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ind w:firstLine="210" w:firstLineChars="100"/>
              <w:rPr>
                <w:rFonts w:ascii="宋体" w:hAnsi="宋体" w:eastAsia="宋体" w:cs="宋体"/>
                <w:b/>
                <w:bCs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□单项工程定期履约评价</w:t>
            </w:r>
            <w:r>
              <w:rPr>
                <w:rFonts w:ascii="宋体" w:hAnsi="宋体" w:eastAsia="宋体" w:cs="Times New Roman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Cs w:val="21"/>
              </w:rPr>
              <w:t>□单项工程最终履约评价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工程名称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承包商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总得分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评价等级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□优秀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□良好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 xml:space="preserve">  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一般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□不合格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建设单位</w:t>
            </w:r>
          </w:p>
        </w:tc>
        <w:tc>
          <w:tcPr>
            <w:tcW w:w="2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评价时间</w:t>
            </w:r>
          </w:p>
        </w:tc>
        <w:tc>
          <w:tcPr>
            <w:tcW w:w="2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序号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容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满分分值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评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价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标</w:t>
            </w: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扣分标准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一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szCs w:val="24"/>
              </w:rPr>
              <w:t>机构人员配备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15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项目总监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7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与投标承诺或者合同是否一致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是否有常驻现场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是否称职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是否有未经批准擅自更换项目总监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其他监理人员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与投标承诺或者合同是否相符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到位是否良好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专业、数量是否满足监理工作的实际要求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是否具有相应的监理工作能力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是否保持相对稳定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调整变更是否有得到建设单位的认可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是否有未履行相关手续擅自调整更换监理人员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是否有仅在项目挂名不实际履行职责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二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监理质量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55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施工准备阶段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是否有认真主动地配合建设单位完成施工准备阶段各项监理工作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4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工程质量控制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制定了针对合同项目的完善的监理方案，并严格执行的，不扣分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制定了针对合同项目的完善的监理方案，基本能按方案执行的，扣</w:t>
            </w:r>
            <w:r>
              <w:rPr>
                <w:rFonts w:ascii="宋体" w:hAnsi="宋体" w:eastAsia="宋体" w:cs="Times New Roman"/>
                <w:szCs w:val="21"/>
              </w:rPr>
              <w:t>6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未制定针对合同项目的完善的监理方案的，扣1</w:t>
            </w: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是否及时组织各项、各阶段工程验收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5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安全文明生产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16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未制定针对合同项目的安全文明施工制度，扣4分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监理工程师是否有严格地依照有关法律、法规对施工安全实施有效监理并承担监理责任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是否有督促施工企业落实安全生产、文明施工措施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对违规施工以及安全隐患是否有采取有效措施制止、纠正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6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工程投资控制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是否有合理控制工程投资成本和主动提出优化节约方案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工程计量、变更签证、预结算和工程款支付审核是否准确、实事求是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7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工程合同管理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是否有及时公正地按照监理合同及监理规范的要求执行工程变更、工程延期、费用索赔、工程分包、争端仲裁和确认承包人违约等有关合同管理的工作内容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8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检验设备配置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是否有按投标承诺或者合同配置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是否满足工程监理需求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三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进度控制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9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工期控制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是否有主动控制工程的各阶段工期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是否有监理单位原因导致实际工期超过合同工期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5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四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Times New Roman"/>
                <w:sz w:val="24"/>
                <w:szCs w:val="24"/>
              </w:rPr>
              <w:t>配合与服务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Cs w:val="21"/>
              </w:rPr>
              <w:t>20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竣工移交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6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监理资料是否齐全、规范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是否能够按合同要求办理工程竣工移交手续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11</w:t>
            </w:r>
          </w:p>
        </w:tc>
        <w:tc>
          <w:tcPr>
            <w:tcW w:w="21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配合情况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是否能够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按合同约定</w:t>
            </w:r>
            <w:r>
              <w:rPr>
                <w:rFonts w:hint="eastAsia" w:ascii="宋体" w:hAnsi="宋体" w:eastAsia="宋体" w:cs="Times New Roman"/>
                <w:szCs w:val="21"/>
              </w:rPr>
              <w:t>配合建设单位及其他相关部门的工作和依法推动施工单位的工作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12</w:t>
            </w: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诚信情况</w:t>
            </w:r>
          </w:p>
        </w:tc>
        <w:tc>
          <w:tcPr>
            <w:tcW w:w="7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10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是否有在没有得到相应许可的情况下，对外公开涉及任何机密资料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是否有串通相关单位弄虚作假现象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是否有对违法违规行为隐瞒不报情况</w:t>
            </w: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4</w:t>
            </w: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80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13</w:t>
            </w:r>
          </w:p>
        </w:tc>
        <w:tc>
          <w:tcPr>
            <w:tcW w:w="2137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合计</w:t>
            </w:r>
          </w:p>
        </w:tc>
        <w:tc>
          <w:tcPr>
            <w:tcW w:w="751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363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注：</w:t>
            </w:r>
            <w:r>
              <w:rPr>
                <w:rFonts w:ascii="宋体" w:hAnsi="宋体" w:eastAsia="宋体" w:cs="Times New Roman"/>
                <w:szCs w:val="21"/>
              </w:rPr>
              <w:t>1</w:t>
            </w:r>
            <w:r>
              <w:rPr>
                <w:rFonts w:hint="eastAsia" w:ascii="宋体" w:hAnsi="宋体" w:eastAsia="宋体" w:cs="Times New Roman"/>
                <w:szCs w:val="21"/>
              </w:rPr>
              <w:t>、工程建设单位可结合其工程特点和具体要求，增加和量化具体评分指标（仅限于二级指标的内容、分值、权重，一级指标项及分值、权重不得调整），制定评分表，并按百分制将分项分值进行折算调整。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ascii="宋体" w:hAnsi="宋体" w:eastAsia="宋体" w:cs="Times New Roman"/>
                <w:szCs w:val="21"/>
              </w:rPr>
              <w:t>2</w:t>
            </w:r>
            <w:r>
              <w:rPr>
                <w:rFonts w:hint="eastAsia" w:ascii="宋体" w:hAnsi="宋体" w:eastAsia="宋体" w:cs="Times New Roman"/>
                <w:szCs w:val="21"/>
              </w:rPr>
              <w:t>、规定的评分指标中，招标文件或者合同无委托实施的内容，或者在定期履约评价时尚不具备评价条件的，不计入评分，对总得分按百分制进行折算。</w:t>
            </w:r>
          </w:p>
          <w:p>
            <w:pPr>
              <w:widowControl/>
              <w:ind w:firstLine="420" w:firstLineChars="2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Times New Roman"/>
                <w:szCs w:val="21"/>
              </w:rPr>
              <w:t>3</w:t>
            </w:r>
            <w:r>
              <w:rPr>
                <w:rFonts w:hint="eastAsia" w:ascii="宋体" w:hAnsi="宋体" w:eastAsia="宋体" w:cs="Times New Roman"/>
                <w:szCs w:val="21"/>
              </w:rPr>
              <w:t>、每一评价指标的量化分值为最高分，建设单位可根据承包商的履约情况在最高分基础上扣分，扣分精确至</w:t>
            </w:r>
            <w:r>
              <w:rPr>
                <w:rFonts w:ascii="宋体" w:hAnsi="宋体" w:eastAsia="宋体" w:cs="Times New Roman"/>
                <w:szCs w:val="21"/>
              </w:rPr>
              <w:t xml:space="preserve">0.5 </w:t>
            </w:r>
            <w:r>
              <w:rPr>
                <w:rFonts w:hint="eastAsia" w:ascii="宋体" w:hAnsi="宋体" w:eastAsia="宋体" w:cs="Times New Roman"/>
                <w:szCs w:val="21"/>
              </w:rPr>
              <w:t>分。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522" w:type="dxa"/>
            <w:gridSpan w:val="9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评价人签字：</w:t>
            </w:r>
          </w:p>
          <w:p>
            <w:pPr>
              <w:ind w:firstLine="6930" w:firstLineChars="3300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年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月</w:t>
            </w:r>
            <w:r>
              <w:rPr>
                <w:rFonts w:ascii="宋体" w:hAnsi="宋体" w:eastAsia="宋体" w:cs="Times New Roman"/>
                <w:szCs w:val="21"/>
              </w:rPr>
              <w:t xml:space="preserve">  </w:t>
            </w:r>
            <w:r>
              <w:rPr>
                <w:rFonts w:hint="eastAsia" w:ascii="宋体" w:hAnsi="宋体" w:eastAsia="宋体" w:cs="Times New Roman"/>
                <w:szCs w:val="21"/>
              </w:rPr>
              <w:t>日</w:t>
            </w:r>
          </w:p>
        </w:tc>
      </w:tr>
    </w:tbl>
    <w:p>
      <w:pPr>
        <w:rPr>
          <w:rFonts w:ascii="宋体" w:hAnsi="宋体"/>
          <w:szCs w:val="21"/>
        </w:rPr>
      </w:pPr>
    </w:p>
    <w:p>
      <w:pPr>
        <w:rPr>
          <w:rFonts w:ascii="宋体" w:hAnsi="宋体"/>
          <w:szCs w:val="21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37B89"/>
    <w:rsid w:val="7B03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2020-11-03T08:38:00Z</dcterms:created>
  <dc:creator>Ada</dc:creator>
  <cp:lastModifiedBy>Ada</cp:lastModifiedBy>
  <dcterms:modified xsi:type="dcterms:W3CDTF">2020-11-03T08:39:07Z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