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sz w:val="28"/>
          <w:szCs w:val="28"/>
        </w:rPr>
      </w:pPr>
      <w:r>
        <w:rPr>
          <w:rFonts w:hint="eastAsia" w:ascii="黑体" w:hAnsi="黑体" w:eastAsia="黑体" w:cs="黑体"/>
          <w:sz w:val="32"/>
          <w:szCs w:val="32"/>
        </w:rPr>
        <w:t>附件</w:t>
      </w:r>
      <w:r>
        <w:rPr>
          <w:rFonts w:ascii="黑体" w:hAnsi="黑体" w:eastAsia="黑体" w:cs="黑体"/>
          <w:sz w:val="32"/>
          <w:szCs w:val="32"/>
        </w:rPr>
        <w:t>2</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坪山区建设工程承包商（勘察）履约评分标准表</w:t>
      </w:r>
    </w:p>
    <w:tbl>
      <w:tblPr>
        <w:tblStyle w:val="4"/>
        <w:tblW w:w="8522" w:type="dxa"/>
        <w:tblInd w:w="0" w:type="dxa"/>
        <w:tblLayout w:type="fixed"/>
        <w:tblCellMar>
          <w:top w:w="0" w:type="dxa"/>
          <w:left w:w="108" w:type="dxa"/>
          <w:bottom w:w="0" w:type="dxa"/>
          <w:right w:w="108" w:type="dxa"/>
        </w:tblCellMar>
      </w:tblPr>
      <w:tblGrid>
        <w:gridCol w:w="580"/>
        <w:gridCol w:w="1110"/>
        <w:gridCol w:w="579"/>
        <w:gridCol w:w="711"/>
        <w:gridCol w:w="1559"/>
        <w:gridCol w:w="857"/>
        <w:gridCol w:w="221"/>
        <w:gridCol w:w="2195"/>
        <w:gridCol w:w="710"/>
      </w:tblGrid>
      <w:tr>
        <w:tblPrEx>
          <w:tblLayout w:type="fixed"/>
          <w:tblCellMar>
            <w:top w:w="0" w:type="dxa"/>
            <w:left w:w="108" w:type="dxa"/>
            <w:bottom w:w="0" w:type="dxa"/>
            <w:right w:w="108" w:type="dxa"/>
          </w:tblCellMar>
        </w:tblPrEx>
        <w:trPr>
          <w:trHeight w:val="525" w:hRule="atLeast"/>
        </w:trPr>
        <w:tc>
          <w:tcPr>
            <w:tcW w:w="16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44"/>
                <w:szCs w:val="44"/>
              </w:rPr>
            </w:pPr>
            <w:r>
              <w:rPr>
                <w:rFonts w:hint="eastAsia" w:ascii="宋体" w:hAnsi="宋体" w:eastAsia="宋体" w:cs="宋体"/>
                <w:kern w:val="0"/>
                <w:szCs w:val="21"/>
              </w:rPr>
              <w:t>评价形式</w:t>
            </w:r>
          </w:p>
        </w:tc>
        <w:tc>
          <w:tcPr>
            <w:tcW w:w="6832" w:type="dxa"/>
            <w:gridSpan w:val="7"/>
            <w:tcBorders>
              <w:top w:val="single" w:color="auto" w:sz="4" w:space="0"/>
              <w:left w:val="single" w:color="auto" w:sz="4" w:space="0"/>
              <w:bottom w:val="single" w:color="auto" w:sz="4" w:space="0"/>
              <w:right w:val="single" w:color="auto" w:sz="4" w:space="0"/>
            </w:tcBorders>
            <w:vAlign w:val="center"/>
          </w:tcPr>
          <w:p>
            <w:pPr>
              <w:widowControl/>
              <w:ind w:firstLine="210" w:firstLineChars="100"/>
              <w:jc w:val="center"/>
              <w:rPr>
                <w:rFonts w:ascii="宋体" w:hAnsi="宋体" w:eastAsia="宋体" w:cs="宋体"/>
                <w:b/>
                <w:bCs/>
                <w:kern w:val="0"/>
                <w:sz w:val="44"/>
                <w:szCs w:val="44"/>
              </w:rPr>
            </w:pPr>
            <w:r>
              <w:rPr>
                <w:rFonts w:hint="eastAsia" w:ascii="宋体" w:hAnsi="宋体" w:eastAsia="宋体" w:cs="Times New Roman"/>
                <w:szCs w:val="21"/>
              </w:rPr>
              <w:t>□单项工程定期履约评价</w:t>
            </w:r>
            <w:r>
              <w:rPr>
                <w:rFonts w:ascii="宋体" w:hAnsi="宋体" w:eastAsia="宋体" w:cs="Times New Roman"/>
                <w:szCs w:val="21"/>
              </w:rPr>
              <w:t xml:space="preserve">    </w:t>
            </w:r>
            <w:r>
              <w:rPr>
                <w:rFonts w:hint="eastAsia" w:ascii="宋体" w:hAnsi="宋体" w:eastAsia="宋体" w:cs="Times New Roman"/>
                <w:szCs w:val="21"/>
              </w:rPr>
              <w:t>□单项工程最终履约评价</w:t>
            </w:r>
          </w:p>
        </w:tc>
      </w:tr>
      <w:tr>
        <w:tblPrEx>
          <w:tblLayout w:type="fixed"/>
          <w:tblCellMar>
            <w:top w:w="0" w:type="dxa"/>
            <w:left w:w="108" w:type="dxa"/>
            <w:bottom w:w="0" w:type="dxa"/>
            <w:right w:w="108" w:type="dxa"/>
          </w:tblCellMar>
        </w:tblPrEx>
        <w:trPr>
          <w:trHeight w:val="450" w:hRule="atLeast"/>
        </w:trPr>
        <w:tc>
          <w:tcPr>
            <w:tcW w:w="16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工程名称</w:t>
            </w:r>
          </w:p>
        </w:tc>
        <w:tc>
          <w:tcPr>
            <w:tcW w:w="284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承包商</w:t>
            </w:r>
          </w:p>
        </w:tc>
        <w:tc>
          <w:tcPr>
            <w:tcW w:w="29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450" w:hRule="atLeast"/>
        </w:trPr>
        <w:tc>
          <w:tcPr>
            <w:tcW w:w="16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总得分</w:t>
            </w:r>
          </w:p>
        </w:tc>
        <w:tc>
          <w:tcPr>
            <w:tcW w:w="284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评价等级</w:t>
            </w:r>
          </w:p>
        </w:tc>
        <w:tc>
          <w:tcPr>
            <w:tcW w:w="29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□优秀</w:t>
            </w:r>
            <w:r>
              <w:rPr>
                <w:rFonts w:ascii="宋体" w:hAnsi="宋体" w:eastAsia="宋体" w:cs="宋体"/>
                <w:kern w:val="0"/>
                <w:szCs w:val="21"/>
              </w:rPr>
              <w:t xml:space="preserve">  </w:t>
            </w:r>
            <w:r>
              <w:rPr>
                <w:rFonts w:hint="eastAsia" w:ascii="宋体" w:hAnsi="宋体" w:eastAsia="宋体" w:cs="宋体"/>
                <w:kern w:val="0"/>
                <w:szCs w:val="21"/>
              </w:rPr>
              <w:t>□良好</w:t>
            </w:r>
          </w:p>
          <w:p>
            <w:pPr>
              <w:widowControl/>
              <w:jc w:val="center"/>
              <w:rPr>
                <w:rFonts w:ascii="宋体" w:hAnsi="宋体" w:eastAsia="宋体" w:cs="宋体"/>
                <w:kern w:val="0"/>
                <w:szCs w:val="21"/>
              </w:rPr>
            </w:pPr>
            <w:r>
              <w:rPr>
                <w:rFonts w:ascii="宋体" w:hAnsi="宋体" w:eastAsia="宋体" w:cs="宋体"/>
                <w:kern w:val="0"/>
                <w:szCs w:val="21"/>
              </w:rPr>
              <w:t xml:space="preserve">  □</w:t>
            </w:r>
            <w:r>
              <w:rPr>
                <w:rFonts w:hint="eastAsia" w:ascii="宋体" w:hAnsi="宋体" w:eastAsia="宋体" w:cs="宋体"/>
                <w:kern w:val="0"/>
                <w:szCs w:val="21"/>
              </w:rPr>
              <w:t>一般</w:t>
            </w:r>
            <w:r>
              <w:rPr>
                <w:rFonts w:ascii="宋体" w:hAnsi="宋体" w:eastAsia="宋体" w:cs="宋体"/>
                <w:kern w:val="0"/>
                <w:szCs w:val="21"/>
              </w:rPr>
              <w:t xml:space="preserve">  </w:t>
            </w:r>
            <w:r>
              <w:rPr>
                <w:rFonts w:hint="eastAsia" w:ascii="宋体" w:hAnsi="宋体" w:eastAsia="宋体" w:cs="宋体"/>
                <w:kern w:val="0"/>
                <w:szCs w:val="21"/>
              </w:rPr>
              <w:t>□不合格</w:t>
            </w:r>
          </w:p>
        </w:tc>
      </w:tr>
      <w:tr>
        <w:tblPrEx>
          <w:tblLayout w:type="fixed"/>
          <w:tblCellMar>
            <w:top w:w="0" w:type="dxa"/>
            <w:left w:w="108" w:type="dxa"/>
            <w:bottom w:w="0" w:type="dxa"/>
            <w:right w:w="108" w:type="dxa"/>
          </w:tblCellMar>
        </w:tblPrEx>
        <w:trPr>
          <w:trHeight w:val="450" w:hRule="atLeast"/>
        </w:trPr>
        <w:tc>
          <w:tcPr>
            <w:tcW w:w="16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建设单位</w:t>
            </w:r>
          </w:p>
        </w:tc>
        <w:tc>
          <w:tcPr>
            <w:tcW w:w="284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评价时间</w:t>
            </w:r>
          </w:p>
        </w:tc>
        <w:tc>
          <w:tcPr>
            <w:tcW w:w="29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tc>
      </w:tr>
      <w:tr>
        <w:tblPrEx>
          <w:tblLayout w:type="fixed"/>
          <w:tblCellMar>
            <w:top w:w="0" w:type="dxa"/>
            <w:left w:w="108" w:type="dxa"/>
            <w:bottom w:w="0" w:type="dxa"/>
            <w:right w:w="108" w:type="dxa"/>
          </w:tblCellMar>
        </w:tblPrEx>
        <w:trPr>
          <w:trHeight w:val="570" w:hRule="atLeast"/>
        </w:trPr>
        <w:tc>
          <w:tcPr>
            <w:tcW w:w="58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序号</w:t>
            </w:r>
          </w:p>
        </w:tc>
        <w:tc>
          <w:tcPr>
            <w:tcW w:w="168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分项内容</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满分分值</w:t>
            </w:r>
          </w:p>
        </w:tc>
        <w:tc>
          <w:tcPr>
            <w:tcW w:w="241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评价标准</w:t>
            </w:r>
          </w:p>
        </w:tc>
        <w:tc>
          <w:tcPr>
            <w:tcW w:w="241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评分</w:t>
            </w:r>
            <w:r>
              <w:rPr>
                <w:rFonts w:ascii="宋体" w:hAnsi="宋体" w:eastAsia="宋体" w:cs="宋体"/>
                <w:kern w:val="0"/>
                <w:sz w:val="18"/>
                <w:szCs w:val="18"/>
              </w:rPr>
              <w:t>标准</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Layout w:type="fixed"/>
          <w:tblCellMar>
            <w:top w:w="0" w:type="dxa"/>
            <w:left w:w="108" w:type="dxa"/>
            <w:bottom w:w="0" w:type="dxa"/>
            <w:right w:w="108" w:type="dxa"/>
          </w:tblCellMar>
        </w:tblPrEx>
        <w:trPr>
          <w:trHeight w:val="299" w:hRule="atLeast"/>
        </w:trPr>
        <w:tc>
          <w:tcPr>
            <w:tcW w:w="58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黑体" w:hAnsi="黑体" w:eastAsia="黑体" w:cs="宋体"/>
                <w:kern w:val="0"/>
                <w:sz w:val="24"/>
                <w:szCs w:val="24"/>
              </w:rPr>
              <w:t>一</w:t>
            </w:r>
          </w:p>
        </w:tc>
        <w:tc>
          <w:tcPr>
            <w:tcW w:w="168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黑体" w:hAnsi="黑体" w:eastAsia="黑体" w:cs="宋体"/>
                <w:kern w:val="0"/>
                <w:sz w:val="24"/>
                <w:szCs w:val="24"/>
              </w:rPr>
              <w:t>人员设备配置</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30</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18"/>
                <w:szCs w:val="18"/>
              </w:rPr>
            </w:pP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47" w:hRule="atLeast"/>
        </w:trPr>
        <w:tc>
          <w:tcPr>
            <w:tcW w:w="580" w:type="dxa"/>
            <w:vMerge w:val="restart"/>
            <w:tcBorders>
              <w:top w:val="single" w:color="auto" w:sz="4" w:space="0"/>
              <w:left w:val="single" w:color="auto" w:sz="8"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1</w:t>
            </w:r>
          </w:p>
        </w:tc>
        <w:tc>
          <w:tcPr>
            <w:tcW w:w="1689" w:type="dxa"/>
            <w:gridSpan w:val="2"/>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eastAsia="宋体" w:cs="Times New Roman"/>
                <w:szCs w:val="21"/>
              </w:rPr>
              <w:t>主要人员</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5</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Times New Roman"/>
                <w:szCs w:val="21"/>
              </w:rPr>
              <w:t>项目负责人是否按合同到位</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Times New Roman"/>
                <w:szCs w:val="21"/>
              </w:rPr>
              <w:t>未按合同到位扣</w:t>
            </w:r>
            <w:r>
              <w:rPr>
                <w:rFonts w:ascii="宋体" w:hAnsi="宋体" w:eastAsia="宋体" w:cs="Times New Roman"/>
                <w:szCs w:val="21"/>
              </w:rPr>
              <w:t>5</w:t>
            </w:r>
            <w:r>
              <w:rPr>
                <w:rFonts w:hint="eastAsia" w:ascii="宋体" w:hAnsi="宋体" w:eastAsia="宋体" w:cs="Times New Roman"/>
                <w:szCs w:val="21"/>
              </w:rPr>
              <w:t>分。</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431" w:hRule="atLeast"/>
        </w:trPr>
        <w:tc>
          <w:tcPr>
            <w:tcW w:w="580" w:type="dxa"/>
            <w:vMerge w:val="continue"/>
            <w:tcBorders>
              <w:left w:val="single" w:color="auto" w:sz="8" w:space="0"/>
              <w:right w:val="single" w:color="auto" w:sz="4" w:space="0"/>
            </w:tcBorders>
            <w:vAlign w:val="center"/>
          </w:tcPr>
          <w:p>
            <w:pPr>
              <w:widowControl/>
              <w:jc w:val="center"/>
              <w:rPr>
                <w:rFonts w:ascii="黑体" w:hAnsi="黑体" w:eastAsia="黑体" w:cs="宋体"/>
                <w:kern w:val="0"/>
                <w:szCs w:val="21"/>
              </w:rPr>
            </w:pPr>
          </w:p>
        </w:tc>
        <w:tc>
          <w:tcPr>
            <w:tcW w:w="1689" w:type="dxa"/>
            <w:gridSpan w:val="2"/>
            <w:vMerge w:val="continue"/>
            <w:tcBorders>
              <w:left w:val="nil"/>
              <w:right w:val="single" w:color="auto" w:sz="4" w:space="0"/>
            </w:tcBorders>
            <w:vAlign w:val="center"/>
          </w:tcPr>
          <w:p>
            <w:pPr>
              <w:widowControl/>
              <w:jc w:val="center"/>
              <w:rPr>
                <w:rFonts w:ascii="黑体" w:hAnsi="黑体" w:eastAsia="黑体" w:cs="宋体"/>
                <w:kern w:val="0"/>
                <w:szCs w:val="21"/>
              </w:rPr>
            </w:pP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10</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Times New Roman"/>
                <w:szCs w:val="21"/>
              </w:rPr>
              <w:t>项目技术负责人以及记录员、安全员、机长等技术人员是否按合同到位</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Times New Roman"/>
                <w:szCs w:val="21"/>
              </w:rPr>
              <w:t>项目技术负责人、技术人员未按合同到位，擅自更换人员，每人次扣</w:t>
            </w:r>
            <w:r>
              <w:rPr>
                <w:rFonts w:ascii="宋体" w:hAnsi="宋体" w:eastAsia="宋体" w:cs="Times New Roman"/>
                <w:szCs w:val="21"/>
              </w:rPr>
              <w:t>3-5</w:t>
            </w:r>
            <w:r>
              <w:rPr>
                <w:rFonts w:hint="eastAsia" w:ascii="宋体" w:hAnsi="宋体" w:eastAsia="宋体" w:cs="Times New Roman"/>
                <w:szCs w:val="21"/>
              </w:rPr>
              <w:t>分，扣完为止。</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431" w:hRule="atLeast"/>
        </w:trPr>
        <w:tc>
          <w:tcPr>
            <w:tcW w:w="580" w:type="dxa"/>
            <w:vMerge w:val="continue"/>
            <w:tcBorders>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p>
        </w:tc>
        <w:tc>
          <w:tcPr>
            <w:tcW w:w="1689" w:type="dxa"/>
            <w:gridSpan w:val="2"/>
            <w:vMerge w:val="continue"/>
            <w:tcBorders>
              <w:left w:val="nil"/>
              <w:bottom w:val="single" w:color="auto" w:sz="4" w:space="0"/>
              <w:right w:val="single" w:color="auto" w:sz="4" w:space="0"/>
            </w:tcBorders>
            <w:vAlign w:val="center"/>
          </w:tcPr>
          <w:p>
            <w:pPr>
              <w:widowControl/>
              <w:jc w:val="center"/>
              <w:rPr>
                <w:rFonts w:ascii="黑体" w:hAnsi="黑体" w:eastAsia="黑体" w:cs="宋体"/>
                <w:kern w:val="0"/>
                <w:szCs w:val="21"/>
              </w:rPr>
            </w:pP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5</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szCs w:val="21"/>
              </w:rPr>
            </w:pPr>
            <w:r>
              <w:rPr>
                <w:rFonts w:hint="eastAsia" w:ascii="宋体" w:hAnsi="宋体" w:eastAsia="宋体" w:cs="Times New Roman"/>
                <w:szCs w:val="21"/>
              </w:rPr>
              <w:t>特殊工种人员是否持证上岗</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szCs w:val="21"/>
              </w:rPr>
            </w:pPr>
            <w:r>
              <w:rPr>
                <w:rFonts w:hint="eastAsia" w:ascii="宋体" w:hAnsi="宋体" w:eastAsia="宋体" w:cs="Times New Roman"/>
                <w:szCs w:val="21"/>
              </w:rPr>
              <w:t>不持证上岗的，每人次扣</w:t>
            </w:r>
            <w:r>
              <w:rPr>
                <w:rFonts w:ascii="宋体" w:hAnsi="宋体" w:eastAsia="宋体" w:cs="Times New Roman"/>
                <w:szCs w:val="21"/>
              </w:rPr>
              <w:t>2</w:t>
            </w:r>
            <w:r>
              <w:rPr>
                <w:rFonts w:hint="eastAsia" w:ascii="宋体" w:hAnsi="宋体" w:eastAsia="宋体" w:cs="Times New Roman"/>
                <w:szCs w:val="21"/>
              </w:rPr>
              <w:t>分，扣完为止。</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431" w:hRule="atLeast"/>
        </w:trPr>
        <w:tc>
          <w:tcPr>
            <w:tcW w:w="580" w:type="dxa"/>
            <w:tcBorders>
              <w:left w:val="single" w:color="auto" w:sz="8" w:space="0"/>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2</w:t>
            </w:r>
          </w:p>
        </w:tc>
        <w:tc>
          <w:tcPr>
            <w:tcW w:w="1689" w:type="dxa"/>
            <w:gridSpan w:val="2"/>
            <w:tcBorders>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eastAsia="宋体" w:cs="宋体"/>
                <w:kern w:val="0"/>
                <w:szCs w:val="21"/>
              </w:rPr>
              <w:t>主要设备</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10</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szCs w:val="21"/>
              </w:rPr>
            </w:pPr>
            <w:r>
              <w:rPr>
                <w:rFonts w:hint="eastAsia" w:ascii="宋体" w:hAnsi="宋体" w:eastAsia="宋体" w:cs="Times New Roman"/>
                <w:szCs w:val="21"/>
              </w:rPr>
              <w:t>主要设备是否按合同到位</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szCs w:val="21"/>
              </w:rPr>
            </w:pPr>
            <w:r>
              <w:rPr>
                <w:rFonts w:hint="eastAsia" w:ascii="宋体" w:hAnsi="宋体" w:eastAsia="宋体" w:cs="Times New Roman"/>
                <w:szCs w:val="21"/>
              </w:rPr>
              <w:t>未按合同到位的每台设备扣</w:t>
            </w:r>
            <w:r>
              <w:rPr>
                <w:rFonts w:ascii="宋体" w:hAnsi="宋体" w:eastAsia="宋体" w:cs="Times New Roman"/>
                <w:szCs w:val="21"/>
              </w:rPr>
              <w:t>5</w:t>
            </w:r>
            <w:r>
              <w:rPr>
                <w:rFonts w:hint="eastAsia" w:ascii="宋体" w:hAnsi="宋体" w:eastAsia="宋体" w:cs="Times New Roman"/>
                <w:szCs w:val="21"/>
              </w:rPr>
              <w:t>分，扣完为止。</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84" w:hRule="atLeast"/>
        </w:trPr>
        <w:tc>
          <w:tcPr>
            <w:tcW w:w="58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 w:val="24"/>
                <w:szCs w:val="24"/>
              </w:rPr>
            </w:pPr>
            <w:r>
              <w:rPr>
                <w:rFonts w:hint="eastAsia" w:ascii="黑体" w:hAnsi="黑体" w:eastAsia="黑体" w:cs="Times New Roman"/>
                <w:sz w:val="24"/>
                <w:szCs w:val="24"/>
              </w:rPr>
              <w:t>二</w:t>
            </w:r>
          </w:p>
        </w:tc>
        <w:tc>
          <w:tcPr>
            <w:tcW w:w="168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24"/>
                <w:szCs w:val="24"/>
              </w:rPr>
            </w:pPr>
            <w:r>
              <w:rPr>
                <w:rFonts w:hint="eastAsia" w:ascii="黑体" w:hAnsi="黑体" w:eastAsia="黑体" w:cs="Times New Roman"/>
                <w:sz w:val="24"/>
                <w:szCs w:val="24"/>
              </w:rPr>
              <w:t>勘察质量</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40</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18"/>
                <w:szCs w:val="18"/>
              </w:rPr>
            </w:pP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48" w:hRule="atLeast"/>
        </w:trPr>
        <w:tc>
          <w:tcPr>
            <w:tcW w:w="580" w:type="dxa"/>
            <w:vMerge w:val="restart"/>
            <w:tcBorders>
              <w:top w:val="single" w:color="auto" w:sz="4" w:space="0"/>
              <w:left w:val="single" w:color="auto" w:sz="8"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3</w:t>
            </w:r>
          </w:p>
        </w:tc>
        <w:tc>
          <w:tcPr>
            <w:tcW w:w="1689" w:type="dxa"/>
            <w:gridSpan w:val="2"/>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eastAsia="宋体" w:cs="Times New Roman"/>
                <w:szCs w:val="21"/>
              </w:rPr>
              <w:t>质量控制</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5</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是否执行强制性标准</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每存在一处违反强制性标准的扣</w:t>
            </w:r>
            <w:r>
              <w:rPr>
                <w:rFonts w:ascii="宋体" w:hAnsi="宋体" w:eastAsia="宋体" w:cs="Times New Roman"/>
                <w:szCs w:val="21"/>
              </w:rPr>
              <w:t>2</w:t>
            </w:r>
            <w:r>
              <w:rPr>
                <w:rFonts w:hint="eastAsia" w:ascii="宋体" w:hAnsi="宋体" w:eastAsia="宋体" w:cs="Times New Roman"/>
                <w:szCs w:val="21"/>
              </w:rPr>
              <w:t>分，扣完为止。</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761"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689"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1" w:type="dxa"/>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5</w:t>
            </w:r>
          </w:p>
        </w:tc>
        <w:tc>
          <w:tcPr>
            <w:tcW w:w="2416" w:type="dxa"/>
            <w:gridSpan w:val="2"/>
            <w:tcBorders>
              <w:top w:val="single" w:color="auto" w:sz="4" w:space="0"/>
              <w:left w:val="nil"/>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是否有缺项、漏项</w:t>
            </w:r>
          </w:p>
        </w:tc>
        <w:tc>
          <w:tcPr>
            <w:tcW w:w="2416" w:type="dxa"/>
            <w:gridSpan w:val="2"/>
            <w:tcBorders>
              <w:top w:val="single" w:color="auto" w:sz="4" w:space="0"/>
              <w:left w:val="nil"/>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发现缺项、漏项的，每处扣</w:t>
            </w:r>
            <w:r>
              <w:rPr>
                <w:rFonts w:ascii="宋体" w:hAnsi="宋体" w:eastAsia="宋体" w:cs="Times New Roman"/>
                <w:szCs w:val="21"/>
              </w:rPr>
              <w:t>1-3</w:t>
            </w:r>
            <w:r>
              <w:rPr>
                <w:rFonts w:hint="eastAsia" w:ascii="宋体" w:hAnsi="宋体" w:eastAsia="宋体" w:cs="Times New Roman"/>
                <w:szCs w:val="21"/>
              </w:rPr>
              <w:t>分，扣完为止。</w:t>
            </w:r>
          </w:p>
        </w:tc>
        <w:tc>
          <w:tcPr>
            <w:tcW w:w="710" w:type="dxa"/>
            <w:tcBorders>
              <w:top w:val="single" w:color="auto" w:sz="4" w:space="0"/>
              <w:left w:val="nil"/>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31" w:hRule="atLeast"/>
        </w:trPr>
        <w:tc>
          <w:tcPr>
            <w:tcW w:w="580" w:type="dxa"/>
            <w:vMerge w:val="restart"/>
            <w:tcBorders>
              <w:top w:val="single" w:color="auto" w:sz="4" w:space="0"/>
              <w:left w:val="single" w:color="auto" w:sz="8"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4</w:t>
            </w:r>
          </w:p>
        </w:tc>
        <w:tc>
          <w:tcPr>
            <w:tcW w:w="1689" w:type="dxa"/>
            <w:gridSpan w:val="2"/>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eastAsia="宋体" w:cs="Times New Roman"/>
                <w:szCs w:val="21"/>
              </w:rPr>
              <w:t>勘察文件</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3</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宋体"/>
                <w:kern w:val="0"/>
                <w:szCs w:val="21"/>
              </w:rPr>
              <w:t>在工程勘察前，是否按照要求提出勘察纲要或者勘察组织设计</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宋体"/>
                <w:kern w:val="0"/>
                <w:szCs w:val="21"/>
              </w:rPr>
              <w:t>没有提交的，扣</w:t>
            </w:r>
            <w:r>
              <w:rPr>
                <w:rFonts w:ascii="宋体" w:hAnsi="宋体" w:eastAsia="宋体" w:cs="宋体"/>
                <w:kern w:val="0"/>
                <w:szCs w:val="21"/>
              </w:rPr>
              <w:t>3</w:t>
            </w:r>
            <w:r>
              <w:rPr>
                <w:rFonts w:hint="eastAsia" w:ascii="宋体" w:hAnsi="宋体" w:eastAsia="宋体" w:cs="宋体"/>
                <w:kern w:val="0"/>
                <w:szCs w:val="21"/>
              </w:rPr>
              <w:t>分。</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31"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689"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5</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宋体"/>
                <w:kern w:val="0"/>
                <w:szCs w:val="21"/>
              </w:rPr>
              <w:t>勘察成果是否翔实可信</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宋体"/>
                <w:kern w:val="0"/>
                <w:szCs w:val="21"/>
              </w:rPr>
              <w:t>勘察成果不翔实可信的，扣</w:t>
            </w:r>
            <w:r>
              <w:rPr>
                <w:rFonts w:ascii="宋体" w:hAnsi="宋体" w:eastAsia="宋体" w:cs="宋体"/>
                <w:kern w:val="0"/>
                <w:szCs w:val="21"/>
              </w:rPr>
              <w:t>3-5分</w:t>
            </w:r>
            <w:r>
              <w:rPr>
                <w:rFonts w:hint="eastAsia" w:ascii="宋体" w:hAnsi="宋体" w:eastAsia="宋体" w:cs="宋体"/>
                <w:kern w:val="0"/>
                <w:szCs w:val="21"/>
              </w:rPr>
              <w:t>。</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31"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689"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3</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宋体"/>
                <w:kern w:val="0"/>
                <w:szCs w:val="21"/>
              </w:rPr>
              <w:t>是否按照要求提供完整的勘察文件资料</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宋体"/>
                <w:kern w:val="0"/>
                <w:szCs w:val="21"/>
              </w:rPr>
              <w:t>资料不全的，每缺</w:t>
            </w:r>
            <w:r>
              <w:rPr>
                <w:rFonts w:ascii="宋体" w:hAnsi="宋体" w:eastAsia="宋体" w:cs="宋体"/>
                <w:kern w:val="0"/>
                <w:szCs w:val="21"/>
              </w:rPr>
              <w:t>1</w:t>
            </w:r>
            <w:r>
              <w:rPr>
                <w:rFonts w:hint="eastAsia" w:ascii="宋体" w:hAnsi="宋体" w:eastAsia="宋体" w:cs="宋体"/>
                <w:kern w:val="0"/>
                <w:szCs w:val="21"/>
              </w:rPr>
              <w:t>项</w:t>
            </w:r>
            <w:r>
              <w:rPr>
                <w:rFonts w:hint="eastAsia" w:ascii="宋体" w:hAnsi="宋体" w:eastAsia="宋体" w:cs="Times New Roman"/>
                <w:szCs w:val="21"/>
              </w:rPr>
              <w:t>扣</w:t>
            </w:r>
            <w:r>
              <w:rPr>
                <w:rFonts w:ascii="宋体" w:hAnsi="宋体" w:eastAsia="宋体" w:cs="Times New Roman"/>
                <w:szCs w:val="21"/>
              </w:rPr>
              <w:t xml:space="preserve">1 </w:t>
            </w:r>
            <w:r>
              <w:rPr>
                <w:rFonts w:hint="eastAsia" w:ascii="宋体" w:hAnsi="宋体" w:eastAsia="宋体" w:cs="Times New Roman"/>
                <w:szCs w:val="21"/>
              </w:rPr>
              <w:t>分，扣完为止。</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31"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689"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5</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宋体"/>
                <w:kern w:val="0"/>
                <w:szCs w:val="21"/>
              </w:rPr>
              <w:t>是否达到勘察深度要求</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宋体"/>
                <w:kern w:val="0"/>
                <w:szCs w:val="21"/>
              </w:rPr>
              <w:t>达不到勘察深度要求的扣</w:t>
            </w:r>
            <w:r>
              <w:rPr>
                <w:rFonts w:ascii="宋体" w:hAnsi="宋体" w:eastAsia="宋体" w:cs="宋体"/>
                <w:kern w:val="0"/>
                <w:szCs w:val="21"/>
              </w:rPr>
              <w:t>5</w:t>
            </w:r>
            <w:r>
              <w:rPr>
                <w:rFonts w:hint="eastAsia" w:ascii="宋体" w:hAnsi="宋体" w:eastAsia="宋体" w:cs="宋体"/>
                <w:kern w:val="0"/>
                <w:szCs w:val="21"/>
              </w:rPr>
              <w:t>分。</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bottom w:val="single" w:color="auto" w:sz="4" w:space="0"/>
              <w:right w:val="single" w:color="auto" w:sz="4" w:space="0"/>
            </w:tcBorders>
            <w:vAlign w:val="center"/>
          </w:tcPr>
          <w:p>
            <w:pPr>
              <w:widowControl/>
              <w:jc w:val="center"/>
              <w:rPr>
                <w:rFonts w:ascii="宋体" w:hAnsi="宋体" w:cs="宋体"/>
                <w:kern w:val="0"/>
                <w:szCs w:val="21"/>
              </w:rPr>
            </w:pPr>
          </w:p>
        </w:tc>
        <w:tc>
          <w:tcPr>
            <w:tcW w:w="1689" w:type="dxa"/>
            <w:gridSpan w:val="2"/>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4</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宋体"/>
                <w:kern w:val="0"/>
                <w:szCs w:val="21"/>
              </w:rPr>
              <w:t>是否按照要求通过勘察文件审查</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eastAsia="宋体" w:cs="宋体"/>
                <w:kern w:val="0"/>
                <w:szCs w:val="21"/>
              </w:rPr>
              <w:t>未能按照要求通过审查的，每增加一次审查扣</w:t>
            </w:r>
            <w:r>
              <w:rPr>
                <w:rFonts w:ascii="宋体" w:hAnsi="宋体" w:eastAsia="宋体" w:cs="宋体"/>
                <w:kern w:val="0"/>
                <w:szCs w:val="21"/>
              </w:rPr>
              <w:t>2</w:t>
            </w:r>
            <w:r>
              <w:rPr>
                <w:rFonts w:hint="eastAsia" w:ascii="宋体" w:hAnsi="宋体" w:eastAsia="宋体" w:cs="宋体"/>
                <w:kern w:val="0"/>
                <w:szCs w:val="21"/>
              </w:rPr>
              <w:t>分，</w:t>
            </w:r>
            <w:r>
              <w:rPr>
                <w:rFonts w:hint="eastAsia" w:ascii="宋体" w:hAnsi="宋体" w:eastAsia="宋体" w:cs="Times New Roman"/>
                <w:szCs w:val="21"/>
              </w:rPr>
              <w:t>扣完为止。</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5</w:t>
            </w:r>
          </w:p>
        </w:tc>
        <w:tc>
          <w:tcPr>
            <w:tcW w:w="168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eastAsia="宋体" w:cs="Times New Roman"/>
                <w:szCs w:val="21"/>
              </w:rPr>
              <w:t>工程变更</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Times New Roman"/>
                <w:szCs w:val="21"/>
              </w:rPr>
              <w:t>10</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是否因为</w:t>
            </w:r>
            <w:r>
              <w:rPr>
                <w:rFonts w:hint="eastAsia" w:ascii="Times New Roman" w:hAnsi="Times New Roman" w:eastAsia="宋体" w:cs="Times New Roman"/>
                <w:color w:val="000000"/>
                <w:szCs w:val="21"/>
              </w:rPr>
              <w:t>没有按照规范要求进行勘查而导致</w:t>
            </w:r>
            <w:r>
              <w:rPr>
                <w:rFonts w:hint="eastAsia" w:ascii="宋体" w:hAnsi="宋体" w:eastAsia="宋体" w:cs="Times New Roman"/>
                <w:szCs w:val="21"/>
              </w:rPr>
              <w:t>工程费用增加</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造成工程费用增加，累计每变动</w:t>
            </w:r>
            <w:r>
              <w:rPr>
                <w:rFonts w:ascii="宋体" w:hAnsi="宋体" w:eastAsia="宋体" w:cs="Times New Roman"/>
                <w:szCs w:val="21"/>
              </w:rPr>
              <w:t>1%</w:t>
            </w:r>
            <w:r>
              <w:rPr>
                <w:rFonts w:hint="eastAsia" w:ascii="宋体" w:hAnsi="宋体" w:eastAsia="宋体" w:cs="Times New Roman"/>
                <w:szCs w:val="21"/>
              </w:rPr>
              <w:t>扣</w:t>
            </w:r>
            <w:r>
              <w:rPr>
                <w:rFonts w:ascii="宋体" w:hAnsi="宋体" w:eastAsia="宋体" w:cs="Times New Roman"/>
                <w:szCs w:val="21"/>
              </w:rPr>
              <w:t xml:space="preserve">3 </w:t>
            </w:r>
            <w:r>
              <w:rPr>
                <w:rFonts w:hint="eastAsia" w:ascii="宋体" w:hAnsi="宋体" w:eastAsia="宋体" w:cs="Times New Roman"/>
                <w:szCs w:val="21"/>
              </w:rPr>
              <w:t>分，扣完为止。</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 w:val="24"/>
                <w:szCs w:val="24"/>
              </w:rPr>
            </w:pPr>
            <w:r>
              <w:rPr>
                <w:rFonts w:hint="eastAsia" w:ascii="黑体" w:hAnsi="黑体" w:eastAsia="黑体" w:cs="Times New Roman"/>
                <w:sz w:val="24"/>
                <w:szCs w:val="24"/>
              </w:rPr>
              <w:t>三</w:t>
            </w:r>
          </w:p>
        </w:tc>
        <w:tc>
          <w:tcPr>
            <w:tcW w:w="168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24"/>
                <w:szCs w:val="24"/>
              </w:rPr>
            </w:pPr>
            <w:r>
              <w:rPr>
                <w:rFonts w:hint="eastAsia" w:ascii="黑体" w:hAnsi="黑体" w:eastAsia="黑体" w:cs="Times New Roman"/>
                <w:sz w:val="24"/>
                <w:szCs w:val="24"/>
              </w:rPr>
              <w:t>进度与配合</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ascii="宋体" w:hAnsi="宋体" w:eastAsia="宋体" w:cs="Times New Roman"/>
                <w:szCs w:val="21"/>
              </w:rPr>
              <w:t>30</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18"/>
                <w:szCs w:val="18"/>
              </w:rPr>
            </w:pP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6</w:t>
            </w:r>
          </w:p>
        </w:tc>
        <w:tc>
          <w:tcPr>
            <w:tcW w:w="168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eastAsia="宋体" w:cs="Times New Roman"/>
                <w:szCs w:val="21"/>
              </w:rPr>
              <w:t>勘察进度</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8</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是否按约定时间及时提交勘察报告等文件</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超过约定时间一周以内提交的扣</w:t>
            </w:r>
            <w:r>
              <w:rPr>
                <w:rFonts w:ascii="宋体" w:hAnsi="宋体" w:eastAsia="宋体" w:cs="Times New Roman"/>
                <w:szCs w:val="21"/>
              </w:rPr>
              <w:t>2</w:t>
            </w:r>
            <w:r>
              <w:rPr>
                <w:rFonts w:hint="eastAsia" w:ascii="宋体" w:hAnsi="宋体" w:eastAsia="宋体" w:cs="Times New Roman"/>
                <w:szCs w:val="21"/>
              </w:rPr>
              <w:t>分，超过规定时间一周以上两周以内提交的扣</w:t>
            </w:r>
            <w:r>
              <w:rPr>
                <w:rFonts w:ascii="宋体" w:hAnsi="宋体" w:eastAsia="宋体" w:cs="Times New Roman"/>
                <w:szCs w:val="21"/>
              </w:rPr>
              <w:t>5</w:t>
            </w:r>
            <w:r>
              <w:rPr>
                <w:rFonts w:hint="eastAsia" w:ascii="宋体" w:hAnsi="宋体" w:eastAsia="宋体" w:cs="Times New Roman"/>
                <w:szCs w:val="21"/>
              </w:rPr>
              <w:t>分，超过规定时间两周以上提交的扣</w:t>
            </w:r>
            <w:r>
              <w:rPr>
                <w:rFonts w:ascii="宋体" w:hAnsi="宋体" w:eastAsia="宋体" w:cs="Times New Roman"/>
                <w:szCs w:val="21"/>
              </w:rPr>
              <w:t>8</w:t>
            </w:r>
            <w:r>
              <w:rPr>
                <w:rFonts w:hint="eastAsia" w:ascii="宋体" w:hAnsi="宋体" w:eastAsia="宋体" w:cs="Times New Roman"/>
                <w:szCs w:val="21"/>
              </w:rPr>
              <w:t>分。</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restart"/>
            <w:tcBorders>
              <w:top w:val="single" w:color="auto" w:sz="4" w:space="0"/>
              <w:left w:val="single" w:color="auto" w:sz="8"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7</w:t>
            </w:r>
          </w:p>
        </w:tc>
        <w:tc>
          <w:tcPr>
            <w:tcW w:w="1689" w:type="dxa"/>
            <w:gridSpan w:val="2"/>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eastAsia="宋体" w:cs="Times New Roman"/>
                <w:szCs w:val="21"/>
              </w:rPr>
              <w:t>配合</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4</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是否参加业主组织的施工验槽及图纸审查、施工图设计交底会议</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不参加的，发生一次扣</w:t>
            </w:r>
            <w:r>
              <w:rPr>
                <w:rFonts w:ascii="宋体" w:hAnsi="宋体" w:eastAsia="宋体" w:cs="Times New Roman"/>
                <w:szCs w:val="21"/>
              </w:rPr>
              <w:t xml:space="preserve">2 </w:t>
            </w:r>
            <w:r>
              <w:rPr>
                <w:rFonts w:hint="eastAsia" w:ascii="宋体" w:hAnsi="宋体" w:eastAsia="宋体" w:cs="Times New Roman"/>
                <w:szCs w:val="21"/>
              </w:rPr>
              <w:t>分，扣完为止。</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689"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4</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是否参加业主组织的工程技术难点处理工作会议</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不参加的，发生一次扣</w:t>
            </w:r>
            <w:r>
              <w:rPr>
                <w:rFonts w:ascii="宋体" w:hAnsi="宋体" w:eastAsia="宋体" w:cs="Times New Roman"/>
                <w:szCs w:val="21"/>
              </w:rPr>
              <w:t xml:space="preserve">2 </w:t>
            </w:r>
            <w:r>
              <w:rPr>
                <w:rFonts w:hint="eastAsia" w:ascii="宋体" w:hAnsi="宋体" w:eastAsia="宋体" w:cs="Times New Roman"/>
                <w:szCs w:val="21"/>
              </w:rPr>
              <w:t>分，扣完为止。</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689"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4</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是否听取、采纳业主、施工、监理等单位的合理化建议</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不听取、不采纳合理化建议的，发生一次扣</w:t>
            </w:r>
            <w:r>
              <w:rPr>
                <w:rFonts w:ascii="宋体" w:hAnsi="宋体" w:eastAsia="宋体" w:cs="Times New Roman"/>
                <w:szCs w:val="21"/>
              </w:rPr>
              <w:t xml:space="preserve">1 </w:t>
            </w:r>
            <w:r>
              <w:rPr>
                <w:rFonts w:hint="eastAsia" w:ascii="宋体" w:hAnsi="宋体" w:eastAsia="宋体" w:cs="Times New Roman"/>
                <w:szCs w:val="21"/>
              </w:rPr>
              <w:t>分，扣完为止。</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689"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4</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是否遵守</w:t>
            </w:r>
            <w:bookmarkStart w:id="0" w:name="_GoBack"/>
            <w:bookmarkEnd w:id="0"/>
            <w:r>
              <w:rPr>
                <w:rFonts w:hint="eastAsia" w:ascii="宋体" w:hAnsi="宋体" w:eastAsia="宋体" w:cs="Times New Roman"/>
                <w:szCs w:val="21"/>
              </w:rPr>
              <w:t>勘察现场作业安全制度、文明作业要求</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不遵守的，发生一次扣</w:t>
            </w:r>
            <w:r>
              <w:rPr>
                <w:rFonts w:ascii="宋体" w:hAnsi="宋体" w:eastAsia="宋体" w:cs="Times New Roman"/>
                <w:szCs w:val="21"/>
              </w:rPr>
              <w:t xml:space="preserve">2 </w:t>
            </w:r>
            <w:r>
              <w:rPr>
                <w:rFonts w:hint="eastAsia" w:ascii="宋体" w:hAnsi="宋体" w:eastAsia="宋体" w:cs="Times New Roman"/>
                <w:szCs w:val="21"/>
              </w:rPr>
              <w:t>分，扣完为止。</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689"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2</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是否配合调查建设工程质量安全事故</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不配合的，发生一次扣</w:t>
            </w:r>
            <w:r>
              <w:rPr>
                <w:rFonts w:ascii="宋体" w:hAnsi="宋体" w:eastAsia="宋体" w:cs="Times New Roman"/>
                <w:szCs w:val="21"/>
              </w:rPr>
              <w:t xml:space="preserve">1 </w:t>
            </w:r>
            <w:r>
              <w:rPr>
                <w:rFonts w:hint="eastAsia" w:ascii="宋体" w:hAnsi="宋体" w:eastAsia="宋体" w:cs="Times New Roman"/>
                <w:szCs w:val="21"/>
              </w:rPr>
              <w:t>分，扣完为止。</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689"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2</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是否配合地方政府及相关部门检查</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不配合的，发生一次扣</w:t>
            </w:r>
            <w:r>
              <w:rPr>
                <w:rFonts w:ascii="宋体" w:hAnsi="宋体" w:eastAsia="宋体" w:cs="Times New Roman"/>
                <w:szCs w:val="21"/>
              </w:rPr>
              <w:t xml:space="preserve">1 </w:t>
            </w:r>
            <w:r>
              <w:rPr>
                <w:rFonts w:hint="eastAsia" w:ascii="宋体" w:hAnsi="宋体" w:eastAsia="宋体" w:cs="Times New Roman"/>
                <w:szCs w:val="21"/>
              </w:rPr>
              <w:t>分，扣完为止。</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bottom w:val="single" w:color="auto" w:sz="4" w:space="0"/>
              <w:right w:val="single" w:color="auto" w:sz="4" w:space="0"/>
            </w:tcBorders>
            <w:vAlign w:val="center"/>
          </w:tcPr>
          <w:p>
            <w:pPr>
              <w:widowControl/>
              <w:jc w:val="center"/>
              <w:rPr>
                <w:rFonts w:ascii="宋体" w:hAnsi="宋体" w:cs="宋体"/>
                <w:kern w:val="0"/>
                <w:szCs w:val="21"/>
              </w:rPr>
            </w:pPr>
          </w:p>
        </w:tc>
        <w:tc>
          <w:tcPr>
            <w:tcW w:w="1689" w:type="dxa"/>
            <w:gridSpan w:val="2"/>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2</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Times New Roman" w:hAnsi="Times New Roman" w:eastAsia="宋体" w:cs="Times New Roman"/>
                <w:color w:val="000000"/>
                <w:szCs w:val="21"/>
              </w:rPr>
              <w:t>是否按合同约定响应配合业主的相关要求</w:t>
            </w: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不响应、配合的，发生一次扣</w:t>
            </w:r>
            <w:r>
              <w:rPr>
                <w:rFonts w:ascii="宋体" w:hAnsi="宋体" w:eastAsia="宋体" w:cs="Times New Roman"/>
                <w:szCs w:val="21"/>
              </w:rPr>
              <w:t>1</w:t>
            </w:r>
            <w:r>
              <w:rPr>
                <w:rFonts w:hint="eastAsia" w:ascii="宋体" w:hAnsi="宋体" w:eastAsia="宋体" w:cs="Times New Roman"/>
                <w:szCs w:val="21"/>
              </w:rPr>
              <w:t>分，扣完为止。</w:t>
            </w: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tcBorders>
              <w:left w:val="single" w:color="auto" w:sz="8" w:space="0"/>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8</w:t>
            </w:r>
          </w:p>
        </w:tc>
        <w:tc>
          <w:tcPr>
            <w:tcW w:w="1689" w:type="dxa"/>
            <w:gridSpan w:val="2"/>
            <w:tcBorders>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eastAsia="宋体" w:cs="宋体"/>
                <w:kern w:val="0"/>
                <w:szCs w:val="21"/>
              </w:rPr>
              <w:t>合计</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100</w:t>
            </w:r>
          </w:p>
        </w:tc>
        <w:tc>
          <w:tcPr>
            <w:tcW w:w="241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szCs w:val="21"/>
              </w:rPr>
            </w:pPr>
          </w:p>
        </w:tc>
        <w:tc>
          <w:tcPr>
            <w:tcW w:w="2416" w:type="dxa"/>
            <w:gridSpan w:val="2"/>
            <w:tcBorders>
              <w:top w:val="single" w:color="auto" w:sz="4" w:space="0"/>
              <w:left w:val="nil"/>
              <w:bottom w:val="single" w:color="auto" w:sz="4" w:space="0"/>
              <w:right w:val="single" w:color="auto" w:sz="4" w:space="0"/>
            </w:tcBorders>
            <w:vAlign w:val="center"/>
          </w:tcPr>
          <w:p>
            <w:pPr>
              <w:widowControl/>
              <w:rPr>
                <w:rFonts w:ascii="宋体" w:hAnsi="宋体"/>
                <w:szCs w:val="21"/>
              </w:rPr>
            </w:pPr>
          </w:p>
        </w:tc>
        <w:tc>
          <w:tcPr>
            <w:tcW w:w="710"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77" w:hRule="atLeast"/>
        </w:trPr>
        <w:tc>
          <w:tcPr>
            <w:tcW w:w="8522" w:type="dxa"/>
            <w:gridSpan w:val="9"/>
            <w:tcBorders>
              <w:top w:val="single" w:color="auto" w:sz="4" w:space="0"/>
              <w:left w:val="single" w:color="auto" w:sz="8" w:space="0"/>
              <w:bottom w:val="single" w:color="auto" w:sz="4" w:space="0"/>
              <w:right w:val="single" w:color="auto" w:sz="8" w:space="0"/>
            </w:tcBorders>
            <w:vAlign w:val="center"/>
          </w:tcPr>
          <w:p>
            <w:pPr>
              <w:rPr>
                <w:rFonts w:ascii="宋体" w:hAnsi="宋体"/>
                <w:szCs w:val="21"/>
              </w:rPr>
            </w:pPr>
            <w:r>
              <w:rPr>
                <w:rFonts w:hint="eastAsia" w:ascii="宋体" w:hAnsi="宋体" w:eastAsia="宋体" w:cs="Times New Roman"/>
                <w:szCs w:val="21"/>
              </w:rPr>
              <w:t>注：</w:t>
            </w:r>
            <w:r>
              <w:rPr>
                <w:rFonts w:ascii="宋体" w:hAnsi="宋体" w:eastAsia="宋体" w:cs="Times New Roman"/>
                <w:szCs w:val="21"/>
              </w:rPr>
              <w:t>1</w:t>
            </w:r>
            <w:r>
              <w:rPr>
                <w:rFonts w:hint="eastAsia" w:ascii="宋体" w:hAnsi="宋体" w:eastAsia="宋体" w:cs="Times New Roman"/>
                <w:szCs w:val="21"/>
              </w:rPr>
              <w:t>、工程建设单位可结合其工程特点和具体要求，增加和量化具体评分指标（仅限于二级指标的内容、分值、权重，一级指标项及分值、权重不得调整），制定评分表，并按百分制将分项分值进行折算调整。</w:t>
            </w:r>
          </w:p>
          <w:p>
            <w:pPr>
              <w:ind w:firstLine="420" w:firstLineChars="200"/>
              <w:rPr>
                <w:rFonts w:ascii="宋体" w:hAnsi="宋体"/>
                <w:szCs w:val="21"/>
              </w:rPr>
            </w:pPr>
            <w:r>
              <w:rPr>
                <w:rFonts w:ascii="宋体" w:hAnsi="宋体" w:eastAsia="宋体" w:cs="Times New Roman"/>
                <w:szCs w:val="21"/>
              </w:rPr>
              <w:t>2</w:t>
            </w:r>
            <w:r>
              <w:rPr>
                <w:rFonts w:hint="eastAsia" w:ascii="宋体" w:hAnsi="宋体" w:eastAsia="宋体" w:cs="Times New Roman"/>
                <w:szCs w:val="21"/>
              </w:rPr>
              <w:t>、规定的评分指标中，招标文件或者合同无委托实施的内容，不计入评分，其分值按百分制折算后计入其他指标中或者对总得分按百分制进行折算。</w:t>
            </w:r>
          </w:p>
        </w:tc>
      </w:tr>
      <w:tr>
        <w:tblPrEx>
          <w:tblLayout w:type="fixed"/>
          <w:tblCellMar>
            <w:top w:w="0" w:type="dxa"/>
            <w:left w:w="108" w:type="dxa"/>
            <w:bottom w:w="0" w:type="dxa"/>
            <w:right w:w="108" w:type="dxa"/>
          </w:tblCellMar>
        </w:tblPrEx>
        <w:trPr>
          <w:trHeight w:val="277" w:hRule="atLeast"/>
        </w:trPr>
        <w:tc>
          <w:tcPr>
            <w:tcW w:w="8522" w:type="dxa"/>
            <w:gridSpan w:val="9"/>
            <w:tcBorders>
              <w:top w:val="single" w:color="auto" w:sz="4" w:space="0"/>
              <w:left w:val="single" w:color="auto" w:sz="8" w:space="0"/>
              <w:bottom w:val="single" w:color="auto" w:sz="4" w:space="0"/>
              <w:right w:val="single" w:color="auto" w:sz="8" w:space="0"/>
            </w:tcBorders>
            <w:vAlign w:val="center"/>
          </w:tcPr>
          <w:p>
            <w:pPr>
              <w:rPr>
                <w:rFonts w:ascii="宋体" w:hAnsi="宋体"/>
                <w:szCs w:val="21"/>
              </w:rPr>
            </w:pPr>
          </w:p>
          <w:p>
            <w:pPr>
              <w:ind w:firstLine="5460" w:firstLineChars="2600"/>
              <w:rPr>
                <w:rFonts w:ascii="宋体" w:hAnsi="宋体"/>
                <w:szCs w:val="21"/>
              </w:rPr>
            </w:pPr>
            <w:r>
              <w:rPr>
                <w:rFonts w:hint="eastAsia" w:ascii="宋体" w:hAnsi="宋体" w:eastAsia="宋体" w:cs="Times New Roman"/>
                <w:szCs w:val="21"/>
              </w:rPr>
              <w:t>评价人签字：</w:t>
            </w:r>
          </w:p>
          <w:p>
            <w:pPr>
              <w:ind w:firstLine="6930" w:firstLineChars="3300"/>
              <w:rPr>
                <w:rFonts w:ascii="宋体" w:hAnsi="宋体" w:eastAsia="宋体" w:cs="宋体"/>
                <w:kern w:val="0"/>
                <w:sz w:val="18"/>
                <w:szCs w:val="18"/>
              </w:rPr>
            </w:pP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8741E"/>
    <w:rsid w:val="76387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2020-11-03T08:35:00Z</dcterms:created>
  <dc:creator>Ada</dc:creator>
  <cp:lastModifiedBy>Ada</cp:lastModifiedBy>
  <dcterms:modified xsi:type="dcterms:W3CDTF">2020-11-03T08:36:36Z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