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坪山区建设工程承包商（代建）履约评分标准表</w:t>
      </w:r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994"/>
        <w:gridCol w:w="815"/>
        <w:gridCol w:w="875"/>
        <w:gridCol w:w="17"/>
        <w:gridCol w:w="3726"/>
        <w:gridCol w:w="25"/>
        <w:gridCol w:w="809"/>
        <w:gridCol w:w="5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评价形式</w:t>
            </w:r>
          </w:p>
        </w:tc>
        <w:tc>
          <w:tcPr>
            <w:tcW w:w="6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□单项工程定期履约评价</w:t>
            </w:r>
            <w:r>
              <w:rPr>
                <w:rFonts w:ascii="宋体" w:hAnsi="宋体" w:eastAsia="宋体" w:cs="Times New Roman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□单项工程最终履约评价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工程名称</w:t>
            </w: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承包商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总得分</w:t>
            </w: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评价等级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0" w:firstLineChars="3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□优秀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□良好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 xml:space="preserve">   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一般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建设单位</w:t>
            </w: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评价时间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内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容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满分分值</w:t>
            </w: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评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准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扣分标准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一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人员配备与履职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80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首席责任人</w:t>
            </w:r>
          </w:p>
        </w:tc>
        <w:tc>
          <w:tcPr>
            <w:tcW w:w="8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与投标承诺或者合同是否一致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是否按合同约定履行职责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是否有未经批准擅自更换项目首席责任人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是否有仅在项目挂名不实际履行职责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80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其他人员（包括管理人员与技术人员）</w:t>
            </w:r>
          </w:p>
        </w:tc>
        <w:tc>
          <w:tcPr>
            <w:tcW w:w="8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与投标承诺或者合同是否相符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到位是否良好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专业、数量是否满足代建工作的实际要求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是否具有相应的工作能力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是否保持相对稳定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是否有仅在项目挂名不实际履行职责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7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二</w:t>
            </w:r>
          </w:p>
        </w:tc>
        <w:tc>
          <w:tcPr>
            <w:tcW w:w="1809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质量控制</w:t>
            </w:r>
          </w:p>
        </w:tc>
        <w:tc>
          <w:tcPr>
            <w:tcW w:w="8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25</w:t>
            </w: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80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设计阶段</w:t>
            </w:r>
          </w:p>
        </w:tc>
        <w:tc>
          <w:tcPr>
            <w:tcW w:w="8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是否按国家、地方、行业规范和标准完成设计工作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是否按委托单位书面要求完成设计工作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设计文件是否报委托人审查同意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是否提出针对设计工作的良好建议及措施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80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施工阶段</w:t>
            </w:r>
          </w:p>
        </w:tc>
        <w:tc>
          <w:tcPr>
            <w:tcW w:w="8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是否对工程材料进行质量检查检验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是否对工程设备进行检查检验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是否对施工工艺进行全过程检查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是否对施工关键工序检查到位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是否编制工程质量报表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工程质量不符合标准或者约定的，是否按要求整改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三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安全管理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20</w:t>
            </w: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5</w:t>
            </w:r>
          </w:p>
        </w:tc>
        <w:tc>
          <w:tcPr>
            <w:tcW w:w="180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安全文明施工</w:t>
            </w:r>
          </w:p>
        </w:tc>
        <w:tc>
          <w:tcPr>
            <w:tcW w:w="8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14</w:t>
            </w:r>
            <w:bookmarkStart w:id="0" w:name="_GoBack"/>
            <w:bookmarkEnd w:id="0"/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制定了针对合同项目的安全文明施工制度，并严格按制度执行的，得</w:t>
            </w:r>
            <w:r>
              <w:rPr>
                <w:rFonts w:ascii="宋体" w:hAnsi="宋体" w:eastAsia="宋体" w:cs="Times New Roman"/>
                <w:szCs w:val="21"/>
              </w:rPr>
              <w:t>12</w:t>
            </w:r>
            <w:r>
              <w:rPr>
                <w:rFonts w:hint="eastAsia" w:ascii="宋体" w:hAnsi="宋体" w:eastAsia="宋体" w:cs="Times New Roman"/>
                <w:szCs w:val="21"/>
              </w:rPr>
              <w:t>分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制定了针对合同项目的安全文明施工制度，基本按制度执行的，得</w:t>
            </w:r>
            <w:r>
              <w:rPr>
                <w:rFonts w:ascii="宋体" w:hAnsi="宋体" w:eastAsia="宋体" w:cs="Times New Roman"/>
                <w:szCs w:val="21"/>
              </w:rPr>
              <w:t>6</w:t>
            </w:r>
            <w:r>
              <w:rPr>
                <w:rFonts w:hint="eastAsia" w:ascii="宋体" w:hAnsi="宋体" w:eastAsia="宋体" w:cs="Times New Roman"/>
                <w:szCs w:val="21"/>
              </w:rPr>
              <w:t>分</w:t>
            </w:r>
          </w:p>
        </w:tc>
        <w:tc>
          <w:tcPr>
            <w:tcW w:w="8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未制定针对合同项目的安全文明施工制度，得</w:t>
            </w:r>
            <w:r>
              <w:rPr>
                <w:rFonts w:ascii="宋体" w:hAnsi="宋体" w:eastAsia="宋体" w:cs="Times New Roman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</w:rPr>
              <w:t>分</w:t>
            </w:r>
          </w:p>
        </w:tc>
        <w:tc>
          <w:tcPr>
            <w:tcW w:w="8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对违规施工以及安全隐患是否有采取有效措施制止、纠正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80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事故应急</w:t>
            </w:r>
          </w:p>
        </w:tc>
        <w:tc>
          <w:tcPr>
            <w:tcW w:w="8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是否制定了应对各类事故的应急预案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发生应急事故时，是否及时采取有效措施防止事故扩大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四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进度控制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20</w:t>
            </w: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80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工期控制</w:t>
            </w:r>
          </w:p>
        </w:tc>
        <w:tc>
          <w:tcPr>
            <w:tcW w:w="8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20</w:t>
            </w: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是否有主动控制工程的各阶段工期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总体及阶段性工期计划以及控制措施是否科学合理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发现工程进度有落后时是否及时采取补救措施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是否有代建单位原因导致实际工期超过合同工期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五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成本与资金管理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10</w:t>
            </w: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成本控制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工程结算核减率小于</w:t>
            </w:r>
            <w:r>
              <w:rPr>
                <w:rFonts w:ascii="宋体" w:hAnsi="宋体" w:eastAsia="宋体" w:cs="Times New Roman"/>
                <w:szCs w:val="21"/>
              </w:rPr>
              <w:t>5%</w:t>
            </w:r>
            <w:r>
              <w:rPr>
                <w:rFonts w:hint="eastAsia" w:ascii="宋体" w:hAnsi="宋体" w:eastAsia="宋体" w:cs="Times New Roman"/>
                <w:szCs w:val="21"/>
              </w:rPr>
              <w:t>的，得</w:t>
            </w:r>
            <w:r>
              <w:rPr>
                <w:rFonts w:ascii="宋体" w:hAnsi="宋体" w:eastAsia="宋体" w:cs="Times New Roman"/>
                <w:szCs w:val="21"/>
              </w:rPr>
              <w:t>7</w:t>
            </w:r>
            <w:r>
              <w:rPr>
                <w:rFonts w:hint="eastAsia" w:ascii="宋体" w:hAnsi="宋体" w:eastAsia="宋体" w:cs="Times New Roman"/>
                <w:szCs w:val="21"/>
              </w:rPr>
              <w:t>分；</w:t>
            </w:r>
            <w:r>
              <w:rPr>
                <w:rFonts w:ascii="宋体" w:hAnsi="宋体" w:eastAsia="宋体" w:cs="Times New Roman"/>
                <w:szCs w:val="21"/>
              </w:rPr>
              <w:t>5%~10%</w:t>
            </w:r>
            <w:r>
              <w:rPr>
                <w:rFonts w:hint="eastAsia" w:ascii="宋体" w:hAnsi="宋体" w:eastAsia="宋体" w:cs="Times New Roman"/>
                <w:szCs w:val="21"/>
              </w:rPr>
              <w:t>的，得</w:t>
            </w:r>
            <w:r>
              <w:rPr>
                <w:rFonts w:ascii="宋体" w:hAnsi="宋体" w:eastAsia="宋体" w:cs="Times New Roman"/>
                <w:szCs w:val="21"/>
              </w:rPr>
              <w:t>6</w:t>
            </w:r>
            <w:r>
              <w:rPr>
                <w:rFonts w:hint="eastAsia" w:ascii="宋体" w:hAnsi="宋体" w:eastAsia="宋体" w:cs="Times New Roman"/>
                <w:szCs w:val="21"/>
              </w:rPr>
              <w:t>分，</w:t>
            </w:r>
            <w:r>
              <w:rPr>
                <w:rFonts w:ascii="宋体" w:hAnsi="宋体" w:eastAsia="宋体" w:cs="Times New Roman"/>
                <w:szCs w:val="21"/>
              </w:rPr>
              <w:t>10%~15%</w:t>
            </w:r>
            <w:r>
              <w:rPr>
                <w:rFonts w:hint="eastAsia" w:ascii="宋体" w:hAnsi="宋体" w:eastAsia="宋体" w:cs="Times New Roman"/>
                <w:szCs w:val="21"/>
              </w:rPr>
              <w:t>的，得</w:t>
            </w:r>
            <w:r>
              <w:rPr>
                <w:rFonts w:ascii="宋体" w:hAnsi="宋体" w:eastAsia="宋体" w:cs="Times New Roman"/>
                <w:szCs w:val="21"/>
              </w:rPr>
              <w:t>5</w:t>
            </w:r>
            <w:r>
              <w:rPr>
                <w:rFonts w:hint="eastAsia" w:ascii="宋体" w:hAnsi="宋体" w:eastAsia="宋体" w:cs="Times New Roman"/>
                <w:szCs w:val="21"/>
              </w:rPr>
              <w:t>分，</w:t>
            </w:r>
            <w:r>
              <w:rPr>
                <w:rFonts w:ascii="宋体" w:hAnsi="宋体" w:eastAsia="宋体" w:cs="Times New Roman"/>
                <w:szCs w:val="21"/>
              </w:rPr>
              <w:t>15%~20%</w:t>
            </w:r>
            <w:r>
              <w:rPr>
                <w:rFonts w:hint="eastAsia" w:ascii="宋体" w:hAnsi="宋体" w:eastAsia="宋体" w:cs="Times New Roman"/>
                <w:szCs w:val="21"/>
              </w:rPr>
              <w:t>的，得</w:t>
            </w:r>
            <w:r>
              <w:rPr>
                <w:rFonts w:ascii="宋体" w:hAnsi="宋体" w:eastAsia="宋体" w:cs="Times New Roman"/>
                <w:szCs w:val="21"/>
              </w:rPr>
              <w:t>4</w:t>
            </w:r>
            <w:r>
              <w:rPr>
                <w:rFonts w:hint="eastAsia" w:ascii="宋体" w:hAnsi="宋体" w:eastAsia="宋体" w:cs="Times New Roman"/>
                <w:szCs w:val="21"/>
              </w:rPr>
              <w:t>分，</w:t>
            </w:r>
            <w:r>
              <w:rPr>
                <w:rFonts w:ascii="宋体" w:hAnsi="宋体" w:eastAsia="宋体" w:cs="Times New Roman"/>
                <w:szCs w:val="21"/>
              </w:rPr>
              <w:t>20%~25%</w:t>
            </w:r>
            <w:r>
              <w:rPr>
                <w:rFonts w:hint="eastAsia" w:ascii="宋体" w:hAnsi="宋体" w:eastAsia="宋体" w:cs="Times New Roman"/>
                <w:szCs w:val="21"/>
              </w:rPr>
              <w:t>的，得</w:t>
            </w:r>
            <w:r>
              <w:rPr>
                <w:rFonts w:ascii="宋体" w:hAnsi="宋体" w:eastAsia="宋体" w:cs="Times New Roman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分，</w:t>
            </w:r>
            <w:r>
              <w:rPr>
                <w:rFonts w:ascii="宋体" w:hAnsi="宋体" w:eastAsia="宋体" w:cs="Times New Roman"/>
                <w:szCs w:val="21"/>
              </w:rPr>
              <w:t>25~30</w:t>
            </w:r>
            <w:r>
              <w:rPr>
                <w:rFonts w:hint="eastAsia" w:ascii="宋体" w:hAnsi="宋体" w:eastAsia="宋体" w:cs="Times New Roman"/>
                <w:szCs w:val="21"/>
              </w:rPr>
              <w:t>的，得</w:t>
            </w:r>
            <w:r>
              <w:rPr>
                <w:rFonts w:ascii="宋体" w:hAnsi="宋体" w:eastAsia="宋体" w:cs="Times New Roman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>分，超出</w:t>
            </w:r>
            <w:r>
              <w:rPr>
                <w:rFonts w:ascii="宋体" w:hAnsi="宋体" w:eastAsia="宋体" w:cs="Times New Roman"/>
                <w:szCs w:val="21"/>
              </w:rPr>
              <w:t>30%</w:t>
            </w:r>
            <w:r>
              <w:rPr>
                <w:rFonts w:hint="eastAsia" w:ascii="宋体" w:hAnsi="宋体" w:eastAsia="宋体" w:cs="Times New Roman"/>
                <w:szCs w:val="21"/>
              </w:rPr>
              <w:t>的，得</w:t>
            </w:r>
            <w:r>
              <w:rPr>
                <w:rFonts w:ascii="宋体" w:hAnsi="宋体" w:eastAsia="宋体" w:cs="Times New Roman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</w:rPr>
              <w:t>分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180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设计变更</w:t>
            </w:r>
          </w:p>
        </w:tc>
        <w:tc>
          <w:tcPr>
            <w:tcW w:w="8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是否按审批手续报审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是否主动控制变更成本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六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配合与服务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15</w:t>
            </w: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10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履约准备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3</w:t>
            </w: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是否能够按照要求签订合同及补充协议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180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竣工移交</w:t>
            </w:r>
          </w:p>
        </w:tc>
        <w:tc>
          <w:tcPr>
            <w:tcW w:w="8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是否能够按合同要求及时申报工程结决算、办理工程竣工移交手续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是否能够向委托单位提交完整的工程档案资料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12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配合情况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3</w:t>
            </w: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对委托单位交办的工作积极完成的，得</w:t>
            </w:r>
            <w:r>
              <w:rPr>
                <w:rFonts w:ascii="宋体" w:hAnsi="宋体" w:eastAsia="宋体" w:cs="Times New Roman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分；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对委托单位交办的工作能完成但态度不积极的，得</w:t>
            </w:r>
            <w:r>
              <w:rPr>
                <w:rFonts w:ascii="宋体" w:hAnsi="宋体" w:eastAsia="宋体" w:cs="Times New Roman"/>
                <w:szCs w:val="21"/>
              </w:rPr>
              <w:t>2~1</w:t>
            </w:r>
            <w:r>
              <w:rPr>
                <w:rFonts w:hint="eastAsia" w:ascii="宋体" w:hAnsi="宋体" w:eastAsia="宋体" w:cs="Times New Roman"/>
                <w:szCs w:val="21"/>
              </w:rPr>
              <w:t>分；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对委托单位交办的工作拒不完成的，得</w:t>
            </w:r>
            <w:r>
              <w:rPr>
                <w:rFonts w:ascii="宋体" w:hAnsi="宋体" w:eastAsia="宋体" w:cs="Times New Roman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</w:rPr>
              <w:t>分。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13</w:t>
            </w:r>
          </w:p>
        </w:tc>
        <w:tc>
          <w:tcPr>
            <w:tcW w:w="180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诚信情况</w:t>
            </w:r>
          </w:p>
        </w:tc>
        <w:tc>
          <w:tcPr>
            <w:tcW w:w="8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是否有在没有得到相应许可的情况下，对外公开涉及任何机密资料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是否有串通相关单位弄虚作假现象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是否有对违法违规行为隐瞒不报情况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677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1809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合计</w:t>
            </w:r>
          </w:p>
        </w:tc>
        <w:tc>
          <w:tcPr>
            <w:tcW w:w="8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100</w:t>
            </w: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注：</w:t>
            </w: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、工程建设单位可结合其工程特点和具体要求，增加和量化具体评分指标（仅限于二级指标的内容、分值、权重，一级指标项及分值、权重不得调整），制定评分表，并按百分制将分项分值进行调整。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>、规定的评分指标中，招标文件或者合同无委托实施的内容，或者在定期履约评价时尚不具备评价条件的，不计入评分，对总得分按百分制进行折算。</w:t>
            </w:r>
          </w:p>
          <w:p>
            <w:pPr>
              <w:widowControl/>
              <w:ind w:firstLine="420" w:firstLineChars="2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、每一评价指标的量化分值为最高分，建设单位可根据承包商的履约情况在最高分基础上扣分，扣分精确至</w:t>
            </w:r>
            <w:r>
              <w:rPr>
                <w:rFonts w:ascii="宋体" w:hAnsi="宋体" w:eastAsia="宋体" w:cs="Times New Roman"/>
                <w:szCs w:val="21"/>
              </w:rPr>
              <w:t>0.5</w:t>
            </w:r>
            <w:r>
              <w:rPr>
                <w:rFonts w:hint="eastAsia" w:ascii="宋体" w:hAnsi="宋体" w:eastAsia="宋体" w:cs="Times New Roman"/>
                <w:szCs w:val="21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5460" w:firstLineChars="2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评价人签字：</w:t>
            </w:r>
          </w:p>
          <w:p>
            <w:pPr>
              <w:ind w:firstLine="6930" w:firstLineChars="33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</w:tr>
    </w:tbl>
    <w:p>
      <w:pPr>
        <w:rPr>
          <w:rFonts w:ascii="宋体" w:hAnsi="宋体"/>
          <w:szCs w:val="21"/>
        </w:rPr>
      </w:pPr>
    </w:p>
    <w:p>
      <w:r>
        <w:rPr>
          <w:rFonts w:ascii="宋体" w:hAnsi="宋体" w:eastAsia="宋体" w:cs="Times New Roman"/>
          <w:szCs w:val="21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E0C09"/>
    <w:rsid w:val="069E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2020-11-03T08:31:00Z</dcterms:created>
  <dc:creator>Ada</dc:creator>
  <cp:lastModifiedBy>Ada</cp:lastModifiedBy>
  <dcterms:modified xsi:type="dcterms:W3CDTF">2020-11-03T08:35:35Z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