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20"/>
        <w:gridCol w:w="4068"/>
        <w:gridCol w:w="1380"/>
        <w:gridCol w:w="1100"/>
        <w:gridCol w:w="4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附件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深圳市实行政府定价的殡葬服务收费项目和收费标准表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殡葬  服务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管理方式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收费  标准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殡葬基本服务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1.遗体接运（普通殡葬专用车）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行政事业性收费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（收费标准由省发展改革委会同省财政厅制定）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接运费含收殓、装卸费用，不得加收误车费、楼层费、抬尸费等名目的费用。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市区内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跨市（县）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元/具·公里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每具收费不低于120元，以来回程距离计算。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2.遗体火化（普通火化炉）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3.骨灰存放费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元/格位·年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政府减免收费10年，超过10年的部分按标准收费。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4.遗体消毒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经营服务性收费（收费标准由市发展改革委会同市民政局制定）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5.遗体存放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元/具·天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3天内免费，超过3天的部分按标准收费。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6.遗体告别厅租用（小型告别厅）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元/间·次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22"/>
              </w:rPr>
              <w:t>政府减免收费,每次免费时间原则上30分钟内，超过的可酌情收费。含丧礼司仪、两个固定花圈、哀乐播放装置等专用设备。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7.骨灰盒（盅，简易标准型）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元/个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殡葬用品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市殡仪馆提供的租用纸（绢）花圈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经营服务性收费（收费标准由市发展改革委会同市民政局制定）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元/个·次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直径1.5m，含写挽联。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元/个·次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直径1.8m，含写挽联。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公墓服务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1.公益性公墓(骨灰楼堂)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经营服务性收费（收费标准由市发展改革委会同市民政局制定）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（1）墓穴费（含安葬费）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允许各墓园管理单位根据实际，以10000元/穴为基准价，上浮20%，下浮不限。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（2）墓碑石费（含刻字、安放）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允许各墓园管理单位根据实际，以10000元/副为基准价，上浮20%，下浮不限。未提供墓碑石服务的除外。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（3）护墓管理费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元/座.年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其中骨灰楼堂管理费60元/格位.年。表列墓穴、骨灰楼堂管理费收费标准为最高收费标准，下浮不限。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2.未通过“招拍挂”方式取得土地使用权的经营性公墓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收费标准另行制定并公布。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（1）墓穴费（含安葬费）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（2）墓碑石费（含刻字、安放）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（3）护墓管理费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元/座.年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F7312"/>
    <w:rsid w:val="278F7312"/>
    <w:rsid w:val="403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2020-02-15T11:20:00Z</dcterms:created>
  <dc:creator>k</dc:creator>
  <cp:lastModifiedBy>黄卫</cp:lastModifiedBy>
  <dcterms:modified xsi:type="dcterms:W3CDTF">2020-04-07T07:27:50Z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