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exact"/>
        <w:rPr>
          <w:rFonts w:hint="eastAsia" w:ascii="黑体" w:hAnsi="??" w:eastAsia="黑体" w:cs="??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宋体" w:eastAsia="黑体" w:cs="宋体"/>
          <w:color w:val="000000"/>
          <w:kern w:val="0"/>
          <w:sz w:val="24"/>
          <w:szCs w:val="24"/>
        </w:rPr>
        <w:t>附件</w:t>
      </w:r>
      <w:r>
        <w:rPr>
          <w:rFonts w:hint="eastAsia" w:ascii="黑体" w:hAnsi="宋体" w:eastAsia="黑体" w:cs="宋体"/>
          <w:color w:val="000000"/>
          <w:kern w:val="0"/>
          <w:sz w:val="24"/>
          <w:szCs w:val="24"/>
          <w:lang w:val="en-US" w:eastAsia="zh-CN"/>
        </w:rPr>
        <w:t>1：</w:t>
      </w:r>
    </w:p>
    <w:p>
      <w:pPr>
        <w:autoSpaceDN w:val="0"/>
        <w:spacing w:line="560" w:lineRule="exact"/>
        <w:jc w:val="center"/>
        <w:rPr>
          <w:rFonts w:hint="eastAsia" w:ascii="宋体" w:hAnsi="宋体" w:eastAsia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val="en-US" w:eastAsia="zh-CN"/>
        </w:rPr>
        <w:t>坪山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eastAsia="zh-CN"/>
        </w:rPr>
        <w:t>区人才住房（社会存量住房）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</w:rPr>
        <w:t>申请材料清单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val="en-US" w:eastAsia="zh-CN"/>
        </w:rPr>
        <w:t>个人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eastAsia="zh-CN"/>
        </w:rPr>
        <w:t>）</w:t>
      </w:r>
    </w:p>
    <w:p>
      <w:pPr>
        <w:autoSpaceDN w:val="0"/>
        <w:spacing w:line="560" w:lineRule="exact"/>
        <w:jc w:val="center"/>
        <w:rPr>
          <w:rFonts w:hint="eastAsia" w:ascii="宋体" w:hAnsi="宋体"/>
          <w:b/>
          <w:bCs/>
          <w:color w:val="000000"/>
          <w:kern w:val="0"/>
          <w:sz w:val="44"/>
          <w:szCs w:val="44"/>
        </w:rPr>
      </w:pPr>
    </w:p>
    <w:tbl>
      <w:tblPr>
        <w:tblStyle w:val="3"/>
        <w:tblW w:w="9723" w:type="dxa"/>
        <w:jc w:val="center"/>
        <w:tblInd w:w="-3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840"/>
        <w:gridCol w:w="1575"/>
        <w:gridCol w:w="840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材料形式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份数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坪山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人才住房优惠租金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（社会存量住房）申请表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原件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申请表见附件1-1，可打印填写或申请人在受理地点填写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申请人有效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身份证件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身份证、护照或其他有效身份证明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配偶、未成年子女身份证件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（已婚必须提供）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身份证、护照或其他有效身份证明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申请人婚姻材料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复印件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已婚的提交结婚证；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离异的提交离婚证及离婚协议或法院判决书；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再婚的提交结婚证及离婚材料；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丧偶的提交结婚证及死亡证明。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大专、本科、硕士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或博士学历毕业证书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有多个学历证书的提供最高学历证书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初、中、高级专业技术资格（初级为助理级）；高级工职业资格、技师、高级技师职业资格；专项职业能力一、二、三级。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有多个资格的提供最高等级证书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社保缴纳清单（时间截止递交材料当月）</w:t>
            </w:r>
          </w:p>
          <w:p>
            <w:pPr>
              <w:numPr>
                <w:ilvl w:val="0"/>
                <w:numId w:val="0"/>
              </w:numPr>
              <w:autoSpaceDN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ind w:firstLine="240" w:firstLineChars="1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社保缴纳清单以社保局盖章件为准</w:t>
            </w:r>
          </w:p>
        </w:tc>
      </w:tr>
    </w:tbl>
    <w:p>
      <w:pPr>
        <w:spacing w:line="540" w:lineRule="exact"/>
        <w:rPr>
          <w:rFonts w:hint="eastAsia" w:ascii="仿宋" w:hAnsi="仿宋" w:eastAsia="仿宋" w:cs="仿宋"/>
          <w:kern w:val="0"/>
          <w:sz w:val="24"/>
          <w:szCs w:val="24"/>
          <w:highlight w:val="yellow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附注：</w:t>
      </w:r>
      <w:r>
        <w:rPr>
          <w:rFonts w:hint="eastAsia"/>
          <w:b/>
          <w:bCs/>
          <w:sz w:val="24"/>
          <w:szCs w:val="24"/>
          <w:lang w:eastAsia="zh-CN"/>
        </w:rPr>
        <w:t>申请人在复印件材料上签字后交泊寓公司，由泊寓公司验原件，收复印件。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E11A7"/>
    <w:rsid w:val="122E11A7"/>
    <w:rsid w:val="5867039B"/>
    <w:rsid w:val="66E2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2019-12-11T07:52:00Z</dcterms:created>
  <dc:creator>林亚英</dc:creator>
  <cp:lastModifiedBy>林亚英</cp:lastModifiedBy>
  <dcterms:modified xsi:type="dcterms:W3CDTF">2019-12-12T07:55:48Z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