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74" w:rsidRPr="00231977" w:rsidRDefault="005B2E74" w:rsidP="005B2E7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附件1</w:t>
      </w:r>
    </w:p>
    <w:p w:rsidR="005B2E74" w:rsidRPr="00231977" w:rsidRDefault="005B2E74" w:rsidP="005B2E74">
      <w:pPr>
        <w:spacing w:line="560" w:lineRule="exact"/>
        <w:jc w:val="center"/>
        <w:outlineLvl w:val="0"/>
        <w:rPr>
          <w:rFonts w:ascii="宋体" w:hAnsi="宋体" w:hint="eastAsia"/>
          <w:sz w:val="44"/>
          <w:szCs w:val="44"/>
        </w:rPr>
      </w:pPr>
      <w:r w:rsidRPr="00231977">
        <w:rPr>
          <w:rFonts w:ascii="宋体" w:hAnsi="宋体" w:hint="eastAsia"/>
          <w:sz w:val="44"/>
          <w:szCs w:val="44"/>
        </w:rPr>
        <w:t>201</w:t>
      </w:r>
      <w:r>
        <w:rPr>
          <w:rFonts w:ascii="宋体" w:hAnsi="宋体" w:hint="eastAsia"/>
          <w:sz w:val="44"/>
          <w:szCs w:val="44"/>
        </w:rPr>
        <w:t>7年</w:t>
      </w:r>
      <w:proofErr w:type="gramStart"/>
      <w:r>
        <w:rPr>
          <w:rFonts w:ascii="宋体" w:hAnsi="宋体" w:hint="eastAsia"/>
          <w:sz w:val="44"/>
          <w:szCs w:val="44"/>
        </w:rPr>
        <w:t>坪山</w:t>
      </w:r>
      <w:r w:rsidRPr="00231977">
        <w:rPr>
          <w:rFonts w:ascii="宋体" w:hAnsi="宋体" w:hint="eastAsia"/>
          <w:sz w:val="44"/>
          <w:szCs w:val="44"/>
        </w:rPr>
        <w:t>区</w:t>
      </w:r>
      <w:proofErr w:type="gramEnd"/>
      <w:r w:rsidRPr="00231977">
        <w:rPr>
          <w:rFonts w:ascii="宋体" w:hAnsi="宋体" w:hint="eastAsia"/>
          <w:sz w:val="44"/>
          <w:szCs w:val="44"/>
        </w:rPr>
        <w:t>政府集中采购目录</w:t>
      </w:r>
    </w:p>
    <w:p w:rsidR="005B2E74" w:rsidRPr="00231977" w:rsidRDefault="005B2E74" w:rsidP="005B2E74">
      <w:pPr>
        <w:spacing w:line="560" w:lineRule="exact"/>
        <w:jc w:val="center"/>
        <w:outlineLvl w:val="0"/>
        <w:rPr>
          <w:rFonts w:ascii="宋体" w:hAnsi="宋体" w:hint="eastAsia"/>
          <w:sz w:val="36"/>
          <w:szCs w:val="36"/>
        </w:rPr>
      </w:pPr>
      <w:r w:rsidRPr="00231977">
        <w:rPr>
          <w:rFonts w:ascii="宋体" w:hAnsi="宋体" w:hint="eastAsia"/>
          <w:sz w:val="36"/>
          <w:szCs w:val="36"/>
        </w:rPr>
        <w:t>（政府集中采购机构组织实施的项目）</w:t>
      </w:r>
    </w:p>
    <w:p w:rsidR="005B2E74" w:rsidRPr="00231977" w:rsidRDefault="005B2E74" w:rsidP="005B2E74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8092" w:type="dxa"/>
        <w:tblLayout w:type="fixed"/>
        <w:tblLook w:val="0000"/>
      </w:tblPr>
      <w:tblGrid>
        <w:gridCol w:w="1526"/>
        <w:gridCol w:w="2693"/>
        <w:gridCol w:w="3873"/>
      </w:tblGrid>
      <w:tr w:rsidR="005B2E74" w:rsidRPr="00231977" w:rsidTr="00D8535F">
        <w:trPr>
          <w:trHeight w:val="37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bCs/>
                <w:kern w:val="0"/>
                <w:sz w:val="24"/>
              </w:rPr>
              <w:t>编码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4"/>
              </w:rPr>
              <w:t>政府</w:t>
            </w:r>
            <w:r w:rsidRPr="00231977">
              <w:rPr>
                <w:rFonts w:ascii="仿宋" w:eastAsia="仿宋" w:hAnsi="仿宋" w:cs="Arial" w:hint="eastAsia"/>
                <w:bCs/>
                <w:kern w:val="0"/>
                <w:sz w:val="24"/>
              </w:rPr>
              <w:t>采购品目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bCs/>
                <w:kern w:val="0"/>
                <w:sz w:val="24"/>
              </w:rPr>
              <w:t>备注</w:t>
            </w:r>
          </w:p>
        </w:tc>
      </w:tr>
      <w:tr w:rsidR="005B2E74" w:rsidRPr="00440CD3" w:rsidTr="00D8535F">
        <w:trPr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440CD3" w:rsidRDefault="005B2E74" w:rsidP="00D8535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440CD3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440CD3" w:rsidRDefault="005B2E74" w:rsidP="00D8535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440CD3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货物类</w:t>
            </w:r>
          </w:p>
        </w:tc>
      </w:tr>
      <w:tr w:rsidR="005B2E74" w:rsidRPr="00231977" w:rsidTr="00D8535F">
        <w:trPr>
          <w:trHeight w:val="164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空调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1.专指民用空调，包括壁挂式空调、柜式空调、天花式空调三种，不含窗式空调和专业精密空调；2.按预算金额大小，分别实行电商、竞价或公开招标采购（标准详见说明）。</w:t>
            </w:r>
          </w:p>
        </w:tc>
      </w:tr>
      <w:tr w:rsidR="005B2E74" w:rsidRPr="00231977" w:rsidTr="00D8535F">
        <w:trPr>
          <w:trHeight w:val="9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台式计算机（含一体机）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按预算金额大小，分别实行电商、竞价或公开招标采购（标准详见说明）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普通激光式打印机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1.非涉密打印机，按预算金额大小，分别实行电商、竞价或公开招标采购（标准详见说明）；2.涉密打印机，实行预选采购。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工作组激光式打印机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针式打印机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彩色喷墨打印机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一般喷墨打印机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多功能一体机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按预算金额大小，分别实行电商、竞价或公开招标采购（标准详见说明）。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传真机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碎纸机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投影仪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扫描仪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不间断电源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办公家具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预算金额50万元（含）以上、200万元以下实行预选采购。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宿舍家具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A030399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其他家具</w:t>
            </w: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A0304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手提电脑（含平板电脑）</w:t>
            </w:r>
          </w:p>
        </w:tc>
        <w:tc>
          <w:tcPr>
            <w:tcW w:w="38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按预算金额大小，分别实行电商、竞价或公开招标采购（标准详见说明）。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电视机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摄影器材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摄像器材</w:t>
            </w:r>
          </w:p>
        </w:tc>
        <w:tc>
          <w:tcPr>
            <w:tcW w:w="3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速印机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1.非涉密设备，按预算金额大小，分别实行电商、竞价或公开招标采购（标准详见说明）；</w:t>
            </w:r>
          </w:p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2.涉密复印机，实行预选采购。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A030901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中高速数码复印机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A030902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模拟复印机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A04000101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复印纸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1.不需编报采购预算和集中采购计划；2.实行电商供货。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A04000102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传真纸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A04000103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打印纸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A0607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食堂物资配送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预算金额50万元（含）以上的实行预选采购。</w:t>
            </w:r>
          </w:p>
        </w:tc>
      </w:tr>
      <w:tr w:rsidR="005B2E74" w:rsidRPr="00231977" w:rsidTr="00D8535F">
        <w:trPr>
          <w:trHeight w:val="63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A070301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图书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1.专指中文图书，图书类项目中的进口图书、电子图书、中外文报刊暂不纳入政府集中采购范围；2.实行预选采购；3.预算金额50万元以下不需编报采购预算和集中采购计划；4.预算金额5万元以下采购项目，采购人可根据实际情况选择预选采购或自行采购；5.</w:t>
            </w:r>
            <w:r w:rsidRPr="00231977">
              <w:rPr>
                <w:rFonts w:ascii="仿宋" w:eastAsia="仿宋" w:hAnsi="仿宋" w:hint="eastAsia"/>
              </w:rPr>
              <w:t xml:space="preserve"> </w:t>
            </w: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预算金额在200万元（含）以上的，可实行预选采购，也可采用公开招标。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A100401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服务器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按预算金额大小，分别实行电商、竞价或公开招标采购（标准详见说明）。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A100402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路由器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A100403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交换机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A100405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防火墙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6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A11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交通工具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普通公务用车，公开竞价方式采购；特种车辆（如消防车、急救车、通讯指挥车、勘察探测车等）以及改装车辆，公开招标方式采购。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E93453" w:rsidRDefault="005B2E74" w:rsidP="00D8535F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93453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lastRenderedPageBreak/>
              <w:t>C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E93453" w:rsidRDefault="005B2E74" w:rsidP="00D8535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E93453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服务类</w:t>
            </w:r>
          </w:p>
        </w:tc>
      </w:tr>
      <w:tr w:rsidR="005B2E74" w:rsidRPr="00231977" w:rsidTr="00D8535F">
        <w:trPr>
          <w:trHeight w:val="16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Del="00BC320F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C0100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印刷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1. 预算金额10万元以下自行采购；2.预算金额10万元（含）以上实行预选采购；</w:t>
            </w:r>
          </w:p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3.预算金额50万元以下不需编报采购预算和集中采购计划。</w:t>
            </w:r>
          </w:p>
        </w:tc>
      </w:tr>
      <w:tr w:rsidR="005B2E74" w:rsidRPr="00231977" w:rsidTr="00D8535F">
        <w:trPr>
          <w:trHeight w:val="25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C0203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家具监理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预算金额50万元（含）以上的家具类项目应当引入第三方监理，各采购单位从战略合作伙伴库中自行选择合作伙伴；预算金额在 50 万元以下的家具类项目，不强制执行监理制度，由各采购单位自主决定是否引入第三方监理。</w:t>
            </w:r>
          </w:p>
        </w:tc>
      </w:tr>
      <w:tr w:rsidR="005B2E74" w:rsidRPr="00231977" w:rsidTr="00D8535F">
        <w:trPr>
          <w:trHeight w:val="26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C0205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会计服务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1.专指会计中介服务；</w:t>
            </w:r>
          </w:p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2. 200万元以下的实行预选采购；</w:t>
            </w:r>
          </w:p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3.预算金额50万元以下不需编报采购预算和集中采购计划，采购人从预选供应商库中自行选择供应商采购；4.预算金额50万元（含）以上、200万元以下的，按预选规则执行。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C0701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车辆保险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1.不需编报采购预算和集中采购计划；2.实行预选采购。</w:t>
            </w: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C0702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车辆加油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C0703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车辆维修</w:t>
            </w:r>
          </w:p>
        </w:tc>
        <w:tc>
          <w:tcPr>
            <w:tcW w:w="3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5B2E74" w:rsidRPr="00231977" w:rsidTr="00D8535F">
        <w:trPr>
          <w:trHeight w:val="166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C0902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国外培训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因公出国（境）代理服务的，实行预选采购；境外推介洽谈、招商、会议、专题宣传、展览、交流演出、宴请等，非本市组团的公务出国，暂不纳入预选采购范围。</w:t>
            </w:r>
          </w:p>
        </w:tc>
      </w:tr>
      <w:tr w:rsidR="005B2E74" w:rsidRPr="00231977" w:rsidTr="00D8535F">
        <w:trPr>
          <w:trHeight w:val="197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C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1300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人才派遣服务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E74" w:rsidRPr="00231977" w:rsidRDefault="005B2E74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231977">
              <w:rPr>
                <w:rFonts w:ascii="仿宋" w:eastAsia="仿宋" w:hAnsi="仿宋" w:cs="Arial" w:hint="eastAsia"/>
                <w:kern w:val="0"/>
                <w:sz w:val="24"/>
              </w:rPr>
              <w:t>不需编报采购预算和集中采购计划；3.实行预选采购（领取工资补贴和公益性岗位人员、涉密岗位人员、退休人员及保安不在人才派遣适用人员范围之内）。</w:t>
            </w:r>
          </w:p>
        </w:tc>
      </w:tr>
    </w:tbl>
    <w:p w:rsidR="005B2E74" w:rsidRPr="00231977" w:rsidRDefault="005B2E74" w:rsidP="005B2E7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说明：</w:t>
      </w:r>
    </w:p>
    <w:p w:rsidR="005B2E74" w:rsidRPr="00231977" w:rsidRDefault="005B2E74" w:rsidP="005B2E74">
      <w:pPr>
        <w:spacing w:line="56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481873">
        <w:rPr>
          <w:rFonts w:ascii="仿宋" w:eastAsia="仿宋" w:hAnsi="仿宋" w:hint="eastAsia"/>
          <w:sz w:val="32"/>
          <w:szCs w:val="32"/>
        </w:rPr>
        <w:lastRenderedPageBreak/>
        <w:t>1.以上目录按照金</w:t>
      </w:r>
      <w:proofErr w:type="gramStart"/>
      <w:r w:rsidRPr="00481873">
        <w:rPr>
          <w:rFonts w:ascii="仿宋" w:eastAsia="仿宋" w:hAnsi="仿宋" w:hint="eastAsia"/>
          <w:sz w:val="32"/>
          <w:szCs w:val="32"/>
        </w:rPr>
        <w:t>财工程</w:t>
      </w:r>
      <w:proofErr w:type="gramEnd"/>
      <w:r w:rsidRPr="00481873">
        <w:rPr>
          <w:rFonts w:ascii="仿宋" w:eastAsia="仿宋" w:hAnsi="仿宋" w:hint="eastAsia"/>
          <w:sz w:val="32"/>
          <w:szCs w:val="32"/>
        </w:rPr>
        <w:t>部门预算系统中的政府采购品目制定。</w:t>
      </w:r>
    </w:p>
    <w:p w:rsidR="005B2E74" w:rsidRPr="00231977" w:rsidRDefault="005B2E74" w:rsidP="005B2E74">
      <w:pPr>
        <w:spacing w:line="56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2.以上项目中的复印纸A04000101、传真纸A04000102、打印纸A04000103、车辆保险C0701、车辆加油C0702、车辆维修C0703、人才派遣服务</w:t>
      </w:r>
      <w:r>
        <w:rPr>
          <w:rFonts w:ascii="仿宋" w:eastAsia="仿宋" w:hAnsi="仿宋" w:hint="eastAsia"/>
          <w:sz w:val="32"/>
          <w:szCs w:val="32"/>
        </w:rPr>
        <w:t>C1300</w:t>
      </w:r>
      <w:r w:rsidRPr="00231977">
        <w:rPr>
          <w:rFonts w:ascii="仿宋" w:eastAsia="仿宋" w:hAnsi="仿宋" w:hint="eastAsia"/>
          <w:sz w:val="32"/>
          <w:szCs w:val="32"/>
        </w:rPr>
        <w:t>相应编报公用经费预算或项目预算即可，不需编报政府采购预算，直接向电商或预选供应商采购。</w:t>
      </w:r>
    </w:p>
    <w:p w:rsidR="005B2E74" w:rsidRPr="00231977" w:rsidRDefault="005B2E74" w:rsidP="005B2E74">
      <w:pPr>
        <w:spacing w:line="56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3.以上项目中的图书A070301、印刷C0100，预算金额50万元以下的项目编报项目预算即可，不需编报政府采购预算，可依规定向预选供货商采购；会计服务C0205，预算金额50万元以下的项目编报项目预算即可，不需编报政府采购预算，采购人从预选供应商库中自行选择供应商采购。</w:t>
      </w:r>
    </w:p>
    <w:p w:rsidR="005B2E74" w:rsidRPr="00231977" w:rsidRDefault="005B2E74" w:rsidP="005B2E74">
      <w:pPr>
        <w:spacing w:line="56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4.以上项目，除上述第2点和第3点规定的特殊情形以外，采购人均应编报政府采购预算。</w:t>
      </w:r>
    </w:p>
    <w:p w:rsidR="005B2E74" w:rsidRPr="00231977" w:rsidRDefault="005B2E74" w:rsidP="005B2E74">
      <w:pPr>
        <w:spacing w:line="56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5.以上按预算金额大小，分别实行电商、竞价或公开招标采购的项目，其具体标准为：预算金额在</w:t>
      </w:r>
      <w:r w:rsidRPr="00231977">
        <w:rPr>
          <w:rFonts w:ascii="仿宋" w:eastAsia="仿宋" w:hAnsi="仿宋"/>
          <w:sz w:val="32"/>
          <w:szCs w:val="32"/>
        </w:rPr>
        <w:t>50</w:t>
      </w:r>
      <w:r w:rsidRPr="00231977">
        <w:rPr>
          <w:rFonts w:ascii="仿宋" w:eastAsia="仿宋" w:hAnsi="仿宋" w:hint="eastAsia"/>
          <w:sz w:val="32"/>
          <w:szCs w:val="32"/>
        </w:rPr>
        <w:t>万元以下的，由采购人在</w:t>
      </w:r>
      <w:proofErr w:type="gramStart"/>
      <w:r w:rsidRPr="00231977">
        <w:rPr>
          <w:rFonts w:ascii="仿宋" w:eastAsia="仿宋" w:hAnsi="仿宋" w:hint="eastAsia"/>
          <w:sz w:val="32"/>
          <w:szCs w:val="32"/>
        </w:rPr>
        <w:t>入围电</w:t>
      </w:r>
      <w:proofErr w:type="gramEnd"/>
      <w:r w:rsidRPr="00231977">
        <w:rPr>
          <w:rFonts w:ascii="仿宋" w:eastAsia="仿宋" w:hAnsi="仿宋" w:hint="eastAsia"/>
          <w:sz w:val="32"/>
          <w:szCs w:val="32"/>
        </w:rPr>
        <w:t>商中直接下单采购，也可采取指定品牌竞价采购；</w:t>
      </w:r>
      <w:r w:rsidRPr="00231977">
        <w:rPr>
          <w:rFonts w:ascii="仿宋" w:eastAsia="仿宋" w:hAnsi="仿宋"/>
          <w:sz w:val="32"/>
          <w:szCs w:val="32"/>
        </w:rPr>
        <w:t>50</w:t>
      </w:r>
      <w:r w:rsidRPr="00231977">
        <w:rPr>
          <w:rFonts w:ascii="仿宋" w:eastAsia="仿宋" w:hAnsi="仿宋" w:hint="eastAsia"/>
          <w:sz w:val="32"/>
          <w:szCs w:val="32"/>
        </w:rPr>
        <w:t>万元（含）以上</w:t>
      </w:r>
      <w:r w:rsidRPr="00231977">
        <w:rPr>
          <w:rFonts w:ascii="仿宋" w:eastAsia="仿宋" w:hAnsi="仿宋"/>
          <w:sz w:val="32"/>
          <w:szCs w:val="32"/>
        </w:rPr>
        <w:t>200</w:t>
      </w:r>
      <w:r w:rsidRPr="00231977">
        <w:rPr>
          <w:rFonts w:ascii="仿宋" w:eastAsia="仿宋" w:hAnsi="仿宋" w:hint="eastAsia"/>
          <w:sz w:val="32"/>
          <w:szCs w:val="32"/>
        </w:rPr>
        <w:t>万元以下的，采取推荐</w:t>
      </w:r>
      <w:r w:rsidRPr="00231977">
        <w:rPr>
          <w:rFonts w:ascii="仿宋" w:eastAsia="仿宋" w:hAnsi="仿宋"/>
          <w:sz w:val="32"/>
          <w:szCs w:val="32"/>
        </w:rPr>
        <w:t>3</w:t>
      </w:r>
      <w:r w:rsidRPr="00231977">
        <w:rPr>
          <w:rFonts w:ascii="仿宋" w:eastAsia="仿宋" w:hAnsi="仿宋" w:hint="eastAsia"/>
          <w:sz w:val="32"/>
          <w:szCs w:val="32"/>
        </w:rPr>
        <w:t>个或</w:t>
      </w:r>
      <w:r w:rsidRPr="00231977">
        <w:rPr>
          <w:rFonts w:ascii="仿宋" w:eastAsia="仿宋" w:hAnsi="仿宋"/>
          <w:sz w:val="32"/>
          <w:szCs w:val="32"/>
        </w:rPr>
        <w:t>3</w:t>
      </w:r>
      <w:r w:rsidRPr="00231977">
        <w:rPr>
          <w:rFonts w:ascii="仿宋" w:eastAsia="仿宋" w:hAnsi="仿宋" w:hint="eastAsia"/>
          <w:sz w:val="32"/>
          <w:szCs w:val="32"/>
        </w:rPr>
        <w:t>个以上品牌竞价采购；</w:t>
      </w:r>
      <w:r w:rsidRPr="00231977">
        <w:rPr>
          <w:rFonts w:ascii="仿宋" w:eastAsia="仿宋" w:hAnsi="仿宋"/>
          <w:sz w:val="32"/>
          <w:szCs w:val="32"/>
        </w:rPr>
        <w:t>200</w:t>
      </w:r>
      <w:r w:rsidRPr="00231977">
        <w:rPr>
          <w:rFonts w:ascii="仿宋" w:eastAsia="仿宋" w:hAnsi="仿宋" w:hint="eastAsia"/>
          <w:sz w:val="32"/>
          <w:szCs w:val="32"/>
        </w:rPr>
        <w:t>万元（含）以上的项目，既可以公开招标(由社会采购代理机构组织实施)，也可以推荐</w:t>
      </w:r>
      <w:r w:rsidRPr="00231977">
        <w:rPr>
          <w:rFonts w:ascii="仿宋" w:eastAsia="仿宋" w:hAnsi="仿宋"/>
          <w:sz w:val="32"/>
          <w:szCs w:val="32"/>
        </w:rPr>
        <w:t>3</w:t>
      </w:r>
      <w:r w:rsidRPr="00231977">
        <w:rPr>
          <w:rFonts w:ascii="仿宋" w:eastAsia="仿宋" w:hAnsi="仿宋" w:hint="eastAsia"/>
          <w:sz w:val="32"/>
          <w:szCs w:val="32"/>
        </w:rPr>
        <w:t>个或</w:t>
      </w:r>
      <w:r w:rsidRPr="00231977">
        <w:rPr>
          <w:rFonts w:ascii="仿宋" w:eastAsia="仿宋" w:hAnsi="仿宋"/>
          <w:sz w:val="32"/>
          <w:szCs w:val="32"/>
        </w:rPr>
        <w:t>3</w:t>
      </w:r>
      <w:r w:rsidRPr="00231977">
        <w:rPr>
          <w:rFonts w:ascii="仿宋" w:eastAsia="仿宋" w:hAnsi="仿宋" w:hint="eastAsia"/>
          <w:sz w:val="32"/>
          <w:szCs w:val="32"/>
        </w:rPr>
        <w:t>个以上品牌竞价采购。</w:t>
      </w:r>
    </w:p>
    <w:p w:rsidR="005B2E74" w:rsidRPr="00231977" w:rsidRDefault="005B2E74" w:rsidP="005B2E74">
      <w:pPr>
        <w:spacing w:line="56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6.以上项目中</w:t>
      </w:r>
      <w:r>
        <w:rPr>
          <w:rFonts w:ascii="仿宋" w:eastAsia="仿宋" w:hAnsi="仿宋" w:hint="eastAsia"/>
          <w:sz w:val="32"/>
          <w:szCs w:val="32"/>
        </w:rPr>
        <w:t>的</w:t>
      </w:r>
      <w:r w:rsidRPr="00231977">
        <w:rPr>
          <w:rFonts w:ascii="仿宋" w:eastAsia="仿宋" w:hAnsi="仿宋" w:hint="eastAsia"/>
          <w:sz w:val="32"/>
          <w:szCs w:val="32"/>
        </w:rPr>
        <w:t>国际招标项目应当由具备国际招标能力的社会采购代理机构实施。</w:t>
      </w:r>
    </w:p>
    <w:p w:rsidR="005B2E74" w:rsidRPr="00231977" w:rsidRDefault="005B2E74" w:rsidP="005B2E74">
      <w:pPr>
        <w:spacing w:line="56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7.以上项目中的办公家具A030301、宿舍家具A030302、</w:t>
      </w:r>
      <w:r w:rsidRPr="00231977">
        <w:rPr>
          <w:rFonts w:ascii="仿宋" w:eastAsia="仿宋" w:hAnsi="仿宋" w:hint="eastAsia"/>
          <w:sz w:val="32"/>
          <w:szCs w:val="32"/>
        </w:rPr>
        <w:lastRenderedPageBreak/>
        <w:t>其他家具A030399、会计服务C0205预算金额200万元（含）以上的，</w:t>
      </w:r>
      <w:r>
        <w:rPr>
          <w:rFonts w:ascii="仿宋" w:eastAsia="仿宋" w:hAnsi="仿宋" w:hint="eastAsia"/>
          <w:sz w:val="32"/>
          <w:szCs w:val="32"/>
        </w:rPr>
        <w:t>和</w:t>
      </w:r>
      <w:r w:rsidRPr="00D22D31">
        <w:rPr>
          <w:rFonts w:ascii="仿宋" w:eastAsia="仿宋" w:hAnsi="仿宋" w:hint="eastAsia"/>
          <w:sz w:val="32"/>
          <w:szCs w:val="32"/>
        </w:rPr>
        <w:t>特种车辆（如消防车、急救车、通讯指挥车、勘察探测车等）及改装车辆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31977">
        <w:rPr>
          <w:rFonts w:ascii="仿宋" w:eastAsia="仿宋" w:hAnsi="仿宋" w:hint="eastAsia"/>
          <w:sz w:val="32"/>
          <w:szCs w:val="32"/>
        </w:rPr>
        <w:t xml:space="preserve">实行公开招标，由社会采购代理机构组织实施。预算金额200万元（含）以上的图书A070301，若采购人选择公开招标，则由社会采购代理机构组织实施。 </w:t>
      </w:r>
    </w:p>
    <w:p w:rsidR="005B2E74" w:rsidRPr="00231977" w:rsidRDefault="005B2E74" w:rsidP="005B2E74">
      <w:pPr>
        <w:spacing w:line="560" w:lineRule="exact"/>
        <w:ind w:firstLine="646"/>
        <w:rPr>
          <w:rFonts w:ascii="仿宋" w:eastAsia="仿宋" w:hAnsi="仿宋" w:hint="eastAsia"/>
          <w:sz w:val="32"/>
          <w:szCs w:val="32"/>
        </w:rPr>
      </w:pPr>
    </w:p>
    <w:p w:rsidR="005B2E74" w:rsidRPr="00231977" w:rsidRDefault="005B2E74" w:rsidP="005B2E74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35508" w:rsidRDefault="005B2E74" w:rsidP="005B2E74">
      <w:r>
        <w:br w:type="page"/>
      </w:r>
    </w:p>
    <w:sectPr w:rsidR="00035508" w:rsidSect="0003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E74"/>
    <w:rsid w:val="00035508"/>
    <w:rsid w:val="005B2E74"/>
    <w:rsid w:val="0084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2127</Characters>
  <Application>Microsoft Office Word</Application>
  <DocSecurity>0</DocSecurity>
  <Lines>17</Lines>
  <Paragraphs>4</Paragraphs>
  <ScaleCrop>false</ScaleCrop>
  <Company>Chinese ORG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裴吉光</dc:creator>
  <cp:lastModifiedBy>裴吉光</cp:lastModifiedBy>
  <cp:revision>1</cp:revision>
  <dcterms:created xsi:type="dcterms:W3CDTF">2017-03-17T02:07:00Z</dcterms:created>
  <dcterms:modified xsi:type="dcterms:W3CDTF">2017-03-17T02:07:00Z</dcterms:modified>
</cp:coreProperties>
</file>