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9" w:rsidRPr="00973ED2" w:rsidRDefault="005D55A9" w:rsidP="005D55A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5D55A9" w:rsidRPr="00973ED2" w:rsidRDefault="005D55A9" w:rsidP="005D55A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深圳市贵金属及珠宝玉石产品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392"/>
        <w:gridCol w:w="1701"/>
        <w:gridCol w:w="1276"/>
        <w:gridCol w:w="2410"/>
        <w:gridCol w:w="1276"/>
        <w:gridCol w:w="2551"/>
        <w:gridCol w:w="2127"/>
      </w:tblGrid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序号</w:t>
            </w:r>
          </w:p>
        </w:tc>
        <w:tc>
          <w:tcPr>
            <w:tcW w:w="3392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受检单位名称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文字商标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生产日期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标称生产单位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不合格项目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3392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深圳市旭隆珍宝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珠宝首饰有限公司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18K金红宝石戒指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2.79g 0.607ct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深圳市君隆珠宝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银百汇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总质量：1.94g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状银坊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状银坊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总质量：2.95g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深圳市金雅佳珠宝首饰有限公司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总质量：20.44g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深圳市天然钻珠宝首饰有限公司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铂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Pt950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金富鑫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总重：3.11g 主石：0.178ct F-G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钻石分级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深圳市天然钻珠宝首饰有限公司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金富鑫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总重：1.79g 主石：0.162ct H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钻石分级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深圳蚂蚁珠宝有限公司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总质量：4.44克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深圳市爱与诚珠宝有限公司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1.92g D：0.161ct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深圳市爱与诚珠宝有限公司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1.72g D:0.220ct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深圳市金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金金黄金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铂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950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金金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2.46g 0.175ct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11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深圳市升升贸易有限公司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990纯银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深圳市龙华新区大浪福字珠宝店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金六福尚美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2.23g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深圳市龙华新区大浪福字珠宝店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金六福尚美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2.85g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大浪港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美之星珠宝商行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3.25g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深圳市福田区王子珠宝金行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5.264克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深圳市福田区王子珠宝金行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23.4克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深圳市福田区天乙银饰品店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成人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镯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天乙银饰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DM230431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珍石轩珠宝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有限公司蛇口分公司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银S925琥珀吊坠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DA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戴唯思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琥珀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659ZB0859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深圳市南山区润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鑫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足银999手镯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银含量999% 10002708 总质量：30.09克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深圳市瑞大福珠宝首饰有限公司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 3.总质量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深圳三德洋行商贸有限公司南山第二分公司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产地：法国 PE0082WGDI 材质：18K金 钻石0.30ct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深圳市珠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迪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投资发展有限公司南山京基百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纳广场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淡水珍珠S925项坠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珠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迪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11-130311PPS078(1)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深圳市捷芙泰贸易有限公司第四分公司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S925银戒指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曼古银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02100736004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23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深圳市新瑞兰饰品商行深国投分行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素银弧形耳圈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ReLuxe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G30YG0185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深圳市福田区百合时尚饰品店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银925手链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银百合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4.19g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百年六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3.36g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百年六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深圳市凤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麟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18K红石榴石女戒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凤临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总重：3.780g 石榴石：4.061ct/1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深圳市长信珠宝首饰有限公司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长信珠宝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总质量：2.18g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深圳初彩珠宝有限公司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18K红戒指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总质量：3.51g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标签及其他标识物、总质量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深圳初彩珠宝有限公司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18K白戒指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总质量：5.29g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标签及其他标识物、总质量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深圳市智慧互联珠宝有限公司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翡翠挂件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10.24g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2015年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深圳市翠花珠宝有限公司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深圳全球行国际黄金珠宝有限公司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18K金挂坠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全球行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2.56g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深圳全球行国际黄金珠宝有限公司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金托帕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全球行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深圳市加利珠宝有限公司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 碧玉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加利珠宝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4.778g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深圳市加利珠宝有限公司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 合成绿松石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加利珠宝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3.280g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总质量、珠宝宝石鉴定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36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深圳格丽贸易有限公司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14K套链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swe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0.91g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深圳市福王金六福世家珠宝有限公司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3.61g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贵金属纯度（含量）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Pt950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2.22g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金裕恒珠宝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足金合成立方氧化锆吊坠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金裕恒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珠宝宝石鉴定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深圳福联珠宝首饰有限公司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福联珠宝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深圳市盛宝达珠宝首饰有限公司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钻男戒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盛宝达珠宝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7.21g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鑫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可可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鑫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深圳市罗湖区福润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莱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福润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莱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深圳市罗湖区福润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莱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福润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莱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2.07g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深圳市百瑞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祥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珠宝首饰有限公司罗湖分公司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铂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Pt950项链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百瑞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祥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7.47g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深圳市百瑞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祥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珠宝首饰有限公司罗湖分公司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铂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Pt950戒指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百瑞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祥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10.98g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深圳市喜爱尚珠宝有限公司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Au750钻石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炫彩女戒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喜爱尚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1.850g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49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区周国福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3D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硬金吊坠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2.93g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深圳市盐田区福港首饰商行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18K金白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百年福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2.12g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深圳市福牌珠宝首饰有限公司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深圳市盐田区福港首饰商行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百年福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深圳市福牌珠宝首饰有限公司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深圳市东方金钰珠宝实业有限公司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翡翠（A货）佛公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深圳市千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语饰界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电子商务有限公司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银饰品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夏芙丽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3.49g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金海湾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亨宝时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表业有限公司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足金手绳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Tico</w:t>
            </w:r>
            <w:proofErr w:type="spellEnd"/>
            <w:r w:rsidRPr="00533495">
              <w:rPr>
                <w:rFonts w:ascii="仿宋_GB2312" w:eastAsia="仿宋_GB2312" w:hAnsi="仿宋" w:hint="eastAsia"/>
                <w:szCs w:val="24"/>
              </w:rPr>
              <w:t xml:space="preserve"> 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蔻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0.86g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鑫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亨宝时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表业有限公司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足金手绳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Tico</w:t>
            </w:r>
            <w:proofErr w:type="spellEnd"/>
            <w:r w:rsidRPr="00533495">
              <w:rPr>
                <w:rFonts w:ascii="仿宋_GB2312" w:eastAsia="仿宋_GB2312" w:hAnsi="仿宋" w:hint="eastAsia"/>
                <w:szCs w:val="24"/>
              </w:rPr>
              <w:t xml:space="preserve"> 蒂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蔻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1.17g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鑫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深圳市宝安区思诺珠宝店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香港金六福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2.628g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星光达珠宝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深圳市宝安区思诺珠宝店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香港金六福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4.507g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金大昌珠宝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深圳市依炼珠宝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PT950戒指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星诺珠宝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2.98g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深圳市翠绿珠宝厂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深圳市依炼珠宝</w:t>
            </w:r>
            <w:proofErr w:type="gramEnd"/>
            <w:r w:rsidRPr="00533495">
              <w:rPr>
                <w:rFonts w:ascii="仿宋_GB2312" w:eastAsia="仿宋_GB2312" w:hAnsi="仿宋" w:hint="eastAsia"/>
                <w:szCs w:val="24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</w:t>
            </w: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钻石女戒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gramStart"/>
            <w:r w:rsidRPr="00533495">
              <w:rPr>
                <w:rFonts w:ascii="仿宋_GB2312" w:eastAsia="仿宋_GB2312" w:hAnsi="仿宋" w:hint="eastAsia"/>
                <w:szCs w:val="24"/>
              </w:rPr>
              <w:t>星诺珠宝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1.26g D0.188ct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深圳市宝业珠宝厂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5D55A9" w:rsidRPr="00533495" w:rsidTr="00E41BD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D55A9" w:rsidRPr="00533495" w:rsidRDefault="005D55A9" w:rsidP="00E41BD4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60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深圳市永万福珠宝有限公司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金Au9999挂坠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玛丽公主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5A9" w:rsidRPr="00533495" w:rsidRDefault="005D55A9" w:rsidP="00E41BD4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</w:tbl>
    <w:p w:rsidR="00566B87" w:rsidRPr="005D55A9" w:rsidRDefault="00566B87"/>
    <w:sectPr w:rsidR="00566B87" w:rsidRPr="005D55A9" w:rsidSect="005D5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F4" w:rsidRDefault="00FA46F4" w:rsidP="005D55A9">
      <w:r>
        <w:separator/>
      </w:r>
    </w:p>
  </w:endnote>
  <w:endnote w:type="continuationSeparator" w:id="0">
    <w:p w:rsidR="00FA46F4" w:rsidRDefault="00FA46F4" w:rsidP="005D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F4" w:rsidRDefault="00FA46F4" w:rsidP="005D55A9">
      <w:r>
        <w:separator/>
      </w:r>
    </w:p>
  </w:footnote>
  <w:footnote w:type="continuationSeparator" w:id="0">
    <w:p w:rsidR="00FA46F4" w:rsidRDefault="00FA46F4" w:rsidP="005D5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5A9"/>
    <w:rsid w:val="00566B87"/>
    <w:rsid w:val="005D55A9"/>
    <w:rsid w:val="00FA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3032</Characters>
  <Application>Microsoft Office Word</Application>
  <DocSecurity>0</DocSecurity>
  <Lines>25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2017-12-26T08:22:00Z</dcterms:created>
  <dcterms:modified xsi:type="dcterms:W3CDTF">2017-12-26T08:22:00Z</dcterms:modified>
</cp:coreProperties>
</file>