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eastAsia="方正小标宋简体"/>
          <w:color w:val="000000"/>
          <w:sz w:val="36"/>
          <w:lang w:val="en-US" w:eastAsia="zh-CN"/>
        </w:rPr>
        <w:t>坪山区发展和改革局政府信息公开申请表</w:t>
      </w:r>
      <w:bookmarkStart w:id="0" w:name="_GoBack"/>
      <w:bookmarkEnd w:id="0"/>
    </w:p>
    <w:tbl>
      <w:tblPr>
        <w:tblStyle w:val="4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信用代码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文号</w:t>
            </w:r>
          </w:p>
        </w:tc>
        <w:tc>
          <w:tcPr>
            <w:tcW w:w="224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或者其他特征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描述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提供政府信息的指定方式(单选)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纸质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获取政府信息的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途径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邮寄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网上获取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自行领取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申请人签名或盖章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法人或者其他组织提交申请时必须提交统一社会信用代码证复印件，否则不予受理。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43F6E"/>
    <w:rsid w:val="24843F6E"/>
    <w:rsid w:val="7C83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2020-03-04T03:12:00Z</dcterms:created>
  <dc:creator>L1n。</dc:creator>
  <cp:lastModifiedBy>Administrator</cp:lastModifiedBy>
  <dcterms:modified xsi:type="dcterms:W3CDTF">2020-06-05T01:26:31Z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