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3"/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Style w:val="3"/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关于《坪山区规划建设委员会工作方案（修订)》征求公众意见采纳情况一览表</w:t>
      </w:r>
    </w:p>
    <w:p>
      <w:pPr>
        <w:rPr>
          <w:rStyle w:val="3"/>
          <w:rFonts w:hint="eastAsia" w:ascii="仿宋" w:hAnsi="仿宋" w:eastAsia="仿宋"/>
          <w:b w:val="0"/>
          <w:sz w:val="24"/>
          <w:lang w:eastAsia="zh-CN"/>
        </w:rPr>
      </w:pPr>
    </w:p>
    <w:tbl>
      <w:tblPr>
        <w:tblStyle w:val="5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708"/>
        <w:gridCol w:w="1785"/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sz w:val="28"/>
                <w:szCs w:val="28"/>
                <w:vertAlign w:val="baseline"/>
                <w:lang w:eastAsia="zh-CN"/>
              </w:rPr>
              <w:t>反馈人</w:t>
            </w:r>
          </w:p>
        </w:tc>
        <w:tc>
          <w:tcPr>
            <w:tcW w:w="2708" w:type="dxa"/>
            <w:vAlign w:val="top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sz w:val="28"/>
                <w:szCs w:val="28"/>
                <w:vertAlign w:val="baseline"/>
                <w:lang w:eastAsia="zh-CN"/>
              </w:rPr>
              <w:t>反馈意见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sz w:val="28"/>
                <w:szCs w:val="28"/>
                <w:vertAlign w:val="baseline"/>
                <w:lang w:eastAsia="zh-CN"/>
              </w:rPr>
              <w:t>反馈方式</w:t>
            </w:r>
          </w:p>
        </w:tc>
        <w:tc>
          <w:tcPr>
            <w:tcW w:w="8420" w:type="dxa"/>
            <w:vAlign w:val="top"/>
          </w:tcPr>
          <w:p>
            <w:pPr>
              <w:jc w:val="center"/>
              <w:rPr>
                <w:rStyle w:val="3"/>
                <w:rFonts w:hint="eastAsia" w:ascii="黑体" w:hAnsi="黑体" w:eastAsia="黑体" w:cs="黑体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3"/>
                <w:rFonts w:hint="eastAsia" w:ascii="黑体" w:hAnsi="黑体" w:eastAsia="黑体" w:cs="黑体"/>
                <w:b w:val="0"/>
                <w:sz w:val="28"/>
                <w:szCs w:val="28"/>
                <w:vertAlign w:val="baseline"/>
                <w:lang w:eastAsia="zh-CN"/>
              </w:rPr>
              <w:t>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val="en-US" w:eastAsia="zh-CN"/>
              </w:rPr>
              <w:t>邓先生</w:t>
            </w:r>
          </w:p>
        </w:tc>
        <w:tc>
          <w:tcPr>
            <w:tcW w:w="2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eastAsia="zh-CN"/>
              </w:rPr>
              <w:t>鉴于规划设计和建设标准在全区具有普遍适用性，对坪山建设的影响更大，在制定和出台的过程中需要更加审慎，建议将“坪山区拟发布的有关城市规划设计建设标准”作为工作内容的第一条。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val="en-US" w:eastAsia="zh-CN"/>
              </w:rPr>
              <w:t>在线反馈</w:t>
            </w:r>
          </w:p>
        </w:tc>
        <w:tc>
          <w:tcPr>
            <w:tcW w:w="8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eastAsia="zh-CN"/>
              </w:rPr>
              <w:t>现结合法律依据和实际情况草拟了回复意见如下：</w:t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eastAsia="zh-CN"/>
              </w:rPr>
              <w:t> </w:t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eastAsia="zh-CN"/>
              </w:rPr>
              <w:t>感谢您对坪山城市规划建设工作的关心与支持！关于您提到的意见，《坪山区规划建设委员会工作方案（修订）（第二次征求意见稿）》对此已有充分考虑，本方案草拟过程中是遵循城市规划体系自身的逻辑，来界定坪山区规划建设委员会的工作范围的，即从城市规划到城市设计，然后再到具体的建设标准，最后再落到具体建设项目。再次感谢您对我区有关工作的支持！欢迎您继续关注坪山，多提宝贵意见！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97272"/>
    <w:rsid w:val="06497272"/>
    <w:rsid w:val="18E46496"/>
    <w:rsid w:val="4DCD3329"/>
    <w:rsid w:val="50E23F59"/>
    <w:rsid w:val="758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2019-05-09T07:40:00Z</dcterms:created>
  <dc:creator>冯仁楠</dc:creator>
  <cp:lastModifiedBy>贺文</cp:lastModifiedBy>
  <dcterms:modified xsi:type="dcterms:W3CDTF">2019-06-13T03:29:34Z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