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firstLine="0" w:firstLineChars="0"/>
        <w:jc w:val="center"/>
        <w:textAlignment w:val="auto"/>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rPr>
        <w:t>20</w:t>
      </w:r>
      <w:r>
        <w:rPr>
          <w:rFonts w:hint="eastAsia" w:ascii="方正小标宋_GBK" w:hAnsi="方正小标宋_GBK" w:eastAsia="方正小标宋_GBK" w:cs="方正小标宋_GBK"/>
          <w:bCs/>
          <w:sz w:val="44"/>
          <w:szCs w:val="44"/>
          <w:lang w:val="en-US" w:eastAsia="zh-CN"/>
        </w:rPr>
        <w:t>22年坪山区有害垃圾清运处理服务需求</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ascii="仿宋_GB2312" w:hAnsi="仿宋_GB2312" w:eastAsia="仿宋_GB2312" w:cs="仿宋_GB2312"/>
          <w:sz w:val="32"/>
          <w:szCs w:val="32"/>
        </w:rPr>
        <w:t>建立覆盖坪山区各物业小区、城中村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机关、企事业单位</w:t>
      </w:r>
      <w:r>
        <w:rPr>
          <w:rFonts w:hint="eastAsia" w:ascii="仿宋_GB2312" w:hAnsi="仿宋_GB2312" w:eastAsia="仿宋_GB2312" w:cs="仿宋_GB2312"/>
          <w:sz w:val="32"/>
          <w:szCs w:val="32"/>
          <w:lang w:val="en-US" w:eastAsia="zh-CN"/>
        </w:rPr>
        <w:t>等区域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highlight w:val="none"/>
          <w:lang w:val="en-US" w:eastAsia="zh-CN"/>
        </w:rPr>
        <w:t>预约</w:t>
      </w:r>
      <w:r>
        <w:rPr>
          <w:rFonts w:hint="eastAsia" w:ascii="仿宋_GB2312" w:hAnsi="仿宋_GB2312" w:eastAsia="仿宋_GB2312" w:cs="仿宋_GB2312"/>
          <w:sz w:val="32"/>
          <w:szCs w:val="32"/>
        </w:rPr>
        <w:t>回收</w:t>
      </w:r>
      <w:r>
        <w:rPr>
          <w:rFonts w:hint="eastAsia" w:ascii="仿宋_GB2312" w:hAnsi="仿宋_GB2312" w:eastAsia="仿宋_GB2312" w:cs="仿宋_GB2312"/>
          <w:sz w:val="32"/>
          <w:szCs w:val="32"/>
          <w:lang w:val="en-US" w:eastAsia="zh-CN"/>
        </w:rPr>
        <w:t>及巡查回收</w:t>
      </w:r>
      <w:r>
        <w:rPr>
          <w:rFonts w:hint="eastAsia" w:ascii="仿宋_GB2312" w:hAnsi="仿宋_GB2312" w:eastAsia="仿宋_GB2312" w:cs="仿宋_GB2312"/>
          <w:sz w:val="32"/>
          <w:szCs w:val="32"/>
        </w:rPr>
        <w:t>渠道，确保收运及时</w:t>
      </w:r>
      <w:r>
        <w:rPr>
          <w:rFonts w:hint="eastAsia" w:ascii="仿宋_GB2312" w:hAnsi="仿宋_GB2312" w:eastAsia="仿宋_GB2312" w:cs="仿宋_GB2312"/>
          <w:sz w:val="32"/>
          <w:szCs w:val="32"/>
          <w:lang w:eastAsia="zh-CN"/>
        </w:rPr>
        <w:t>；回收有害垃圾时，与物业签订清运三联单，对废电池、废灯管及家用化学品</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数量进行统计。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坪山</w:t>
      </w:r>
      <w:r>
        <w:rPr>
          <w:rFonts w:hint="eastAsia" w:ascii="仿宋_GB2312" w:hAnsi="仿宋_GB2312" w:eastAsia="仿宋_GB2312" w:cs="仿宋_GB2312"/>
          <w:sz w:val="32"/>
          <w:szCs w:val="32"/>
        </w:rPr>
        <w:t>区各企事业单位及住宅区（含</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sz w:val="32"/>
          <w:szCs w:val="32"/>
        </w:rPr>
        <w:t>小区、城中村）有害垃圾收集点收运、暂存及无害化处理工作</w:t>
      </w:r>
      <w:r>
        <w:rPr>
          <w:rFonts w:hint="eastAsia" w:ascii="仿宋_GB2312" w:hAnsi="仿宋_GB2312" w:eastAsia="仿宋_GB2312" w:cs="仿宋_GB2312"/>
          <w:sz w:val="32"/>
          <w:szCs w:val="32"/>
          <w:lang w:eastAsia="zh-CN"/>
        </w:rPr>
        <w:t>。服务方接到各企事业单位及住宅区（含物业小区、城中村）的收运通知后，需要在24小时内做出响应，并在48小时内到小区存放点进行废电池和废灯管的回收。回收有害垃圾时，要与物业签订清运三联单，对废电池、废灯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数量进行统计，并交给甲方签字确认。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rPr>
      </w:pPr>
      <w:r>
        <w:rPr>
          <w:rFonts w:hint="eastAsia" w:ascii="仿宋_GB2312" w:hAnsi="仿宋_GB2312" w:eastAsia="仿宋_GB2312" w:cs="仿宋_GB2312"/>
          <w:sz w:val="32"/>
          <w:szCs w:val="32"/>
          <w:lang w:eastAsia="zh-CN"/>
        </w:rPr>
        <w:t>（二）采用巡回+预约的清运模式，每月至少对坪山区所有有害垃圾（废荧光灯管、废电池及家用化学品</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）收集点进行一次收运，具体收运点根据各街道补点清单确定，街道新增设的点，乙方无条件增加，并确保收运及时。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自签订合同后六个月。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（一）</w:t>
      </w:r>
      <w:r>
        <w:rPr>
          <w:rFonts w:hint="eastAsia" w:ascii="楷体" w:hAnsi="楷体" w:eastAsia="楷体" w:cs="楷体"/>
          <w:sz w:val="32"/>
          <w:szCs w:val="32"/>
          <w:lang w:val="en-US" w:eastAsia="zh-CN"/>
        </w:rPr>
        <w:t>设施设备要求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收运设备：专用收运车辆1台，应急备用车辆1台，一共2台，并安装GPS监控系统，按照标准制作有害垃圾收运的海报张贴在车身，车辆做好防漏电、防火等保护措施。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暂存场地：提供有害垃圾集中转运站，转运点要根据市主管部门的相关要求及规定做好防风、防雨、防晒、防火、防污染、防爆灯工作，配备照明设施、有害垃圾收集容器、安全防护服装及工具等，服务方要保障集中转运点的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收运人员：至少要配置专业收运人员2名，收运人员需接受专业的培训。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回收收运方式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采用定时定点回收和预约上门回收两种方式；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定时定点回收方式：配备</w:t>
      </w:r>
      <w:r>
        <w:rPr>
          <w:rFonts w:hint="eastAsia" w:ascii="仿宋_GB2312" w:hAnsi="仿宋_GB2312" w:eastAsia="仿宋_GB2312" w:cs="仿宋_GB2312"/>
          <w:sz w:val="32"/>
          <w:szCs w:val="32"/>
          <w:lang w:val="en-US" w:eastAsia="zh-CN"/>
        </w:rPr>
        <w:t>2部收运车辆</w:t>
      </w:r>
      <w:r>
        <w:rPr>
          <w:rFonts w:hint="eastAsia" w:ascii="仿宋_GB2312" w:hAnsi="仿宋_GB2312" w:eastAsia="仿宋_GB2312" w:cs="仿宋_GB2312"/>
          <w:sz w:val="32"/>
          <w:szCs w:val="32"/>
        </w:rPr>
        <w:t>，对全区</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rPr>
        <w:t>回收点采取定时定点回收；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预约回收方式：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A.建立</w:t>
      </w:r>
      <w:r>
        <w:rPr>
          <w:rFonts w:hint="eastAsia" w:ascii="仿宋_GB2312" w:hAnsi="仿宋_GB2312" w:eastAsia="仿宋_GB2312" w:cs="仿宋_GB2312"/>
          <w:sz w:val="32"/>
          <w:szCs w:val="32"/>
        </w:rPr>
        <w:t>微信</w:t>
      </w:r>
      <w:r>
        <w:rPr>
          <w:rFonts w:hint="eastAsia" w:ascii="仿宋_GB2312" w:hAnsi="仿宋_GB2312" w:eastAsia="仿宋_GB2312" w:cs="仿宋_GB2312"/>
          <w:sz w:val="32"/>
          <w:szCs w:val="32"/>
          <w:lang w:eastAsia="zh-CN"/>
        </w:rPr>
        <w:t>预约体系，开发微信公众号预约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通过宣传活动、预约回收等方式，通知居民参与线上预约回收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安排工作人员负责查看微信公众号预约订单，调配收运人员上门收运，并进行数据和台账汇总。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设立专用服务热线电话</w:t>
      </w:r>
      <w:r>
        <w:rPr>
          <w:rFonts w:hint="eastAsia" w:ascii="仿宋_GB2312" w:hAnsi="仿宋_GB2312" w:eastAsia="仿宋_GB2312" w:cs="仿宋_GB2312"/>
          <w:sz w:val="32"/>
          <w:szCs w:val="32"/>
          <w:lang w:eastAsia="zh-CN"/>
        </w:rPr>
        <w:t>预约</w:t>
      </w:r>
      <w:r>
        <w:rPr>
          <w:rFonts w:hint="eastAsia" w:ascii="仿宋_GB2312" w:hAnsi="仿宋_GB2312" w:eastAsia="仿宋_GB2312" w:cs="仿宋_GB2312"/>
          <w:sz w:val="32"/>
          <w:szCs w:val="32"/>
        </w:rPr>
        <w:t>。提供1名专职人员</w:t>
      </w:r>
      <w:r>
        <w:rPr>
          <w:rFonts w:hint="eastAsia" w:ascii="仿宋_GB2312" w:hAnsi="仿宋_GB2312" w:eastAsia="仿宋_GB2312" w:cs="仿宋_GB2312"/>
          <w:sz w:val="32"/>
          <w:szCs w:val="32"/>
          <w:lang w:eastAsia="zh-CN"/>
        </w:rPr>
        <w:t>接答预约电话，调配收运人员</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小时内上门回收处理。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（三）管理要求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负责对辖区范围内的</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rPr>
        <w:t>进行预约及巡查收运处置，收运</w:t>
      </w:r>
      <w:r>
        <w:rPr>
          <w:rFonts w:hint="eastAsia" w:ascii="仿宋_GB2312" w:hAnsi="仿宋_GB2312" w:eastAsia="仿宋_GB2312" w:cs="仿宋_GB2312"/>
          <w:sz w:val="32"/>
          <w:szCs w:val="32"/>
          <w:lang w:eastAsia="zh-CN"/>
        </w:rPr>
        <w:t>量需通过暂存点地磅实现与市、区平台实时数据传输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服务方提供有害垃圾暂存点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按照废旧灯管、废旧电池、家用化学品三类进行堆放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负责做好</w:t>
      </w:r>
      <w:r>
        <w:rPr>
          <w:rFonts w:hint="eastAsia" w:ascii="仿宋_GB2312" w:hAnsi="仿宋_GB2312" w:eastAsia="仿宋_GB2312" w:cs="仿宋_GB2312"/>
          <w:sz w:val="32"/>
          <w:szCs w:val="32"/>
          <w:lang w:eastAsia="zh-CN"/>
        </w:rPr>
        <w:t>有害垃圾清运、贮存</w:t>
      </w:r>
      <w:r>
        <w:rPr>
          <w:rFonts w:hint="eastAsia" w:ascii="仿宋_GB2312" w:hAnsi="仿宋_GB2312" w:eastAsia="仿宋_GB2312" w:cs="仿宋_GB2312"/>
          <w:sz w:val="32"/>
          <w:szCs w:val="32"/>
        </w:rPr>
        <w:t>的安全生产工作，按照安全生产操作规范做好安全措施。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负责做好</w:t>
      </w:r>
      <w:r>
        <w:rPr>
          <w:rFonts w:hint="eastAsia" w:ascii="仿宋_GB2312" w:hAnsi="仿宋_GB2312" w:eastAsia="仿宋_GB2312" w:cs="仿宋_GB2312"/>
          <w:sz w:val="32"/>
          <w:szCs w:val="32"/>
          <w:lang w:eastAsia="zh-CN"/>
        </w:rPr>
        <w:t>有害垃圾清运</w:t>
      </w:r>
      <w:r>
        <w:rPr>
          <w:rFonts w:hint="eastAsia" w:ascii="仿宋_GB2312" w:hAnsi="仿宋_GB2312" w:eastAsia="仿宋_GB2312" w:cs="仿宋_GB2312"/>
          <w:sz w:val="32"/>
          <w:szCs w:val="32"/>
        </w:rPr>
        <w:t>处理台账管理工作，做好收运、处理数据统计。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保证本企业及所聘用的工人已取得履行本合同义务所需的资格资质，在履行合同义务过程中发生意外造成他人人身及财产损害的，责任由</w:t>
      </w:r>
      <w:r>
        <w:rPr>
          <w:rFonts w:hint="eastAsia" w:ascii="仿宋_GB2312" w:hAnsi="仿宋_GB2312" w:eastAsia="仿宋_GB2312" w:cs="仿宋_GB2312"/>
          <w:sz w:val="32"/>
          <w:szCs w:val="32"/>
          <w:lang w:val="en-US" w:eastAsia="zh-CN"/>
        </w:rPr>
        <w:t>供应商</w:t>
      </w:r>
      <w:r>
        <w:rPr>
          <w:rFonts w:hint="eastAsia" w:ascii="仿宋_GB2312" w:hAnsi="仿宋_GB2312" w:eastAsia="仿宋_GB2312" w:cs="仿宋_GB2312"/>
          <w:sz w:val="32"/>
          <w:szCs w:val="32"/>
        </w:rPr>
        <w:t>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收运作业时必须遵守国家、广东、深圳市现行的法律法规及行业规范；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收运作业前必须针对本服务项目编制切实有效的《</w:t>
      </w:r>
      <w:r>
        <w:rPr>
          <w:rFonts w:hint="eastAsia" w:ascii="仿宋_GB2312" w:hAnsi="仿宋_GB2312" w:eastAsia="仿宋_GB2312" w:cs="仿宋_GB2312"/>
          <w:sz w:val="32"/>
          <w:szCs w:val="32"/>
          <w:lang w:eastAsia="zh-CN"/>
        </w:rPr>
        <w:t>有害垃圾</w:t>
      </w:r>
      <w:r>
        <w:rPr>
          <w:rFonts w:hint="eastAsia" w:ascii="仿宋_GB2312" w:hAnsi="仿宋_GB2312" w:eastAsia="仿宋_GB2312" w:cs="仿宋_GB2312"/>
          <w:sz w:val="32"/>
          <w:szCs w:val="32"/>
        </w:rPr>
        <w:t>收运管理方案》及详细的措施，以保证收运处置的安全；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服务方</w:t>
      </w:r>
      <w:r>
        <w:rPr>
          <w:rFonts w:hint="eastAsia" w:ascii="仿宋_GB2312" w:hAnsi="仿宋_GB2312" w:eastAsia="仿宋_GB2312" w:cs="仿宋_GB2312"/>
          <w:sz w:val="32"/>
          <w:szCs w:val="32"/>
        </w:rPr>
        <w:t>收运处理过程中必须接受</w:t>
      </w:r>
      <w:r>
        <w:rPr>
          <w:rFonts w:hint="eastAsia" w:ascii="仿宋_GB2312" w:hAnsi="仿宋_GB2312" w:eastAsia="仿宋_GB2312" w:cs="仿宋_GB2312"/>
          <w:sz w:val="32"/>
          <w:szCs w:val="32"/>
          <w:lang w:eastAsia="zh-CN"/>
        </w:rPr>
        <w:t>采购方</w:t>
      </w:r>
      <w:r>
        <w:rPr>
          <w:rFonts w:hint="eastAsia" w:ascii="仿宋_GB2312" w:hAnsi="仿宋_GB2312" w:eastAsia="仿宋_GB2312" w:cs="仿宋_GB2312"/>
          <w:sz w:val="32"/>
          <w:szCs w:val="32"/>
        </w:rPr>
        <w:t>对安全作业、进度等的全面监督检查</w:t>
      </w:r>
      <w:r>
        <w:rPr>
          <w:rFonts w:hint="eastAsia" w:ascii="仿宋_GB2312" w:hAnsi="仿宋_GB2312" w:eastAsia="仿宋_GB2312" w:cs="仿宋_GB2312"/>
          <w:sz w:val="32"/>
          <w:szCs w:val="32"/>
          <w:lang w:eastAsia="zh-CN"/>
        </w:rPr>
        <w:t>；</w:t>
      </w:r>
    </w:p>
    <w:p>
      <w:pPr>
        <w:pStyle w:val="2"/>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10.合同履约期间如遇所有街道完成2022年环卫服务招标，甲方有权提前终止合同</w:t>
      </w:r>
      <w:bookmarkStart w:id="0" w:name="_GoBack"/>
      <w:bookmarkEnd w:id="0"/>
      <w:r>
        <w:rPr>
          <w:rFonts w:hint="eastAsia" w:ascii="仿宋_GB2312" w:hAnsi="仿宋_GB2312" w:eastAsia="仿宋_GB2312" w:cs="仿宋_GB2312"/>
          <w:b/>
          <w:bCs/>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报价要求</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本项目采用合同包干价，服务时间为六个月，报价上限为232800元。报价</w:t>
      </w:r>
      <w:r>
        <w:rPr>
          <w:rFonts w:hint="eastAsia" w:ascii="仿宋_GB2312" w:hAnsi="仿宋_GB2312" w:eastAsia="仿宋_GB2312" w:cs="仿宋_GB2312"/>
          <w:sz w:val="32"/>
          <w:szCs w:val="32"/>
        </w:rPr>
        <w:t>应包含清运处理服务的作业人工费、所需的设备和工具、车辆及运输处理费用、耗材费用、管理费用、利润以及项目管理过程中的所有由中标方承担的费用和国家规定的各项税费。采购方将任务交给中标方，中标方按采购方的要求和标准开展服务工作，并接受采购方的指导、监督和检查验收，采购方按约定付费</w:t>
      </w:r>
      <w:r>
        <w:rPr>
          <w:rFonts w:hint="eastAsia" w:ascii="仿宋_GB2312" w:hAnsi="仿宋_GB2312" w:eastAsia="仿宋_GB2312" w:cs="仿宋_GB2312"/>
          <w:color w:val="0000FF"/>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验收要求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1.完成坪山区辖区范围内的</w:t>
      </w:r>
      <w:r>
        <w:rPr>
          <w:rFonts w:hint="eastAsia" w:ascii="仿宋_GB2312" w:hAnsi="仿宋_GB2312" w:eastAsia="仿宋_GB2312" w:cs="仿宋_GB2312"/>
          <w:sz w:val="32"/>
          <w:szCs w:val="32"/>
          <w:lang w:eastAsia="zh-CN"/>
        </w:rPr>
        <w:t>有害垃圾收运处理工作</w:t>
      </w:r>
      <w:r>
        <w:rPr>
          <w:rFonts w:hint="eastAsia" w:ascii="仿宋_GB2312" w:hAnsi="仿宋_GB2312" w:eastAsia="仿宋_GB2312" w:cs="仿宋_GB2312"/>
          <w:sz w:val="32"/>
          <w:szCs w:val="32"/>
        </w:rPr>
        <w:t>，并做好数据登记统一运输到存放点安全保管，建立完善、齐全的收运及处理台账。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2.收运工作完成后，按照环保流程完成遗留废弃物的清理，并保留处理去向文件证明。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考核要求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采购方</w:t>
      </w:r>
      <w:r>
        <w:rPr>
          <w:rFonts w:hint="eastAsia" w:ascii="仿宋_GB2312" w:hAnsi="仿宋_GB2312" w:eastAsia="仿宋_GB2312" w:cs="仿宋_GB2312"/>
          <w:color w:val="000000"/>
          <w:sz w:val="32"/>
          <w:szCs w:val="32"/>
        </w:rPr>
        <w:t>根据服务要求，对</w:t>
      </w:r>
      <w:r>
        <w:rPr>
          <w:rFonts w:hint="eastAsia" w:ascii="仿宋_GB2312" w:hAnsi="仿宋_GB2312" w:eastAsia="仿宋_GB2312" w:cs="仿宋_GB2312"/>
          <w:color w:val="000000"/>
          <w:sz w:val="32"/>
          <w:szCs w:val="32"/>
          <w:lang w:val="en-US" w:eastAsia="zh-CN"/>
        </w:rPr>
        <w:t>供应商</w:t>
      </w:r>
      <w:r>
        <w:rPr>
          <w:rFonts w:hint="eastAsia" w:ascii="仿宋_GB2312" w:hAnsi="仿宋_GB2312" w:eastAsia="仿宋_GB2312" w:cs="仿宋_GB2312"/>
          <w:color w:val="000000"/>
          <w:sz w:val="32"/>
          <w:szCs w:val="32"/>
        </w:rPr>
        <w:t>进行不定期检查考核，根据考核结果，</w:t>
      </w:r>
      <w:r>
        <w:rPr>
          <w:rFonts w:hint="eastAsia" w:ascii="仿宋_GB2312" w:hAnsi="仿宋_GB2312" w:eastAsia="仿宋_GB2312" w:cs="仿宋_GB2312"/>
          <w:color w:val="000000"/>
          <w:sz w:val="32"/>
          <w:szCs w:val="32"/>
          <w:lang w:eastAsia="zh-CN"/>
        </w:rPr>
        <w:t>供应商</w:t>
      </w:r>
      <w:r>
        <w:rPr>
          <w:rFonts w:hint="eastAsia" w:ascii="仿宋_GB2312" w:hAnsi="仿宋_GB2312" w:eastAsia="仿宋_GB2312" w:cs="仿宋_GB2312"/>
          <w:color w:val="000000"/>
          <w:sz w:val="32"/>
          <w:szCs w:val="32"/>
        </w:rPr>
        <w:t>对服务费用进行扣减：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乙方须按照安全生产相关要求及规范进行作业，确保不发生安全事故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olor w:val="000000"/>
          <w:kern w:val="0"/>
          <w:sz w:val="32"/>
          <w:szCs w:val="32"/>
          <w:u w:val="none"/>
          <w:lang w:val="en-US" w:eastAsia="zh-CN" w:bidi="ar"/>
        </w:rPr>
        <w:t>安全管理不到位的，安全隐患问题未及时整改的，每发现一处扣减服务费2000元，若被安监部门及市主管部门发现存在安全隐患问题并且未及时整改的，每发现一处扣减服务费5000元；</w:t>
      </w:r>
      <w:r>
        <w:rPr>
          <w:rFonts w:hint="eastAsia" w:ascii="仿宋_GB2312" w:hAnsi="仿宋_GB2312" w:eastAsia="仿宋_GB2312" w:cs="仿宋_GB2312"/>
          <w:sz w:val="32"/>
          <w:szCs w:val="32"/>
        </w:rPr>
        <w:t>若造成1人以上重伤及死亡</w:t>
      </w:r>
      <w:r>
        <w:rPr>
          <w:rFonts w:hint="eastAsia" w:ascii="仿宋_GB2312" w:hAnsi="仿宋_GB2312" w:eastAsia="仿宋_GB2312" w:cs="仿宋_GB2312"/>
          <w:sz w:val="32"/>
          <w:szCs w:val="32"/>
          <w:lang w:val="en-US" w:eastAsia="zh-CN"/>
        </w:rPr>
        <w:t>事件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甲</w:t>
      </w:r>
      <w:r>
        <w:rPr>
          <w:rFonts w:hint="eastAsia" w:ascii="仿宋_GB2312" w:hAnsi="仿宋_GB2312" w:eastAsia="仿宋_GB2312" w:cs="仿宋_GB2312"/>
          <w:sz w:val="32"/>
          <w:szCs w:val="32"/>
        </w:rPr>
        <w:t>方将扣</w:t>
      </w:r>
      <w:r>
        <w:rPr>
          <w:rFonts w:hint="eastAsia" w:ascii="仿宋_GB2312" w:hAnsi="仿宋_GB2312" w:eastAsia="仿宋_GB2312" w:cs="仿宋_GB2312"/>
          <w:sz w:val="32"/>
          <w:szCs w:val="32"/>
          <w:lang w:eastAsia="zh-CN"/>
        </w:rPr>
        <w:t>减</w:t>
      </w:r>
      <w:r>
        <w:rPr>
          <w:rFonts w:hint="eastAsia" w:ascii="仿宋_GB2312" w:hAnsi="仿宋_GB2312" w:eastAsia="仿宋_GB2312" w:cs="仿宋_GB2312"/>
          <w:sz w:val="32"/>
          <w:szCs w:val="32"/>
        </w:rPr>
        <w:t>服务费用</w:t>
      </w:r>
      <w:r>
        <w:rPr>
          <w:rFonts w:hint="eastAsia" w:ascii="仿宋_GB2312" w:hAnsi="仿宋_GB2312" w:eastAsia="仿宋_GB2312" w:cs="仿宋_GB2312"/>
          <w:sz w:val="32"/>
          <w:szCs w:val="32"/>
          <w:lang w:eastAsia="zh-CN"/>
        </w:rPr>
        <w:t>总额</w:t>
      </w:r>
      <w:r>
        <w:rPr>
          <w:rFonts w:hint="eastAsia" w:ascii="仿宋_GB2312" w:hAnsi="仿宋_GB2312" w:eastAsia="仿宋_GB2312" w:cs="仿宋_GB2312"/>
          <w:sz w:val="32"/>
          <w:szCs w:val="32"/>
        </w:rPr>
        <w:t>的20%，并有权解除</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乙方须建立完善的预约及巡回收运机制，确保收运及时，</w:t>
      </w:r>
      <w:r>
        <w:rPr>
          <w:rFonts w:hint="eastAsia" w:ascii="仿宋_GB2312" w:hAnsi="仿宋_GB2312" w:eastAsia="仿宋_GB2312" w:cs="仿宋_GB2312"/>
          <w:spacing w:val="0"/>
          <w:sz w:val="32"/>
          <w:szCs w:val="32"/>
        </w:rPr>
        <w:t>如出现物业投诉乙方收运不及时（48小时内未收运），经调查发现乙方未在合同规定时间内及时收运的</w:t>
      </w:r>
      <w:r>
        <w:rPr>
          <w:rFonts w:hint="eastAsia" w:ascii="仿宋_GB2312" w:hAnsi="仿宋_GB2312" w:eastAsia="仿宋_GB2312" w:cs="仿宋_GB2312"/>
          <w:sz w:val="32"/>
          <w:szCs w:val="32"/>
        </w:rPr>
        <w:t>，按照2000元/宗扣减服务费，上不封顶；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乙方须按照甲方要求，在合同期间，每周至少报送一次数据，并配合甲方需求积极报送数据，存在数据报送不及时</w:t>
      </w:r>
      <w:r>
        <w:rPr>
          <w:rFonts w:hint="eastAsia" w:ascii="仿宋_GB2312" w:hAnsi="仿宋_GB2312" w:eastAsia="仿宋_GB2312" w:cs="仿宋_GB2312"/>
          <w:sz w:val="32"/>
          <w:szCs w:val="32"/>
          <w:lang w:eastAsia="zh-CN"/>
        </w:rPr>
        <w:t>或数据反映不真实的</w:t>
      </w:r>
      <w:r>
        <w:rPr>
          <w:rFonts w:hint="eastAsia" w:ascii="仿宋_GB2312" w:hAnsi="仿宋_GB2312" w:eastAsia="仿宋_GB2312" w:cs="仿宋_GB2312"/>
          <w:sz w:val="32"/>
          <w:szCs w:val="32"/>
        </w:rPr>
        <w:t>，按照2000元/次扣减服务费；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乙方须做好市、区主管部门的检查，对检查发现的问题整改不及时的，按照</w:t>
      </w:r>
      <w:r>
        <w:rPr>
          <w:rFonts w:hint="eastAsia" w:ascii="仿宋_GB2312" w:hAnsi="仿宋_GB2312" w:eastAsia="仿宋_GB2312" w:cs="仿宋_GB2312"/>
          <w:sz w:val="32"/>
          <w:szCs w:val="32"/>
          <w:highlight w:val="none"/>
        </w:rPr>
        <w:t>1000元</w:t>
      </w:r>
      <w:r>
        <w:rPr>
          <w:rFonts w:hint="eastAsia" w:ascii="仿宋_GB2312" w:hAnsi="仿宋_GB2312" w:eastAsia="仿宋_GB2312" w:cs="仿宋_GB2312"/>
          <w:sz w:val="32"/>
          <w:szCs w:val="32"/>
        </w:rPr>
        <w:t>/宗扣减服务费；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乙方须配置足够的人员及设备，否则，按照5000元/次（人、车）扣减服务费；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乙方须建立完善的收运、处理台账，按照各街道进行数据统计，保证处理台账齐全，完善，</w:t>
      </w:r>
      <w:r>
        <w:rPr>
          <w:rFonts w:hint="eastAsia" w:ascii="仿宋_GB2312" w:hAnsi="仿宋_GB2312" w:eastAsia="仿宋_GB2312" w:cs="仿宋_GB2312"/>
          <w:sz w:val="32"/>
          <w:szCs w:val="32"/>
          <w:lang w:eastAsia="zh-CN"/>
        </w:rPr>
        <w:t>台账数据不完善或不真实的</w:t>
      </w:r>
      <w:r>
        <w:rPr>
          <w:rFonts w:hint="eastAsia" w:ascii="仿宋_GB2312" w:hAnsi="仿宋_GB2312" w:eastAsia="仿宋_GB2312" w:cs="仿宋_GB2312"/>
          <w:sz w:val="32"/>
          <w:szCs w:val="32"/>
        </w:rPr>
        <w:t>，按照5000元/次扣减服务费；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乙方未按照相关规定对废电池、废灯管</w:t>
      </w:r>
      <w:r>
        <w:rPr>
          <w:rFonts w:hint="eastAsia" w:ascii="仿宋_GB2312" w:hAnsi="仿宋_GB2312" w:eastAsia="仿宋_GB2312" w:cs="仿宋_GB2312"/>
          <w:spacing w:val="0"/>
          <w:sz w:val="32"/>
          <w:szCs w:val="32"/>
          <w:lang w:val="en-US" w:eastAsia="zh-CN"/>
        </w:rPr>
        <w:t>等有害垃圾进行</w:t>
      </w:r>
      <w:r>
        <w:rPr>
          <w:rFonts w:hint="eastAsia" w:ascii="仿宋_GB2312" w:hAnsi="仿宋_GB2312" w:eastAsia="仿宋_GB2312" w:cs="仿宋_GB2312"/>
          <w:spacing w:val="0"/>
          <w:sz w:val="32"/>
          <w:szCs w:val="32"/>
        </w:rPr>
        <w:t>无害化处理的，</w:t>
      </w:r>
      <w:r>
        <w:rPr>
          <w:rFonts w:hint="eastAsia" w:ascii="仿宋_GB2312" w:hAnsi="仿宋_GB2312" w:eastAsia="仿宋_GB2312" w:cs="仿宋_GB2312"/>
          <w:spacing w:val="0"/>
          <w:sz w:val="32"/>
          <w:szCs w:val="32"/>
          <w:lang w:eastAsia="zh-CN"/>
        </w:rPr>
        <w:t>末端去向不明或无台账记录的，</w:t>
      </w:r>
      <w:r>
        <w:rPr>
          <w:rFonts w:hint="eastAsia" w:ascii="仿宋_GB2312" w:hAnsi="仿宋_GB2312" w:eastAsia="仿宋_GB2312" w:cs="仿宋_GB2312"/>
          <w:spacing w:val="0"/>
          <w:sz w:val="32"/>
          <w:szCs w:val="32"/>
        </w:rPr>
        <w:t>或者交由不具备处理资质的企业处理的，乙方应承担因此而给甲方造成的全部损失，并按照合同价款总额的25%向甲方支付违约金。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8.甲方有权对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坪山区有害垃圾处理服务考核方案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0"/>
          <w:sz w:val="32"/>
          <w:szCs w:val="32"/>
          <w:lang w:val="en-US" w:eastAsia="zh-CN"/>
        </w:rPr>
        <w:t>做相应的调整和修改，与本合同具备同等法律效力。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出现新闻媒体报道关于乙方造成恶劣影响等事件，经查属实，第一次将扣除该项目合同款项20000元，第二次甲方将扣</w:t>
      </w:r>
      <w:r>
        <w:rPr>
          <w:rFonts w:hint="eastAsia" w:ascii="仿宋_GB2312" w:hAnsi="仿宋_GB2312" w:eastAsia="仿宋_GB2312" w:cs="仿宋_GB2312"/>
          <w:sz w:val="32"/>
          <w:szCs w:val="32"/>
          <w:lang w:eastAsia="zh-CN"/>
        </w:rPr>
        <w:t>减</w:t>
      </w:r>
      <w:r>
        <w:rPr>
          <w:rFonts w:hint="eastAsia" w:ascii="仿宋_GB2312" w:hAnsi="仿宋_GB2312" w:eastAsia="仿宋_GB2312" w:cs="仿宋_GB2312"/>
          <w:sz w:val="32"/>
          <w:szCs w:val="32"/>
        </w:rPr>
        <w:t>服务费用</w:t>
      </w:r>
      <w:r>
        <w:rPr>
          <w:rFonts w:hint="eastAsia" w:ascii="仿宋_GB2312" w:hAnsi="仿宋_GB2312" w:eastAsia="仿宋_GB2312" w:cs="仿宋_GB2312"/>
          <w:sz w:val="32"/>
          <w:szCs w:val="32"/>
          <w:lang w:eastAsia="zh-CN"/>
        </w:rPr>
        <w:t>总额</w:t>
      </w:r>
      <w:r>
        <w:rPr>
          <w:rFonts w:hint="eastAsia" w:ascii="仿宋_GB2312" w:hAnsi="仿宋_GB2312" w:eastAsia="仿宋_GB2312" w:cs="仿宋_GB2312"/>
          <w:sz w:val="32"/>
          <w:szCs w:val="32"/>
        </w:rPr>
        <w:t>的20%</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有权解除合同</w:t>
      </w:r>
      <w:r>
        <w:rPr>
          <w:rFonts w:hint="eastAsia" w:ascii="仿宋_GB2312" w:hAnsi="仿宋_GB2312" w:eastAsia="仿宋_GB2312" w:cs="仿宋_GB2312"/>
          <w:sz w:val="32"/>
          <w:szCs w:val="32"/>
          <w:lang w:eastAsia="zh-CN"/>
        </w:rPr>
        <w:t>并要求乙方赔偿造成的损失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10.合同周期内出现两次或两次以上考核扣减金额超过20000元的，甲方有权解除本合同。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八、评选方式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本次评标采用综合评分法，按照评分标准中规定的各项因素进行量化打分，以总得分最高的投标单位为中标单位。确定中标供应商按评审后得分由高到低顺序排列。得分相同的，按投标报价由低到高顺序排列。得分且投标报价相同的，按技术指标或服务方案优劣顺序排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区城管和综合执法局组成的评标委员会对每个通过资格性检查和符合性检查且报价不超过预算控制金额的投标供应商进行评审、打分，然后汇总每个投标供应商每项评分因素的评分。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评委会在评标时，按照以下量化的评审因素，对进入该阶段评审的各投标文件进行分析和比较：</w:t>
      </w:r>
    </w:p>
    <w:p>
      <w:pPr>
        <w:rPr>
          <w:rFonts w:hint="eastAsia" w:ascii="仿宋_GB2312" w:hAnsi="仿宋_GB2312" w:eastAsia="仿宋_GB2312" w:cs="仿宋_GB2312"/>
          <w:b w:val="0"/>
          <w:bCs w:val="0"/>
          <w:kern w:val="0"/>
          <w:sz w:val="32"/>
          <w:szCs w:val="32"/>
          <w:lang w:val="en-US" w:eastAsia="zh-CN" w:bidi="ar-SA"/>
        </w:rPr>
      </w:pPr>
    </w:p>
    <w:p>
      <w:pPr>
        <w:pStyle w:val="2"/>
        <w:rPr>
          <w:rFonts w:hint="eastAsia" w:ascii="仿宋_GB2312" w:hAnsi="仿宋_GB2312" w:eastAsia="仿宋_GB2312" w:cs="仿宋_GB2312"/>
          <w:b w:val="0"/>
          <w:bCs w:val="0"/>
          <w:kern w:val="0"/>
          <w:sz w:val="32"/>
          <w:szCs w:val="32"/>
          <w:lang w:val="en-US" w:eastAsia="zh-CN" w:bidi="ar-SA"/>
        </w:rPr>
      </w:pPr>
    </w:p>
    <w:p>
      <w:pPr>
        <w:rPr>
          <w:rFonts w:hint="eastAsia" w:ascii="仿宋_GB2312" w:hAnsi="仿宋_GB2312" w:eastAsia="仿宋_GB2312" w:cs="仿宋_GB2312"/>
          <w:b w:val="0"/>
          <w:bCs w:val="0"/>
          <w:kern w:val="0"/>
          <w:sz w:val="32"/>
          <w:szCs w:val="32"/>
          <w:lang w:val="en-US" w:eastAsia="zh-CN" w:bidi="ar-SA"/>
        </w:rPr>
      </w:pPr>
    </w:p>
    <w:p>
      <w:pPr>
        <w:pStyle w:val="2"/>
        <w:rPr>
          <w:rFonts w:hint="eastAsia" w:ascii="仿宋_GB2312" w:hAnsi="仿宋_GB2312" w:eastAsia="仿宋_GB2312" w:cs="仿宋_GB2312"/>
          <w:b w:val="0"/>
          <w:bCs w:val="0"/>
          <w:kern w:val="0"/>
          <w:sz w:val="32"/>
          <w:szCs w:val="32"/>
          <w:lang w:val="en-US" w:eastAsia="zh-CN" w:bidi="ar-SA"/>
        </w:rPr>
      </w:pPr>
    </w:p>
    <w:p>
      <w:pPr>
        <w:rPr>
          <w:rFonts w:hint="eastAsia" w:ascii="仿宋_GB2312" w:hAnsi="仿宋_GB2312" w:eastAsia="仿宋_GB2312" w:cs="仿宋_GB2312"/>
          <w:b w:val="0"/>
          <w:bCs w:val="0"/>
          <w:kern w:val="0"/>
          <w:sz w:val="32"/>
          <w:szCs w:val="32"/>
          <w:lang w:val="en-US" w:eastAsia="zh-CN" w:bidi="ar-SA"/>
        </w:rPr>
      </w:pPr>
    </w:p>
    <w:p>
      <w:pPr>
        <w:pStyle w:val="2"/>
        <w:rPr>
          <w:rFonts w:hint="eastAsia" w:ascii="仿宋_GB2312" w:hAnsi="仿宋_GB2312" w:eastAsia="仿宋_GB2312" w:cs="仿宋_GB2312"/>
          <w:b w:val="0"/>
          <w:bCs w:val="0"/>
          <w:kern w:val="0"/>
          <w:sz w:val="32"/>
          <w:szCs w:val="32"/>
          <w:lang w:val="en-US" w:eastAsia="zh-CN" w:bidi="ar-SA"/>
        </w:rPr>
      </w:pPr>
    </w:p>
    <w:p>
      <w:pPr>
        <w:rPr>
          <w:rFonts w:hint="eastAsia"/>
          <w:lang w:val="en-US" w:eastAsia="zh-CN"/>
        </w:rPr>
      </w:pPr>
    </w:p>
    <w:tbl>
      <w:tblPr>
        <w:tblStyle w:val="9"/>
        <w:tblW w:w="9856" w:type="dxa"/>
        <w:tblInd w:w="0" w:type="dxa"/>
        <w:tblLayout w:type="fixed"/>
        <w:tblCellMar>
          <w:top w:w="0" w:type="dxa"/>
          <w:left w:w="108" w:type="dxa"/>
          <w:bottom w:w="0" w:type="dxa"/>
          <w:right w:w="108" w:type="dxa"/>
        </w:tblCellMar>
      </w:tblPr>
      <w:tblGrid>
        <w:gridCol w:w="675"/>
        <w:gridCol w:w="993"/>
        <w:gridCol w:w="850"/>
        <w:gridCol w:w="6237"/>
        <w:gridCol w:w="1101"/>
      </w:tblGrid>
      <w:tr>
        <w:tblPrEx>
          <w:tblLayout w:type="fixed"/>
          <w:tblCellMar>
            <w:top w:w="0" w:type="dxa"/>
            <w:left w:w="108" w:type="dxa"/>
            <w:bottom w:w="0" w:type="dxa"/>
            <w:right w:w="108" w:type="dxa"/>
          </w:tblCellMar>
        </w:tblPrEx>
        <w:trPr>
          <w:trHeight w:val="453" w:hRule="atLeast"/>
        </w:trPr>
        <w:tc>
          <w:tcPr>
            <w:tcW w:w="8755" w:type="dxa"/>
            <w:gridSpan w:val="4"/>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宋体" w:hAnsi="宋体"/>
                <w:b/>
                <w:kern w:val="0"/>
                <w:szCs w:val="21"/>
              </w:rPr>
            </w:pPr>
            <w:r>
              <w:rPr>
                <w:rFonts w:hint="eastAsia" w:ascii="宋体" w:hAnsi="宋体"/>
                <w:b/>
                <w:kern w:val="0"/>
                <w:szCs w:val="21"/>
              </w:rPr>
              <w:t>评分项及评分规则</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b/>
                <w:kern w:val="0"/>
                <w:szCs w:val="21"/>
              </w:rPr>
            </w:pPr>
            <w:r>
              <w:rPr>
                <w:rFonts w:hint="eastAsia" w:ascii="宋体" w:hAnsi="宋体"/>
                <w:b/>
                <w:kern w:val="0"/>
                <w:szCs w:val="21"/>
              </w:rPr>
              <w:t>权重</w:t>
            </w:r>
          </w:p>
        </w:tc>
      </w:tr>
      <w:tr>
        <w:tblPrEx>
          <w:tblLayout w:type="fixed"/>
          <w:tblCellMar>
            <w:top w:w="0" w:type="dxa"/>
            <w:left w:w="108" w:type="dxa"/>
            <w:bottom w:w="0" w:type="dxa"/>
            <w:right w:w="108" w:type="dxa"/>
          </w:tblCellMar>
        </w:tblPrEx>
        <w:trPr>
          <w:trHeight w:val="428" w:hRule="atLeast"/>
        </w:trPr>
        <w:tc>
          <w:tcPr>
            <w:tcW w:w="8755" w:type="dxa"/>
            <w:gridSpan w:val="4"/>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宋体" w:hAnsi="宋体"/>
                <w:b/>
                <w:kern w:val="0"/>
                <w:szCs w:val="21"/>
              </w:rPr>
            </w:pPr>
            <w:r>
              <w:rPr>
                <w:rFonts w:hint="eastAsia" w:ascii="宋体" w:hAnsi="宋体"/>
                <w:b/>
                <w:kern w:val="0"/>
                <w:szCs w:val="21"/>
              </w:rPr>
              <w:t>一、价格部分</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20</w:t>
            </w:r>
          </w:p>
        </w:tc>
      </w:tr>
      <w:tr>
        <w:tblPrEx>
          <w:tblLayout w:type="fixed"/>
          <w:tblCellMar>
            <w:top w:w="0" w:type="dxa"/>
            <w:left w:w="108" w:type="dxa"/>
            <w:bottom w:w="0" w:type="dxa"/>
            <w:right w:w="108" w:type="dxa"/>
          </w:tblCellMar>
        </w:tblPrEx>
        <w:trPr>
          <w:trHeight w:val="1025" w:hRule="atLeast"/>
        </w:trPr>
        <w:tc>
          <w:tcPr>
            <w:tcW w:w="8755" w:type="dxa"/>
            <w:gridSpan w:val="4"/>
            <w:tcBorders>
              <w:top w:val="single" w:color="000000" w:sz="6" w:space="0"/>
              <w:left w:val="single" w:color="000000" w:sz="6" w:space="0"/>
              <w:bottom w:val="single" w:color="000000" w:sz="6" w:space="0"/>
              <w:right w:val="single" w:color="000000" w:sz="6" w:space="0"/>
            </w:tcBorders>
            <w:vAlign w:val="center"/>
          </w:tcPr>
          <w:p>
            <w:pPr>
              <w:widowControl/>
              <w:snapToGrid w:val="0"/>
              <w:ind w:firstLine="420"/>
              <w:jc w:val="left"/>
              <w:rPr>
                <w:rFonts w:ascii="宋体" w:hAnsi="宋体"/>
                <w:kern w:val="0"/>
                <w:szCs w:val="21"/>
              </w:rPr>
            </w:pPr>
            <w:r>
              <w:rPr>
                <w:rFonts w:hint="eastAsia" w:ascii="宋体" w:hAnsi="宋体"/>
                <w:kern w:val="0"/>
                <w:szCs w:val="21"/>
              </w:rPr>
              <w:t>综合评分法中的价格分统一采用低价优先法计算,即满足</w:t>
            </w:r>
            <w:r>
              <w:rPr>
                <w:rFonts w:hint="eastAsia" w:ascii="宋体" w:hAnsi="宋体"/>
                <w:kern w:val="0"/>
                <w:szCs w:val="21"/>
                <w:lang w:eastAsia="zh-CN"/>
              </w:rPr>
              <w:t>服务需求</w:t>
            </w:r>
            <w:r>
              <w:rPr>
                <w:rFonts w:hint="eastAsia" w:ascii="宋体" w:hAnsi="宋体"/>
                <w:kern w:val="0"/>
                <w:szCs w:val="21"/>
              </w:rPr>
              <w:t>且投标价格最低的投标报价为评标基准价,其价格分为满分。其他投标人的价格分统一按照下列公式计算：投标报价得分=(评标基准价/投标报价)×权重</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按公式计算</w:t>
            </w:r>
          </w:p>
        </w:tc>
      </w:tr>
      <w:tr>
        <w:tblPrEx>
          <w:tblLayout w:type="fixed"/>
          <w:tblCellMar>
            <w:top w:w="0" w:type="dxa"/>
            <w:left w:w="108" w:type="dxa"/>
            <w:bottom w:w="0" w:type="dxa"/>
            <w:right w:w="108" w:type="dxa"/>
          </w:tblCellMar>
        </w:tblPrEx>
        <w:trPr>
          <w:trHeight w:val="459" w:hRule="atLeast"/>
        </w:trPr>
        <w:tc>
          <w:tcPr>
            <w:tcW w:w="8755" w:type="dxa"/>
            <w:gridSpan w:val="4"/>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宋体" w:hAnsi="宋体"/>
                <w:b/>
                <w:kern w:val="0"/>
                <w:szCs w:val="21"/>
              </w:rPr>
            </w:pPr>
            <w:r>
              <w:rPr>
                <w:rFonts w:hint="eastAsia" w:ascii="宋体" w:hAnsi="宋体"/>
                <w:b/>
                <w:kern w:val="0"/>
                <w:szCs w:val="21"/>
              </w:rPr>
              <w:t>二、商务部分</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25</w:t>
            </w:r>
          </w:p>
        </w:tc>
      </w:tr>
      <w:tr>
        <w:tblPrEx>
          <w:tblLayout w:type="fixed"/>
          <w:tblCellMar>
            <w:top w:w="0" w:type="dxa"/>
            <w:left w:w="108" w:type="dxa"/>
            <w:bottom w:w="0" w:type="dxa"/>
            <w:right w:w="108" w:type="dxa"/>
          </w:tblCellMar>
        </w:tblPrEx>
        <w:trPr>
          <w:trHeight w:val="465"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序号</w:t>
            </w:r>
          </w:p>
        </w:tc>
        <w:tc>
          <w:tcPr>
            <w:tcW w:w="993"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内容</w:t>
            </w:r>
          </w:p>
        </w:tc>
        <w:tc>
          <w:tcPr>
            <w:tcW w:w="850"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权重</w:t>
            </w:r>
          </w:p>
        </w:tc>
        <w:tc>
          <w:tcPr>
            <w:tcW w:w="6237"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评分规则</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评分方式</w:t>
            </w:r>
          </w:p>
        </w:tc>
      </w:tr>
      <w:tr>
        <w:tblPrEx>
          <w:tblLayout w:type="fixed"/>
          <w:tblCellMar>
            <w:top w:w="0" w:type="dxa"/>
            <w:left w:w="108" w:type="dxa"/>
            <w:bottom w:w="0" w:type="dxa"/>
            <w:right w:w="108" w:type="dxa"/>
          </w:tblCellMar>
        </w:tblPrEx>
        <w:trPr>
          <w:trHeight w:val="2399"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1</w:t>
            </w:r>
          </w:p>
        </w:tc>
        <w:tc>
          <w:tcPr>
            <w:tcW w:w="993" w:type="dxa"/>
            <w:tcBorders>
              <w:top w:val="single" w:color="000000" w:sz="6" w:space="0"/>
              <w:left w:val="nil"/>
              <w:bottom w:val="single" w:color="000000" w:sz="6" w:space="0"/>
              <w:right w:val="single" w:color="000000" w:sz="6" w:space="0"/>
            </w:tcBorders>
            <w:vAlign w:val="center"/>
          </w:tcPr>
          <w:p>
            <w:pPr>
              <w:jc w:val="center"/>
              <w:rPr>
                <w:rFonts w:cs="宋体"/>
                <w:bCs/>
                <w:szCs w:val="21"/>
              </w:rPr>
            </w:pPr>
            <w:r>
              <w:rPr>
                <w:rFonts w:hint="eastAsia" w:ascii="宋体" w:hAnsi="宋体"/>
                <w:szCs w:val="21"/>
              </w:rPr>
              <w:t>诚信档案</w:t>
            </w:r>
          </w:p>
        </w:tc>
        <w:tc>
          <w:tcPr>
            <w:tcW w:w="850" w:type="dxa"/>
            <w:tcBorders>
              <w:top w:val="single" w:color="000000" w:sz="6" w:space="0"/>
              <w:left w:val="nil"/>
              <w:bottom w:val="single" w:color="000000" w:sz="6" w:space="0"/>
              <w:right w:val="single" w:color="000000" w:sz="6" w:space="0"/>
            </w:tcBorders>
            <w:vAlign w:val="center"/>
          </w:tcPr>
          <w:p>
            <w:pPr>
              <w:jc w:val="center"/>
              <w:rPr>
                <w:rFonts w:cs="宋体"/>
                <w:bCs/>
                <w:szCs w:val="21"/>
              </w:rPr>
            </w:pPr>
            <w:r>
              <w:rPr>
                <w:rFonts w:ascii="宋体" w:hAnsi="宋体"/>
                <w:szCs w:val="21"/>
              </w:rPr>
              <w:t>5</w:t>
            </w:r>
          </w:p>
        </w:tc>
        <w:tc>
          <w:tcPr>
            <w:tcW w:w="6237" w:type="dxa"/>
            <w:tcBorders>
              <w:top w:val="single" w:color="000000" w:sz="6" w:space="0"/>
              <w:left w:val="nil"/>
              <w:bottom w:val="single" w:color="000000" w:sz="6" w:space="0"/>
              <w:right w:val="single" w:color="000000" w:sz="6" w:space="0"/>
            </w:tcBorders>
          </w:tcPr>
          <w:p>
            <w:pPr>
              <w:pStyle w:val="15"/>
              <w:rPr>
                <w:rFonts w:ascii="宋体" w:hAnsi="宋体"/>
                <w:b/>
                <w:szCs w:val="21"/>
              </w:rPr>
            </w:pPr>
            <w:r>
              <w:rPr>
                <w:rFonts w:hint="eastAsia" w:ascii="宋体" w:hAnsi="宋体"/>
                <w:b/>
                <w:szCs w:val="21"/>
              </w:rPr>
              <w:t>1、评审标准：</w:t>
            </w:r>
          </w:p>
          <w:p>
            <w:pPr>
              <w:pStyle w:val="15"/>
              <w:rPr>
                <w:rFonts w:ascii="宋体" w:hAnsi="宋体"/>
                <w:bCs/>
                <w:szCs w:val="21"/>
              </w:rPr>
            </w:pPr>
            <w:r>
              <w:rPr>
                <w:rFonts w:hint="eastAsia" w:ascii="宋体" w:hAnsi="宋体"/>
                <w:bCs/>
                <w:szCs w:val="21"/>
              </w:rPr>
              <w:t>根据深圳市财政委员会政府采购诚信管理相关规定，对投标人被记录诚信档案的情况进行评审；（对于受过行政处罚供应商，行政处罚期满后，可参与政府采购活动，其诚信分不再扣减）</w:t>
            </w:r>
          </w:p>
          <w:p>
            <w:pPr>
              <w:pStyle w:val="15"/>
              <w:rPr>
                <w:rFonts w:ascii="宋体" w:hAnsi="宋体"/>
                <w:b/>
                <w:szCs w:val="21"/>
              </w:rPr>
            </w:pPr>
            <w:r>
              <w:rPr>
                <w:rFonts w:hint="eastAsia" w:ascii="宋体" w:hAnsi="宋体"/>
                <w:b/>
                <w:szCs w:val="21"/>
              </w:rPr>
              <w:t>2、证明文件：</w:t>
            </w:r>
          </w:p>
          <w:p>
            <w:pPr>
              <w:pStyle w:val="15"/>
              <w:rPr>
                <w:rFonts w:cs="宋体"/>
                <w:bCs/>
                <w:szCs w:val="21"/>
              </w:rPr>
            </w:pPr>
            <w:r>
              <w:rPr>
                <w:rFonts w:hint="eastAsia" w:ascii="宋体" w:hAnsi="宋体"/>
                <w:bCs/>
                <w:szCs w:val="21"/>
              </w:rPr>
              <w:t>须提供《诚信承诺书》，</w:t>
            </w:r>
            <w:r>
              <w:rPr>
                <w:rFonts w:hint="eastAsia" w:ascii="宋体" w:hAnsi="宋体"/>
                <w:bCs/>
                <w:szCs w:val="21"/>
                <w:lang w:eastAsia="zh-CN"/>
              </w:rPr>
              <w:t>格式自拟，</w:t>
            </w:r>
            <w:r>
              <w:rPr>
                <w:rFonts w:hint="eastAsia" w:ascii="宋体" w:hAnsi="宋体"/>
                <w:bCs/>
                <w:szCs w:val="21"/>
              </w:rPr>
              <w:t>如若投标人承诺与实际情况不相符，将按照虚假投标的情况报相关主管部门处理，承诺书应按招标文件格式填写原件加盖投标人公章。</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2962"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2</w:t>
            </w:r>
          </w:p>
        </w:tc>
        <w:tc>
          <w:tcPr>
            <w:tcW w:w="993" w:type="dxa"/>
            <w:tcBorders>
              <w:top w:val="single" w:color="000000" w:sz="6" w:space="0"/>
              <w:left w:val="nil"/>
              <w:bottom w:val="single" w:color="000000" w:sz="6" w:space="0"/>
              <w:right w:val="single" w:color="000000" w:sz="6" w:space="0"/>
            </w:tcBorders>
            <w:vAlign w:val="center"/>
          </w:tcPr>
          <w:p>
            <w:pPr>
              <w:jc w:val="center"/>
              <w:rPr>
                <w:rFonts w:ascii="宋体" w:hAnsi="宋体" w:cs="宋体"/>
                <w:kern w:val="0"/>
                <w:szCs w:val="21"/>
              </w:rPr>
            </w:pPr>
            <w:r>
              <w:rPr>
                <w:rFonts w:hint="eastAsia" w:ascii="宋体" w:hAnsi="宋体" w:cs="宋体"/>
                <w:kern w:val="0"/>
                <w:szCs w:val="21"/>
              </w:rPr>
              <w:t>项目业绩</w:t>
            </w:r>
          </w:p>
          <w:p>
            <w:pPr>
              <w:autoSpaceDE w:val="0"/>
              <w:autoSpaceDN w:val="0"/>
              <w:adjustRightInd w:val="0"/>
              <w:jc w:val="center"/>
              <w:rPr>
                <w:rFonts w:ascii="宋体" w:hAnsi="宋体"/>
                <w:szCs w:val="21"/>
              </w:rPr>
            </w:pPr>
          </w:p>
        </w:tc>
        <w:tc>
          <w:tcPr>
            <w:tcW w:w="850" w:type="dxa"/>
            <w:tcBorders>
              <w:top w:val="single" w:color="000000" w:sz="6" w:space="0"/>
              <w:left w:val="nil"/>
              <w:bottom w:val="single" w:color="000000" w:sz="6" w:space="0"/>
              <w:right w:val="single" w:color="000000" w:sz="6" w:space="0"/>
            </w:tcBorders>
            <w:vAlign w:val="center"/>
          </w:tcPr>
          <w:p>
            <w:pPr>
              <w:autoSpaceDE w:val="0"/>
              <w:autoSpaceDN w:val="0"/>
              <w:adjustRightInd w:val="0"/>
              <w:jc w:val="center"/>
              <w:rPr>
                <w:rFonts w:ascii="宋体" w:hAnsi="宋体" w:cs="宋体"/>
                <w:szCs w:val="21"/>
                <w:lang w:val="zh-CN"/>
              </w:rPr>
            </w:pPr>
            <w:r>
              <w:rPr>
                <w:rFonts w:ascii="宋体" w:hAnsi="宋体" w:cs="宋体"/>
                <w:kern w:val="0"/>
                <w:szCs w:val="21"/>
              </w:rPr>
              <w:t>6</w:t>
            </w:r>
          </w:p>
        </w:tc>
        <w:tc>
          <w:tcPr>
            <w:tcW w:w="6237" w:type="dxa"/>
            <w:tcBorders>
              <w:top w:val="single" w:color="000000" w:sz="6" w:space="0"/>
              <w:left w:val="nil"/>
              <w:bottom w:val="single" w:color="000000" w:sz="6" w:space="0"/>
              <w:right w:val="single" w:color="000000" w:sz="6" w:space="0"/>
            </w:tcBorders>
            <w:vAlign w:val="center"/>
          </w:tcPr>
          <w:p>
            <w:pPr>
              <w:widowControl/>
              <w:textAlignment w:val="center"/>
              <w:rPr>
                <w:rFonts w:cs="宋体"/>
                <w:b/>
                <w:szCs w:val="21"/>
              </w:rPr>
            </w:pPr>
            <w:r>
              <w:rPr>
                <w:rFonts w:hint="eastAsia" w:cs="宋体"/>
                <w:b/>
                <w:szCs w:val="21"/>
              </w:rPr>
              <w:t>1、评审标准：</w:t>
            </w:r>
          </w:p>
          <w:p>
            <w:pPr>
              <w:widowControl/>
              <w:jc w:val="left"/>
              <w:textAlignment w:val="center"/>
              <w:rPr>
                <w:rFonts w:cs="宋体"/>
                <w:bCs/>
                <w:szCs w:val="21"/>
              </w:rPr>
            </w:pPr>
            <w:r>
              <w:rPr>
                <w:rFonts w:hint="eastAsia" w:cs="宋体"/>
                <w:bCs/>
                <w:szCs w:val="21"/>
                <w:lang w:eastAsia="zh-CN"/>
              </w:rPr>
              <w:t>服务单位</w:t>
            </w:r>
            <w:r>
              <w:rPr>
                <w:rFonts w:hint="eastAsia" w:ascii="宋体" w:hAnsi="宋体" w:cs="宋体"/>
                <w:kern w:val="0"/>
                <w:szCs w:val="21"/>
              </w:rPr>
              <w:t>自201</w:t>
            </w:r>
            <w:r>
              <w:rPr>
                <w:rFonts w:hint="eastAsia" w:ascii="宋体" w:hAnsi="宋体" w:cs="宋体"/>
                <w:kern w:val="0"/>
                <w:szCs w:val="21"/>
                <w:lang w:val="en-US" w:eastAsia="zh-CN"/>
              </w:rPr>
              <w:t>9</w:t>
            </w:r>
            <w:r>
              <w:rPr>
                <w:rFonts w:hint="eastAsia" w:ascii="宋体" w:hAnsi="宋体" w:cs="宋体"/>
                <w:kern w:val="0"/>
                <w:szCs w:val="21"/>
              </w:rPr>
              <w:t>年</w:t>
            </w:r>
            <w:r>
              <w:rPr>
                <w:rFonts w:hint="eastAsia" w:ascii="宋体" w:hAnsi="宋体" w:cs="宋体"/>
                <w:kern w:val="0"/>
                <w:szCs w:val="21"/>
                <w:lang w:val="en-US" w:eastAsia="zh-CN"/>
              </w:rPr>
              <w:t>6</w:t>
            </w:r>
            <w:r>
              <w:rPr>
                <w:rFonts w:hint="eastAsia" w:ascii="宋体" w:hAnsi="宋体" w:cs="宋体"/>
                <w:kern w:val="0"/>
                <w:szCs w:val="21"/>
              </w:rPr>
              <w:t>月</w:t>
            </w:r>
            <w:r>
              <w:rPr>
                <w:rFonts w:hint="eastAsia" w:ascii="宋体" w:hAnsi="宋体" w:cs="宋体"/>
                <w:kern w:val="0"/>
                <w:szCs w:val="21"/>
                <w:lang w:val="en-US" w:eastAsia="zh-CN"/>
              </w:rPr>
              <w:t>26</w:t>
            </w:r>
            <w:r>
              <w:rPr>
                <w:rFonts w:hint="eastAsia" w:ascii="宋体" w:hAnsi="宋体" w:cs="宋体"/>
                <w:kern w:val="0"/>
                <w:szCs w:val="21"/>
              </w:rPr>
              <w:t>日起至本项目交易公告发布之日</w:t>
            </w:r>
            <w:r>
              <w:rPr>
                <w:rFonts w:hint="eastAsia" w:cs="宋体"/>
                <w:bCs/>
                <w:szCs w:val="21"/>
              </w:rPr>
              <w:t>（</w:t>
            </w:r>
            <w:r>
              <w:rPr>
                <w:rFonts w:cs="宋体"/>
                <w:bCs/>
                <w:szCs w:val="21"/>
              </w:rPr>
              <w:t>3年内</w:t>
            </w:r>
            <w:r>
              <w:rPr>
                <w:rFonts w:hint="eastAsia" w:cs="宋体"/>
                <w:bCs/>
                <w:szCs w:val="21"/>
              </w:rPr>
              <w:t>）具有</w:t>
            </w:r>
            <w:r>
              <w:rPr>
                <w:rFonts w:hint="eastAsia" w:cs="宋体"/>
                <w:bCs/>
                <w:szCs w:val="21"/>
                <w:lang w:eastAsia="zh-CN"/>
              </w:rPr>
              <w:t>有害垃圾或生活垃圾清运等</w:t>
            </w:r>
            <w:r>
              <w:rPr>
                <w:rFonts w:hint="eastAsia" w:cs="宋体"/>
                <w:bCs/>
                <w:szCs w:val="21"/>
              </w:rPr>
              <w:t>垃圾</w:t>
            </w:r>
            <w:r>
              <w:rPr>
                <w:rFonts w:cs="宋体"/>
                <w:bCs/>
                <w:szCs w:val="21"/>
              </w:rPr>
              <w:t>清运服务项目（包括</w:t>
            </w:r>
            <w:r>
              <w:rPr>
                <w:rFonts w:hint="eastAsia" w:cs="宋体"/>
                <w:bCs/>
                <w:szCs w:val="21"/>
              </w:rPr>
              <w:t>大件垃圾、玻金塑纸</w:t>
            </w:r>
            <w:r>
              <w:rPr>
                <w:rFonts w:hint="eastAsia" w:cs="宋体"/>
                <w:bCs/>
                <w:szCs w:val="21"/>
                <w:lang w:eastAsia="zh-CN"/>
              </w:rPr>
              <w:t>、果蔬垃圾、年花年桔</w:t>
            </w:r>
            <w:r>
              <w:rPr>
                <w:rFonts w:hint="eastAsia" w:cs="宋体"/>
                <w:bCs/>
                <w:szCs w:val="21"/>
              </w:rPr>
              <w:t>等</w:t>
            </w:r>
            <w:r>
              <w:rPr>
                <w:rFonts w:cs="宋体"/>
                <w:bCs/>
                <w:szCs w:val="21"/>
              </w:rPr>
              <w:t>）项目</w:t>
            </w:r>
            <w:r>
              <w:rPr>
                <w:rFonts w:hint="eastAsia" w:cs="宋体"/>
                <w:bCs/>
                <w:szCs w:val="21"/>
              </w:rPr>
              <w:t>经验：</w:t>
            </w:r>
          </w:p>
          <w:p>
            <w:pPr>
              <w:widowControl/>
              <w:textAlignment w:val="center"/>
              <w:rPr>
                <w:rFonts w:cs="宋体"/>
                <w:bCs/>
                <w:szCs w:val="21"/>
              </w:rPr>
            </w:pPr>
            <w:r>
              <w:rPr>
                <w:rFonts w:cs="宋体"/>
                <w:bCs/>
                <w:szCs w:val="21"/>
              </w:rPr>
              <w:t>承担过</w:t>
            </w:r>
            <w:r>
              <w:rPr>
                <w:rFonts w:hint="eastAsia" w:cs="宋体"/>
                <w:bCs/>
                <w:szCs w:val="21"/>
                <w:lang w:eastAsia="zh-CN"/>
              </w:rPr>
              <w:t>废弃年花年桔或生活垃圾清运等</w:t>
            </w:r>
            <w:r>
              <w:rPr>
                <w:rFonts w:hint="eastAsia" w:cs="宋体"/>
                <w:bCs/>
                <w:szCs w:val="21"/>
              </w:rPr>
              <w:t>垃圾</w:t>
            </w:r>
            <w:r>
              <w:rPr>
                <w:rFonts w:cs="宋体"/>
                <w:bCs/>
                <w:szCs w:val="21"/>
              </w:rPr>
              <w:t>清运服务项目（包括</w:t>
            </w:r>
            <w:r>
              <w:rPr>
                <w:rFonts w:hint="eastAsia" w:cs="宋体"/>
                <w:bCs/>
                <w:szCs w:val="21"/>
              </w:rPr>
              <w:t>大件垃圾、玻金塑纸</w:t>
            </w:r>
            <w:r>
              <w:rPr>
                <w:rFonts w:hint="eastAsia" w:cs="宋体"/>
                <w:bCs/>
                <w:szCs w:val="21"/>
                <w:lang w:eastAsia="zh-CN"/>
              </w:rPr>
              <w:t>、果蔬垃圾、年花年桔</w:t>
            </w:r>
            <w:r>
              <w:rPr>
                <w:rFonts w:hint="eastAsia" w:cs="宋体"/>
                <w:bCs/>
                <w:szCs w:val="21"/>
              </w:rPr>
              <w:t>等</w:t>
            </w:r>
            <w:r>
              <w:rPr>
                <w:rFonts w:cs="宋体"/>
                <w:bCs/>
                <w:szCs w:val="21"/>
              </w:rPr>
              <w:t>）</w:t>
            </w:r>
            <w:r>
              <w:rPr>
                <w:rFonts w:hint="eastAsia" w:cs="宋体"/>
                <w:bCs/>
                <w:szCs w:val="21"/>
              </w:rPr>
              <w:t>的，每个项目得</w:t>
            </w:r>
            <w:r>
              <w:rPr>
                <w:rFonts w:hint="eastAsia" w:cs="宋体"/>
                <w:bCs/>
                <w:szCs w:val="21"/>
                <w:lang w:val="en-US" w:eastAsia="zh-CN"/>
              </w:rPr>
              <w:t>3</w:t>
            </w:r>
            <w:r>
              <w:rPr>
                <w:rFonts w:hint="eastAsia" w:cs="宋体"/>
                <w:bCs/>
                <w:szCs w:val="21"/>
              </w:rPr>
              <w:t>分，最多可</w:t>
            </w:r>
            <w:r>
              <w:rPr>
                <w:rFonts w:cs="宋体"/>
                <w:bCs/>
                <w:szCs w:val="21"/>
              </w:rPr>
              <w:t>得6</w:t>
            </w:r>
            <w:r>
              <w:rPr>
                <w:rFonts w:hint="eastAsia" w:cs="宋体"/>
                <w:bCs/>
                <w:szCs w:val="21"/>
              </w:rPr>
              <w:t>分。</w:t>
            </w:r>
          </w:p>
          <w:p>
            <w:pPr>
              <w:widowControl/>
              <w:textAlignment w:val="center"/>
              <w:rPr>
                <w:rFonts w:cs="宋体"/>
                <w:b/>
                <w:szCs w:val="21"/>
              </w:rPr>
            </w:pPr>
            <w:r>
              <w:rPr>
                <w:rFonts w:hint="eastAsia" w:cs="宋体"/>
                <w:b/>
                <w:szCs w:val="21"/>
              </w:rPr>
              <w:t>2、证明文件：</w:t>
            </w:r>
          </w:p>
          <w:p>
            <w:pPr>
              <w:widowControl/>
              <w:textAlignment w:val="center"/>
              <w:rPr>
                <w:rFonts w:ascii="宋体" w:hAnsi="宋体"/>
                <w:b/>
                <w:szCs w:val="21"/>
              </w:rPr>
            </w:pPr>
            <w:r>
              <w:rPr>
                <w:rFonts w:cs="宋体"/>
                <w:bCs/>
                <w:szCs w:val="21"/>
              </w:rPr>
              <w:t>需提供合同关键页</w:t>
            </w:r>
            <w:r>
              <w:rPr>
                <w:rFonts w:hint="eastAsia" w:cs="宋体"/>
                <w:bCs/>
                <w:szCs w:val="21"/>
              </w:rPr>
              <w:t>及</w:t>
            </w:r>
            <w:r>
              <w:rPr>
                <w:rFonts w:cs="宋体"/>
                <w:bCs/>
                <w:szCs w:val="21"/>
              </w:rPr>
              <w:t>中标或成交通知书</w:t>
            </w:r>
            <w:r>
              <w:rPr>
                <w:rFonts w:hint="eastAsia" w:cs="宋体"/>
                <w:bCs/>
                <w:szCs w:val="21"/>
              </w:rPr>
              <w:t>复印件或</w:t>
            </w:r>
            <w:r>
              <w:rPr>
                <w:rFonts w:cs="宋体"/>
                <w:bCs/>
                <w:szCs w:val="21"/>
              </w:rPr>
              <w:t>扫描件</w:t>
            </w:r>
            <w:r>
              <w:rPr>
                <w:rFonts w:hint="eastAsia" w:cs="宋体"/>
                <w:bCs/>
                <w:szCs w:val="21"/>
              </w:rPr>
              <w:t>并加盖投标人公章</w:t>
            </w:r>
            <w:r>
              <w:rPr>
                <w:rFonts w:cs="宋体"/>
                <w:bCs/>
                <w:szCs w:val="21"/>
              </w:rPr>
              <w:t>，原件备查，未提供的不得分。</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694"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3</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highlight w:val="yellow"/>
              </w:rPr>
            </w:pPr>
            <w:r>
              <w:rPr>
                <w:rFonts w:hint="eastAsia" w:cs="宋体"/>
                <w:bCs/>
                <w:szCs w:val="21"/>
              </w:rPr>
              <w:t>投标人</w:t>
            </w:r>
            <w:r>
              <w:rPr>
                <w:rFonts w:cs="宋体"/>
                <w:bCs/>
                <w:szCs w:val="21"/>
              </w:rPr>
              <w:t>设备</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eastAsia" w:cs="宋体" w:eastAsiaTheme="minorEastAsia"/>
                <w:bCs/>
                <w:szCs w:val="21"/>
                <w:lang w:val="en-US" w:eastAsia="zh-CN"/>
              </w:rPr>
            </w:pPr>
            <w:r>
              <w:rPr>
                <w:rFonts w:hint="eastAsia" w:cs="宋体"/>
                <w:bCs/>
                <w:szCs w:val="21"/>
                <w:lang w:val="en-US" w:eastAsia="zh-CN"/>
              </w:rPr>
              <w:t>8</w:t>
            </w:r>
          </w:p>
        </w:tc>
        <w:tc>
          <w:tcPr>
            <w:tcW w:w="6237" w:type="dxa"/>
            <w:tcBorders>
              <w:top w:val="single" w:color="000000" w:sz="6" w:space="0"/>
              <w:left w:val="nil"/>
              <w:bottom w:val="single" w:color="000000" w:sz="6" w:space="0"/>
              <w:right w:val="single" w:color="000000" w:sz="6" w:space="0"/>
            </w:tcBorders>
            <w:vAlign w:val="bottom"/>
          </w:tcPr>
          <w:p>
            <w:pPr>
              <w:widowControl/>
              <w:textAlignment w:val="center"/>
              <w:rPr>
                <w:rFonts w:cs="宋体"/>
                <w:b/>
                <w:szCs w:val="21"/>
              </w:rPr>
            </w:pPr>
            <w:r>
              <w:rPr>
                <w:rFonts w:hint="eastAsia" w:cs="宋体"/>
                <w:b/>
                <w:szCs w:val="21"/>
              </w:rPr>
              <w:t>1、评审标准：</w:t>
            </w:r>
          </w:p>
          <w:p>
            <w:pPr>
              <w:widowControl/>
              <w:textAlignment w:val="center"/>
              <w:rPr>
                <w:rStyle w:val="16"/>
                <w:rFonts w:hint="default"/>
                <w:bCs/>
                <w:color w:val="auto"/>
              </w:rPr>
            </w:pPr>
            <w:r>
              <w:rPr>
                <w:rStyle w:val="16"/>
                <w:rFonts w:hint="default"/>
                <w:bCs/>
                <w:color w:val="auto"/>
              </w:rPr>
              <w:t>投标人自有的机械和设备:</w:t>
            </w:r>
          </w:p>
          <w:p>
            <w:pPr>
              <w:widowControl/>
              <w:textAlignment w:val="center"/>
              <w:rPr>
                <w:rStyle w:val="16"/>
                <w:rFonts w:hint="default"/>
                <w:bCs/>
                <w:color w:val="auto"/>
              </w:rPr>
            </w:pPr>
            <w:r>
              <w:rPr>
                <w:rStyle w:val="16"/>
                <w:rFonts w:hint="default"/>
                <w:bCs/>
                <w:color w:val="auto"/>
              </w:rPr>
              <w:t>纯电动厢式货车，每辆得4</w:t>
            </w:r>
            <w:r>
              <w:rPr>
                <w:rFonts w:hint="eastAsia" w:cs="宋体"/>
                <w:bCs/>
                <w:szCs w:val="21"/>
              </w:rPr>
              <w:t>分</w:t>
            </w:r>
            <w:r>
              <w:rPr>
                <w:rStyle w:val="16"/>
                <w:rFonts w:hint="default"/>
                <w:bCs/>
                <w:color w:val="auto"/>
              </w:rPr>
              <w:t>，最多得</w:t>
            </w:r>
            <w:r>
              <w:rPr>
                <w:rStyle w:val="16"/>
                <w:rFonts w:hint="eastAsia" w:eastAsia="宋体"/>
                <w:bCs/>
                <w:color w:val="auto"/>
                <w:lang w:val="en-US" w:eastAsia="zh-CN"/>
              </w:rPr>
              <w:t>8</w:t>
            </w:r>
            <w:r>
              <w:rPr>
                <w:rFonts w:hint="eastAsia" w:cs="宋体"/>
                <w:bCs/>
                <w:szCs w:val="21"/>
              </w:rPr>
              <w:t>分</w:t>
            </w:r>
            <w:r>
              <w:rPr>
                <w:rStyle w:val="16"/>
                <w:rFonts w:hint="default"/>
                <w:bCs/>
                <w:color w:val="auto"/>
              </w:rPr>
              <w:t>；</w:t>
            </w:r>
          </w:p>
          <w:p>
            <w:pPr>
              <w:widowControl/>
              <w:textAlignment w:val="center"/>
              <w:rPr>
                <w:rStyle w:val="16"/>
                <w:rFonts w:hint="default"/>
                <w:bCs/>
                <w:color w:val="auto"/>
              </w:rPr>
            </w:pPr>
            <w:r>
              <w:rPr>
                <w:rStyle w:val="16"/>
                <w:rFonts w:hint="default"/>
                <w:bCs/>
                <w:color w:val="auto"/>
              </w:rPr>
              <w:t>投标人租赁的机械和设备：</w:t>
            </w:r>
          </w:p>
          <w:p>
            <w:pPr>
              <w:widowControl/>
              <w:textAlignment w:val="center"/>
              <w:rPr>
                <w:rStyle w:val="16"/>
                <w:rFonts w:hint="default"/>
                <w:bCs/>
                <w:color w:val="auto"/>
              </w:rPr>
            </w:pPr>
            <w:r>
              <w:rPr>
                <w:rStyle w:val="16"/>
                <w:rFonts w:hint="default"/>
                <w:bCs/>
                <w:color w:val="auto"/>
              </w:rPr>
              <w:t>纯电动环厢式货车，每辆得</w:t>
            </w:r>
            <w:r>
              <w:rPr>
                <w:rStyle w:val="16"/>
                <w:rFonts w:hint="eastAsia" w:eastAsia="宋体"/>
                <w:bCs/>
                <w:color w:val="auto"/>
                <w:lang w:val="en-US" w:eastAsia="zh-CN"/>
              </w:rPr>
              <w:t>3</w:t>
            </w:r>
            <w:r>
              <w:rPr>
                <w:rStyle w:val="16"/>
                <w:rFonts w:hint="default"/>
                <w:bCs/>
                <w:color w:val="auto"/>
              </w:rPr>
              <w:t>分，最多得</w:t>
            </w:r>
            <w:r>
              <w:rPr>
                <w:rStyle w:val="16"/>
                <w:rFonts w:hint="eastAsia" w:eastAsia="宋体"/>
                <w:bCs/>
                <w:color w:val="auto"/>
                <w:lang w:val="en-US" w:eastAsia="zh-CN"/>
              </w:rPr>
              <w:t>6</w:t>
            </w:r>
            <w:r>
              <w:rPr>
                <w:rStyle w:val="16"/>
                <w:rFonts w:hint="default"/>
                <w:bCs/>
                <w:color w:val="auto"/>
              </w:rPr>
              <w:t>分。</w:t>
            </w:r>
          </w:p>
          <w:p>
            <w:pPr>
              <w:widowControl/>
              <w:textAlignment w:val="center"/>
              <w:rPr>
                <w:rStyle w:val="16"/>
                <w:rFonts w:hint="default"/>
                <w:bCs/>
                <w:color w:val="auto"/>
              </w:rPr>
            </w:pPr>
            <w:r>
              <w:rPr>
                <w:rStyle w:val="16"/>
                <w:rFonts w:hint="default"/>
                <w:bCs/>
                <w:color w:val="auto"/>
              </w:rPr>
              <w:t>以上两项分开计算，最多得8分。</w:t>
            </w:r>
          </w:p>
          <w:p>
            <w:pPr>
              <w:widowControl/>
              <w:textAlignment w:val="center"/>
              <w:rPr>
                <w:rFonts w:cs="宋体"/>
                <w:b/>
                <w:szCs w:val="21"/>
              </w:rPr>
            </w:pPr>
            <w:r>
              <w:rPr>
                <w:rFonts w:hint="eastAsia" w:cs="宋体"/>
                <w:b/>
                <w:szCs w:val="21"/>
              </w:rPr>
              <w:t>2、证明文件：</w:t>
            </w:r>
          </w:p>
          <w:p>
            <w:pPr>
              <w:widowControl/>
              <w:textAlignment w:val="center"/>
              <w:rPr>
                <w:rFonts w:ascii="宋体" w:hAnsi="宋体" w:cs="宋体"/>
                <w:szCs w:val="21"/>
              </w:rPr>
            </w:pPr>
            <w:r>
              <w:rPr>
                <w:rFonts w:cs="宋体"/>
                <w:bCs/>
                <w:szCs w:val="21"/>
              </w:rPr>
              <w:t>车辆需提供车辆行驶证及购置发票</w:t>
            </w:r>
            <w:r>
              <w:rPr>
                <w:rStyle w:val="16"/>
                <w:rFonts w:hint="default"/>
                <w:bCs/>
                <w:color w:val="auto"/>
              </w:rPr>
              <w:t>复印件或</w:t>
            </w:r>
            <w:r>
              <w:rPr>
                <w:rFonts w:cs="宋体"/>
                <w:bCs/>
                <w:szCs w:val="21"/>
              </w:rPr>
              <w:t>扫描件，机械和设备所有权必须属于投标人，行驶证年审合格，必须为绿标车。</w:t>
            </w:r>
            <w:r>
              <w:rPr>
                <w:rFonts w:hint="eastAsia" w:cs="宋体"/>
                <w:bCs/>
                <w:szCs w:val="21"/>
              </w:rPr>
              <w:t>租赁的需提供正规的租赁合同，租赁到期日在2</w:t>
            </w:r>
            <w:r>
              <w:rPr>
                <w:rFonts w:cs="宋体"/>
                <w:bCs/>
                <w:szCs w:val="21"/>
              </w:rPr>
              <w:t>0</w:t>
            </w:r>
            <w:r>
              <w:rPr>
                <w:rFonts w:hint="eastAsia" w:cs="宋体"/>
                <w:bCs/>
                <w:szCs w:val="21"/>
                <w:lang w:val="en-US" w:eastAsia="zh-CN"/>
              </w:rPr>
              <w:t>23</w:t>
            </w:r>
            <w:r>
              <w:rPr>
                <w:rFonts w:hint="eastAsia" w:cs="宋体"/>
                <w:bCs/>
                <w:szCs w:val="21"/>
              </w:rPr>
              <w:t>年</w:t>
            </w:r>
            <w:r>
              <w:rPr>
                <w:rFonts w:hint="eastAsia" w:cs="宋体"/>
                <w:bCs/>
                <w:szCs w:val="21"/>
                <w:lang w:val="en-US" w:eastAsia="zh-CN"/>
              </w:rPr>
              <w:t>6</w:t>
            </w:r>
            <w:r>
              <w:rPr>
                <w:rFonts w:hint="eastAsia" w:cs="宋体"/>
                <w:bCs/>
                <w:szCs w:val="21"/>
              </w:rPr>
              <w:t>月</w:t>
            </w:r>
            <w:r>
              <w:rPr>
                <w:rFonts w:hint="eastAsia" w:cs="宋体"/>
                <w:bCs/>
                <w:szCs w:val="21"/>
                <w:lang w:val="en-US" w:eastAsia="zh-CN"/>
              </w:rPr>
              <w:t>26</w:t>
            </w:r>
            <w:r>
              <w:rPr>
                <w:rFonts w:hint="eastAsia" w:cs="宋体"/>
                <w:bCs/>
                <w:szCs w:val="21"/>
              </w:rPr>
              <w:t>日以后，</w:t>
            </w:r>
            <w:r>
              <w:rPr>
                <w:rFonts w:cs="宋体"/>
                <w:bCs/>
                <w:szCs w:val="21"/>
              </w:rPr>
              <w:t>未按要求提供相关材料或扫描件不清晰导致无法识别的不得分</w:t>
            </w:r>
            <w:r>
              <w:rPr>
                <w:rFonts w:hint="eastAsia" w:cs="宋体"/>
                <w:bCs/>
                <w:szCs w:val="21"/>
              </w:rPr>
              <w:t>。</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2110"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4</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hint="eastAsia" w:cs="宋体"/>
                <w:bCs/>
                <w:szCs w:val="21"/>
              </w:rPr>
              <w:t>安全管理配备</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hint="eastAsia" w:cs="宋体"/>
                <w:bCs/>
                <w:szCs w:val="21"/>
              </w:rPr>
              <w:t>3</w:t>
            </w:r>
          </w:p>
        </w:tc>
        <w:tc>
          <w:tcPr>
            <w:tcW w:w="6237" w:type="dxa"/>
            <w:tcBorders>
              <w:top w:val="single" w:color="000000" w:sz="6" w:space="0"/>
              <w:left w:val="nil"/>
              <w:bottom w:val="single" w:color="000000" w:sz="6" w:space="0"/>
              <w:right w:val="single" w:color="000000" w:sz="6" w:space="0"/>
            </w:tcBorders>
          </w:tcPr>
          <w:p>
            <w:pPr>
              <w:widowControl/>
              <w:textAlignment w:val="center"/>
              <w:rPr>
                <w:rFonts w:cs="宋体"/>
                <w:bCs/>
                <w:szCs w:val="21"/>
              </w:rPr>
            </w:pPr>
            <w:r>
              <w:rPr>
                <w:rFonts w:hint="eastAsia" w:cs="宋体"/>
                <w:b/>
                <w:szCs w:val="21"/>
              </w:rPr>
              <w:t>1、评审标准：</w:t>
            </w:r>
          </w:p>
          <w:p>
            <w:pPr>
              <w:rPr>
                <w:rFonts w:asciiTheme="minorEastAsia" w:hAnsiTheme="minorEastAsia" w:eastAsiaTheme="minorEastAsia"/>
                <w:szCs w:val="21"/>
              </w:rPr>
            </w:pPr>
            <w:r>
              <w:rPr>
                <w:rFonts w:hint="eastAsia" w:asciiTheme="minorEastAsia" w:hAnsiTheme="minorEastAsia" w:eastAsiaTheme="minorEastAsia"/>
                <w:szCs w:val="21"/>
              </w:rPr>
              <w:t>投标人本身配备安全员（具有</w:t>
            </w:r>
            <w:r>
              <w:rPr>
                <w:rFonts w:hint="eastAsia" w:ascii="宋体" w:hAnsi="宋体"/>
                <w:szCs w:val="21"/>
              </w:rPr>
              <w:t>县（区）级及以上人力资源和社会保障局或安监部门颁发的安全员证书</w:t>
            </w:r>
            <w:r>
              <w:rPr>
                <w:rFonts w:hint="eastAsia" w:asciiTheme="minorEastAsia" w:hAnsiTheme="minorEastAsia" w:eastAsiaTheme="minorEastAsia"/>
                <w:szCs w:val="21"/>
              </w:rPr>
              <w:t>）一名的得</w:t>
            </w:r>
            <w:r>
              <w:rPr>
                <w:rFonts w:asciiTheme="minorEastAsia" w:hAnsiTheme="minorEastAsia" w:eastAsiaTheme="minorEastAsia"/>
                <w:szCs w:val="21"/>
              </w:rPr>
              <w:t>3</w:t>
            </w:r>
            <w:r>
              <w:rPr>
                <w:rFonts w:hint="eastAsia" w:asciiTheme="minorEastAsia" w:hAnsiTheme="minorEastAsia" w:eastAsiaTheme="minorEastAsia"/>
                <w:szCs w:val="21"/>
              </w:rPr>
              <w:t>分，其他情况不得分。</w:t>
            </w:r>
          </w:p>
          <w:p>
            <w:pPr>
              <w:pStyle w:val="15"/>
              <w:rPr>
                <w:rFonts w:cs="宋体"/>
                <w:bCs/>
                <w:szCs w:val="21"/>
              </w:rPr>
            </w:pPr>
            <w:r>
              <w:rPr>
                <w:rFonts w:hint="eastAsia" w:cs="宋体"/>
                <w:b/>
                <w:szCs w:val="21"/>
              </w:rPr>
              <w:t>2、证明文件：</w:t>
            </w:r>
          </w:p>
          <w:p>
            <w:pPr>
              <w:rPr>
                <w:rFonts w:ascii="宋体" w:hAnsi="宋体" w:cs="宋体"/>
                <w:szCs w:val="21"/>
              </w:rPr>
            </w:pPr>
            <w:r>
              <w:rPr>
                <w:rFonts w:hint="eastAsia" w:cs="宋体"/>
                <w:bCs/>
                <w:szCs w:val="21"/>
              </w:rPr>
              <w:t>提供证书复印件及近三个月（20</w:t>
            </w:r>
            <w:r>
              <w:rPr>
                <w:rFonts w:hint="eastAsia" w:cs="宋体"/>
                <w:bCs/>
                <w:szCs w:val="21"/>
                <w:lang w:val="en-US" w:eastAsia="zh-CN"/>
              </w:rPr>
              <w:t>22</w:t>
            </w:r>
            <w:r>
              <w:rPr>
                <w:rFonts w:hint="eastAsia" w:cs="宋体"/>
                <w:bCs/>
                <w:szCs w:val="21"/>
              </w:rPr>
              <w:t>年</w:t>
            </w:r>
            <w:r>
              <w:rPr>
                <w:rFonts w:hint="eastAsia" w:cs="宋体"/>
                <w:bCs/>
                <w:szCs w:val="21"/>
                <w:lang w:val="en-US" w:eastAsia="zh-CN"/>
              </w:rPr>
              <w:t>3</w:t>
            </w:r>
            <w:r>
              <w:rPr>
                <w:rFonts w:hint="eastAsia" w:cs="宋体"/>
                <w:bCs/>
                <w:szCs w:val="21"/>
              </w:rPr>
              <w:t>月-20</w:t>
            </w:r>
            <w:r>
              <w:rPr>
                <w:rFonts w:hint="eastAsia" w:cs="宋体"/>
                <w:bCs/>
                <w:szCs w:val="21"/>
                <w:lang w:val="en-US" w:eastAsia="zh-CN"/>
              </w:rPr>
              <w:t>22</w:t>
            </w:r>
            <w:r>
              <w:rPr>
                <w:rFonts w:hint="eastAsia" w:cs="宋体"/>
                <w:bCs/>
                <w:szCs w:val="21"/>
              </w:rPr>
              <w:t>年</w:t>
            </w:r>
            <w:r>
              <w:rPr>
                <w:rFonts w:hint="eastAsia" w:cs="宋体"/>
                <w:bCs/>
                <w:szCs w:val="21"/>
                <w:lang w:val="en-US" w:eastAsia="zh-CN"/>
              </w:rPr>
              <w:t>6</w:t>
            </w:r>
            <w:r>
              <w:rPr>
                <w:rFonts w:hint="eastAsia" w:cs="宋体"/>
                <w:bCs/>
                <w:szCs w:val="21"/>
              </w:rPr>
              <w:t>月）的社保证明复印件或扫描件并加盖投标人公章（以工伤保险为准），因社保部门原因暂时无法取得的，可以往前顺延一个月，不具备的不得分。原件备查。</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2252"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5</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highlight w:val="yellow"/>
              </w:rPr>
            </w:pPr>
            <w:r>
              <w:rPr>
                <w:rFonts w:hint="eastAsia" w:cs="宋体"/>
                <w:bCs/>
                <w:szCs w:val="21"/>
              </w:rPr>
              <w:t>员工社保及福利保障（包括工伤、医疗、人身意外伤害保险、社会养老保险等）</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cs="宋体"/>
                <w:bCs/>
                <w:szCs w:val="21"/>
              </w:rPr>
              <w:t>3</w:t>
            </w:r>
          </w:p>
        </w:tc>
        <w:tc>
          <w:tcPr>
            <w:tcW w:w="6237" w:type="dxa"/>
            <w:tcBorders>
              <w:top w:val="single" w:color="000000" w:sz="6" w:space="0"/>
              <w:left w:val="nil"/>
              <w:bottom w:val="single" w:color="000000" w:sz="6" w:space="0"/>
              <w:right w:val="single" w:color="000000" w:sz="6" w:space="0"/>
            </w:tcBorders>
            <w:vAlign w:val="center"/>
          </w:tcPr>
          <w:p>
            <w:pPr>
              <w:widowControl/>
              <w:textAlignment w:val="center"/>
              <w:rPr>
                <w:rFonts w:cs="宋体"/>
                <w:b/>
                <w:szCs w:val="21"/>
              </w:rPr>
            </w:pPr>
            <w:r>
              <w:rPr>
                <w:rFonts w:hint="eastAsia" w:cs="宋体"/>
                <w:b/>
                <w:szCs w:val="21"/>
              </w:rPr>
              <w:t>1、评审标准：</w:t>
            </w:r>
          </w:p>
          <w:p>
            <w:pPr>
              <w:widowControl/>
              <w:textAlignment w:val="center"/>
              <w:rPr>
                <w:rFonts w:cs="宋体"/>
                <w:bCs/>
                <w:color w:val="000000" w:themeColor="text1"/>
                <w:szCs w:val="21"/>
                <w14:textFill>
                  <w14:solidFill>
                    <w14:schemeClr w14:val="tx1"/>
                  </w14:solidFill>
                </w14:textFill>
              </w:rPr>
            </w:pPr>
            <w:r>
              <w:rPr>
                <w:rFonts w:hint="eastAsia" w:cs="宋体"/>
                <w:bCs/>
                <w:szCs w:val="21"/>
              </w:rPr>
              <w:t>1）</w:t>
            </w:r>
            <w:r>
              <w:rPr>
                <w:rFonts w:cs="宋体"/>
                <w:bCs/>
                <w:szCs w:val="21"/>
              </w:rPr>
              <w:t>各投标供应商对中标后如何保障并及时发放员工加班工资及社保、福利（包括工伤、医疗、人身意外伤害保险、经济补偿金、社会养老保险等）作出承诺，并提出可操作的保障方案。</w:t>
            </w:r>
            <w:r>
              <w:rPr>
                <w:rFonts w:hint="eastAsia" w:cs="宋体"/>
                <w:bCs/>
                <w:szCs w:val="21"/>
              </w:rPr>
              <w:t>按照方案内容要求提供的得</w:t>
            </w:r>
            <w:r>
              <w:rPr>
                <w:rFonts w:cs="宋体"/>
                <w:bCs/>
                <w:color w:val="000000" w:themeColor="text1"/>
                <w:szCs w:val="21"/>
                <w14:textFill>
                  <w14:solidFill>
                    <w14:schemeClr w14:val="tx1"/>
                  </w14:solidFill>
                </w14:textFill>
              </w:rPr>
              <w:t>2</w:t>
            </w:r>
            <w:r>
              <w:rPr>
                <w:rStyle w:val="16"/>
                <w:rFonts w:hint="default"/>
                <w:bCs/>
                <w:color w:val="000000" w:themeColor="text1"/>
                <w14:textFill>
                  <w14:solidFill>
                    <w14:schemeClr w14:val="tx1"/>
                  </w14:solidFill>
                </w14:textFill>
              </w:rPr>
              <w:t>分</w:t>
            </w:r>
            <w:r>
              <w:rPr>
                <w:rFonts w:hint="eastAsia" w:cs="宋体"/>
                <w:bCs/>
                <w:color w:val="000000" w:themeColor="text1"/>
                <w:szCs w:val="21"/>
                <w14:textFill>
                  <w14:solidFill>
                    <w14:schemeClr w14:val="tx1"/>
                  </w14:solidFill>
                </w14:textFill>
              </w:rPr>
              <w:t>，提供方案内容不完整或不提供的不得分。</w:t>
            </w:r>
          </w:p>
          <w:p>
            <w:pPr>
              <w:widowControl/>
              <w:numPr>
                <w:ilvl w:val="0"/>
                <w:numId w:val="3"/>
              </w:numPr>
              <w:textAlignment w:val="center"/>
              <w:rPr>
                <w:rFonts w:cs="宋体"/>
                <w:bCs/>
                <w:color w:val="000000" w:themeColor="text1"/>
                <w:szCs w:val="21"/>
                <w14:textFill>
                  <w14:solidFill>
                    <w14:schemeClr w14:val="tx1"/>
                  </w14:solidFill>
                </w14:textFill>
              </w:rPr>
            </w:pPr>
            <w:r>
              <w:rPr>
                <w:rFonts w:cs="宋体"/>
                <w:bCs/>
                <w:color w:val="000000" w:themeColor="text1"/>
                <w:szCs w:val="21"/>
                <w14:textFill>
                  <w14:solidFill>
                    <w14:schemeClr w14:val="tx1"/>
                  </w14:solidFill>
                </w14:textFill>
              </w:rPr>
              <w:t>为职工购买商业险(人身意外伤害保险、雇主责任险），每人每年保额不低于40万元。承诺的得满分</w:t>
            </w:r>
            <w:r>
              <w:rPr>
                <w:rFonts w:hint="eastAsia" w:cs="宋体"/>
                <w:bCs/>
                <w:color w:val="000000" w:themeColor="text1"/>
                <w:szCs w:val="21"/>
                <w14:textFill>
                  <w14:solidFill>
                    <w14:schemeClr w14:val="tx1"/>
                  </w14:solidFill>
                </w14:textFill>
              </w:rPr>
              <w:t>1</w:t>
            </w:r>
            <w:r>
              <w:rPr>
                <w:rStyle w:val="16"/>
                <w:rFonts w:hint="default"/>
                <w:bCs/>
                <w:color w:val="000000" w:themeColor="text1"/>
                <w14:textFill>
                  <w14:solidFill>
                    <w14:schemeClr w14:val="tx1"/>
                  </w14:solidFill>
                </w14:textFill>
              </w:rPr>
              <w:t>分</w:t>
            </w:r>
            <w:r>
              <w:rPr>
                <w:rFonts w:cs="宋体"/>
                <w:bCs/>
                <w:color w:val="000000" w:themeColor="text1"/>
                <w:szCs w:val="21"/>
                <w14:textFill>
                  <w14:solidFill>
                    <w14:schemeClr w14:val="tx1"/>
                  </w14:solidFill>
                </w14:textFill>
              </w:rPr>
              <w:t>，不承诺的不得分。</w:t>
            </w:r>
          </w:p>
          <w:p>
            <w:pPr>
              <w:widowControl/>
              <w:numPr>
                <w:ilvl w:val="0"/>
                <w:numId w:val="3"/>
              </w:numPr>
              <w:textAlignment w:val="center"/>
              <w:rPr>
                <w:rFonts w:cs="宋体"/>
                <w:bCs/>
                <w:color w:val="000000" w:themeColor="text1"/>
                <w:szCs w:val="21"/>
                <w14:textFill>
                  <w14:solidFill>
                    <w14:schemeClr w14:val="tx1"/>
                  </w14:solidFill>
                </w14:textFill>
              </w:rPr>
            </w:pPr>
            <w:r>
              <w:rPr>
                <w:rFonts w:hint="eastAsia" w:cs="宋体"/>
                <w:bCs/>
                <w:color w:val="000000" w:themeColor="text1"/>
                <w:szCs w:val="21"/>
                <w14:textFill>
                  <w14:solidFill>
                    <w14:schemeClr w14:val="tx1"/>
                  </w14:solidFill>
                </w14:textFill>
              </w:rPr>
              <w:t>本项累计最高得</w:t>
            </w:r>
            <w:r>
              <w:rPr>
                <w:rFonts w:cs="宋体"/>
                <w:bCs/>
                <w:color w:val="000000" w:themeColor="text1"/>
                <w:szCs w:val="21"/>
                <w14:textFill>
                  <w14:solidFill>
                    <w14:schemeClr w14:val="tx1"/>
                  </w14:solidFill>
                </w14:textFill>
              </w:rPr>
              <w:t>3</w:t>
            </w:r>
            <w:r>
              <w:rPr>
                <w:rStyle w:val="16"/>
                <w:rFonts w:hint="default"/>
                <w:bCs/>
                <w:color w:val="000000" w:themeColor="text1"/>
                <w14:textFill>
                  <w14:solidFill>
                    <w14:schemeClr w14:val="tx1"/>
                  </w14:solidFill>
                </w14:textFill>
              </w:rPr>
              <w:t>分</w:t>
            </w:r>
            <w:r>
              <w:rPr>
                <w:rFonts w:hint="eastAsia" w:cs="宋体"/>
                <w:bCs/>
                <w:color w:val="000000" w:themeColor="text1"/>
                <w:szCs w:val="21"/>
                <w14:textFill>
                  <w14:solidFill>
                    <w14:schemeClr w14:val="tx1"/>
                  </w14:solidFill>
                </w14:textFill>
              </w:rPr>
              <w:t>。</w:t>
            </w:r>
          </w:p>
          <w:p>
            <w:pPr>
              <w:widowControl/>
              <w:textAlignment w:val="center"/>
              <w:rPr>
                <w:rFonts w:cs="宋体"/>
                <w:b/>
                <w:color w:val="000000" w:themeColor="text1"/>
                <w:szCs w:val="21"/>
                <w14:textFill>
                  <w14:solidFill>
                    <w14:schemeClr w14:val="tx1"/>
                  </w14:solidFill>
                </w14:textFill>
              </w:rPr>
            </w:pPr>
            <w:r>
              <w:rPr>
                <w:rFonts w:hint="eastAsia" w:cs="宋体"/>
                <w:b/>
                <w:color w:val="000000" w:themeColor="text1"/>
                <w:szCs w:val="21"/>
                <w14:textFill>
                  <w14:solidFill>
                    <w14:schemeClr w14:val="tx1"/>
                  </w14:solidFill>
                </w14:textFill>
              </w:rPr>
              <w:t>2、证明文件：</w:t>
            </w:r>
          </w:p>
          <w:p>
            <w:pPr>
              <w:widowControl/>
              <w:textAlignment w:val="center"/>
              <w:rPr>
                <w:rFonts w:ascii="宋体" w:hAnsi="宋体" w:cs="宋体"/>
                <w:szCs w:val="21"/>
              </w:rPr>
            </w:pPr>
            <w:r>
              <w:rPr>
                <w:rFonts w:hint="eastAsia" w:cs="宋体"/>
                <w:bCs/>
                <w:szCs w:val="21"/>
              </w:rPr>
              <w:t>提供方案及承诺书（格式自拟）并加盖公章，</w:t>
            </w:r>
            <w:r>
              <w:rPr>
                <w:rFonts w:cs="宋体"/>
                <w:bCs/>
                <w:szCs w:val="21"/>
              </w:rPr>
              <w:t>未提供的不得分。</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564" w:hRule="atLeast"/>
        </w:trPr>
        <w:tc>
          <w:tcPr>
            <w:tcW w:w="8755"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cs="宋体"/>
                <w:b/>
                <w:szCs w:val="21"/>
              </w:rPr>
            </w:pPr>
            <w:r>
              <w:rPr>
                <w:rFonts w:hint="eastAsia" w:cs="宋体"/>
                <w:b/>
                <w:szCs w:val="21"/>
              </w:rPr>
              <w:t>技术部分</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lang w:val="en-US" w:eastAsia="zh-CN"/>
              </w:rPr>
              <w:t>5</w:t>
            </w:r>
            <w:r>
              <w:rPr>
                <w:rFonts w:ascii="宋体" w:hAnsi="宋体"/>
                <w:kern w:val="0"/>
                <w:szCs w:val="21"/>
              </w:rPr>
              <w:t>5</w:t>
            </w:r>
          </w:p>
        </w:tc>
      </w:tr>
      <w:tr>
        <w:tblPrEx>
          <w:tblLayout w:type="fixed"/>
          <w:tblCellMar>
            <w:top w:w="0" w:type="dxa"/>
            <w:left w:w="108" w:type="dxa"/>
            <w:bottom w:w="0" w:type="dxa"/>
            <w:right w:w="108" w:type="dxa"/>
          </w:tblCellMar>
        </w:tblPrEx>
        <w:trPr>
          <w:trHeight w:val="3391"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6</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hint="eastAsia" w:cs="宋体"/>
                <w:bCs/>
                <w:szCs w:val="21"/>
              </w:rPr>
              <w:t>作业方案及要求</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eastAsia" w:cs="宋体" w:eastAsiaTheme="minorEastAsia"/>
                <w:bCs/>
                <w:szCs w:val="21"/>
                <w:lang w:val="en-US" w:eastAsia="zh-CN"/>
              </w:rPr>
            </w:pPr>
            <w:r>
              <w:rPr>
                <w:rFonts w:hint="eastAsia" w:cs="宋体"/>
                <w:bCs/>
                <w:szCs w:val="21"/>
                <w:lang w:val="en-US" w:eastAsia="zh-CN"/>
              </w:rPr>
              <w:t>30</w:t>
            </w:r>
          </w:p>
        </w:tc>
        <w:tc>
          <w:tcPr>
            <w:tcW w:w="6237" w:type="dxa"/>
            <w:tcBorders>
              <w:top w:val="single" w:color="000000" w:sz="6" w:space="0"/>
              <w:left w:val="nil"/>
              <w:bottom w:val="single" w:color="000000" w:sz="6" w:space="0"/>
              <w:right w:val="single" w:color="000000" w:sz="6" w:space="0"/>
            </w:tcBorders>
            <w:vAlign w:val="center"/>
          </w:tcPr>
          <w:p>
            <w:pPr>
              <w:rPr>
                <w:b/>
                <w:bCs/>
                <w:szCs w:val="21"/>
              </w:rPr>
            </w:pPr>
            <w:r>
              <w:rPr>
                <w:rFonts w:hint="eastAsia"/>
                <w:b/>
                <w:bCs/>
                <w:szCs w:val="21"/>
              </w:rPr>
              <w:t>1、评审内容：</w:t>
            </w:r>
          </w:p>
          <w:p>
            <w:pPr>
              <w:rPr>
                <w:bCs/>
                <w:szCs w:val="21"/>
              </w:rPr>
            </w:pPr>
            <w:r>
              <w:rPr>
                <w:rFonts w:hint="eastAsia"/>
                <w:bCs/>
                <w:szCs w:val="21"/>
              </w:rPr>
              <w:t>综合衡量各投标供应商的清运工作的日常管理方案</w:t>
            </w:r>
          </w:p>
          <w:p>
            <w:pPr>
              <w:rPr>
                <w:bCs/>
                <w:szCs w:val="21"/>
              </w:rPr>
            </w:pPr>
            <w:r>
              <w:rPr>
                <w:rFonts w:hint="eastAsia"/>
                <w:bCs/>
                <w:szCs w:val="21"/>
              </w:rPr>
              <w:t>1、车辆安排及管理，分值</w:t>
            </w:r>
            <w:r>
              <w:rPr>
                <w:rFonts w:hint="eastAsia"/>
                <w:bCs/>
                <w:szCs w:val="21"/>
                <w:lang w:val="en-US" w:eastAsia="zh-CN"/>
              </w:rPr>
              <w:t>5</w:t>
            </w:r>
            <w:r>
              <w:rPr>
                <w:rFonts w:hint="eastAsia"/>
                <w:bCs/>
                <w:szCs w:val="21"/>
              </w:rPr>
              <w:t>分；</w:t>
            </w:r>
          </w:p>
          <w:p>
            <w:pPr>
              <w:rPr>
                <w:bCs/>
                <w:szCs w:val="21"/>
              </w:rPr>
            </w:pPr>
            <w:r>
              <w:rPr>
                <w:rFonts w:hint="eastAsia"/>
                <w:bCs/>
                <w:szCs w:val="21"/>
              </w:rPr>
              <w:t>2、人员安排及管理，分值</w:t>
            </w:r>
            <w:r>
              <w:rPr>
                <w:rFonts w:hint="eastAsia"/>
                <w:bCs/>
                <w:szCs w:val="21"/>
                <w:lang w:val="en-US" w:eastAsia="zh-CN"/>
              </w:rPr>
              <w:t>5</w:t>
            </w:r>
            <w:r>
              <w:rPr>
                <w:rFonts w:hint="eastAsia"/>
                <w:bCs/>
                <w:szCs w:val="21"/>
              </w:rPr>
              <w:t>分；</w:t>
            </w:r>
          </w:p>
          <w:p>
            <w:pPr>
              <w:rPr>
                <w:bCs/>
                <w:szCs w:val="21"/>
              </w:rPr>
            </w:pPr>
            <w:r>
              <w:rPr>
                <w:rFonts w:hint="eastAsia"/>
                <w:bCs/>
                <w:szCs w:val="21"/>
              </w:rPr>
              <w:t>3、台账管理，分值</w:t>
            </w:r>
            <w:r>
              <w:rPr>
                <w:rFonts w:hint="eastAsia"/>
                <w:bCs/>
                <w:szCs w:val="21"/>
                <w:lang w:val="en-US" w:eastAsia="zh-CN"/>
              </w:rPr>
              <w:t>5</w:t>
            </w:r>
            <w:r>
              <w:rPr>
                <w:rFonts w:hint="eastAsia"/>
                <w:bCs/>
                <w:szCs w:val="21"/>
              </w:rPr>
              <w:t>分；</w:t>
            </w:r>
          </w:p>
          <w:p>
            <w:pPr>
              <w:rPr>
                <w:bCs/>
                <w:szCs w:val="21"/>
              </w:rPr>
            </w:pPr>
            <w:r>
              <w:rPr>
                <w:rFonts w:hint="eastAsia"/>
                <w:bCs/>
                <w:szCs w:val="21"/>
              </w:rPr>
              <w:t>4、垃圾收运作业频次及时间安排，分值</w:t>
            </w:r>
            <w:r>
              <w:rPr>
                <w:rFonts w:hint="eastAsia"/>
                <w:bCs/>
                <w:szCs w:val="21"/>
                <w:lang w:val="en-US" w:eastAsia="zh-CN"/>
              </w:rPr>
              <w:t>5</w:t>
            </w:r>
            <w:r>
              <w:rPr>
                <w:rFonts w:hint="eastAsia"/>
                <w:bCs/>
                <w:szCs w:val="21"/>
              </w:rPr>
              <w:t>分；</w:t>
            </w:r>
          </w:p>
          <w:p>
            <w:pPr>
              <w:rPr>
                <w:bCs/>
                <w:szCs w:val="21"/>
              </w:rPr>
            </w:pPr>
            <w:r>
              <w:rPr>
                <w:rFonts w:hint="eastAsia"/>
                <w:bCs/>
                <w:szCs w:val="21"/>
              </w:rPr>
              <w:t>5、清运服务评价管理，分值</w:t>
            </w:r>
            <w:r>
              <w:rPr>
                <w:rFonts w:hint="eastAsia"/>
                <w:bCs/>
                <w:szCs w:val="21"/>
                <w:lang w:val="en-US" w:eastAsia="zh-CN"/>
              </w:rPr>
              <w:t>5</w:t>
            </w:r>
            <w:r>
              <w:rPr>
                <w:rFonts w:hint="eastAsia"/>
                <w:bCs/>
                <w:szCs w:val="21"/>
              </w:rPr>
              <w:t>分；</w:t>
            </w:r>
          </w:p>
          <w:p>
            <w:pPr>
              <w:rPr>
                <w:bCs/>
                <w:szCs w:val="21"/>
              </w:rPr>
            </w:pPr>
            <w:r>
              <w:rPr>
                <w:rFonts w:hint="eastAsia"/>
                <w:bCs/>
                <w:szCs w:val="21"/>
              </w:rPr>
              <w:t>6、方案的系统性、高效性、完整性和可操作性，分值</w:t>
            </w:r>
            <w:r>
              <w:rPr>
                <w:rFonts w:hint="eastAsia"/>
                <w:bCs/>
                <w:szCs w:val="21"/>
                <w:lang w:val="en-US" w:eastAsia="zh-CN"/>
              </w:rPr>
              <w:t>5</w:t>
            </w:r>
            <w:r>
              <w:rPr>
                <w:rFonts w:hint="eastAsia"/>
                <w:bCs/>
                <w:szCs w:val="21"/>
              </w:rPr>
              <w:t>分。</w:t>
            </w:r>
          </w:p>
          <w:p>
            <w:pPr>
              <w:rPr>
                <w:b/>
                <w:bCs/>
                <w:szCs w:val="21"/>
              </w:rPr>
            </w:pPr>
            <w:r>
              <w:rPr>
                <w:rFonts w:hint="eastAsia"/>
                <w:b/>
                <w:bCs/>
                <w:szCs w:val="21"/>
              </w:rPr>
              <w:t>2、证明文件</w:t>
            </w:r>
          </w:p>
          <w:p>
            <w:pPr>
              <w:rPr>
                <w:bCs/>
                <w:szCs w:val="21"/>
              </w:rPr>
            </w:pPr>
            <w:r>
              <w:rPr>
                <w:rFonts w:hint="eastAsia"/>
                <w:bCs/>
                <w:szCs w:val="21"/>
                <w:lang w:eastAsia="zh-CN"/>
              </w:rPr>
              <w:t>评委根据作业方案中六项内容进行综合评分</w:t>
            </w:r>
            <w:r>
              <w:rPr>
                <w:rFonts w:hint="eastAsia"/>
                <w:bCs/>
                <w:szCs w:val="21"/>
              </w:rPr>
              <w:t>，本项累计最高得</w:t>
            </w:r>
            <w:r>
              <w:rPr>
                <w:rFonts w:hint="eastAsia"/>
                <w:bCs/>
                <w:szCs w:val="21"/>
                <w:lang w:val="en-US" w:eastAsia="zh-CN"/>
              </w:rPr>
              <w:t>30</w:t>
            </w:r>
            <w:r>
              <w:rPr>
                <w:rFonts w:hint="eastAsia"/>
                <w:bCs/>
                <w:szCs w:val="21"/>
              </w:rPr>
              <w:t>分。</w:t>
            </w:r>
          </w:p>
        </w:tc>
        <w:tc>
          <w:tcPr>
            <w:tcW w:w="1101" w:type="dxa"/>
            <w:tcBorders>
              <w:top w:val="single" w:color="000000" w:sz="6" w:space="0"/>
              <w:left w:val="nil"/>
              <w:bottom w:val="single" w:color="000000" w:sz="6" w:space="0"/>
              <w:right w:val="single" w:color="000000" w:sz="6" w:space="0"/>
            </w:tcBorders>
            <w:vAlign w:val="center"/>
          </w:tcPr>
          <w:p>
            <w:pPr>
              <w:widowControl/>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411"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7</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hint="eastAsia" w:cs="宋体"/>
                <w:bCs/>
                <w:szCs w:val="21"/>
              </w:rPr>
              <w:t>项目管理团队</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cs="宋体"/>
                <w:bCs/>
                <w:szCs w:val="21"/>
              </w:rPr>
              <w:t>8</w:t>
            </w:r>
          </w:p>
        </w:tc>
        <w:tc>
          <w:tcPr>
            <w:tcW w:w="6237" w:type="dxa"/>
            <w:tcBorders>
              <w:top w:val="single" w:color="000000" w:sz="6" w:space="0"/>
              <w:left w:val="nil"/>
              <w:bottom w:val="single" w:color="000000" w:sz="6" w:space="0"/>
              <w:right w:val="single" w:color="000000" w:sz="6" w:space="0"/>
            </w:tcBorders>
            <w:vAlign w:val="center"/>
          </w:tcPr>
          <w:p>
            <w:pPr>
              <w:rPr>
                <w:b/>
                <w:bCs/>
                <w:szCs w:val="21"/>
              </w:rPr>
            </w:pPr>
            <w:r>
              <w:rPr>
                <w:rFonts w:hint="eastAsia"/>
                <w:b/>
                <w:bCs/>
                <w:szCs w:val="21"/>
              </w:rPr>
              <w:t>1、评审标准：</w:t>
            </w:r>
          </w:p>
          <w:p>
            <w:pPr>
              <w:rPr>
                <w:bCs/>
                <w:szCs w:val="21"/>
              </w:rPr>
            </w:pPr>
            <w:r>
              <w:rPr>
                <w:rFonts w:hint="eastAsia"/>
                <w:bCs/>
                <w:szCs w:val="21"/>
              </w:rPr>
              <w:t>1）环卫清洁行业项目经理证书1人的得</w:t>
            </w:r>
            <w:r>
              <w:rPr>
                <w:rFonts w:hint="eastAsia"/>
                <w:bCs/>
                <w:szCs w:val="21"/>
                <w:lang w:val="en-US" w:eastAsia="zh-CN"/>
              </w:rPr>
              <w:t>2</w:t>
            </w:r>
            <w:r>
              <w:rPr>
                <w:rFonts w:hint="eastAsia"/>
                <w:bCs/>
                <w:szCs w:val="21"/>
              </w:rPr>
              <w:t>分，最高</w:t>
            </w:r>
            <w:r>
              <w:rPr>
                <w:bCs/>
                <w:szCs w:val="21"/>
              </w:rPr>
              <w:t>2</w:t>
            </w:r>
            <w:r>
              <w:rPr>
                <w:rFonts w:hint="eastAsia"/>
                <w:bCs/>
                <w:szCs w:val="21"/>
              </w:rPr>
              <w:t>分；</w:t>
            </w:r>
          </w:p>
          <w:p>
            <w:pPr>
              <w:rPr>
                <w:bCs/>
                <w:szCs w:val="21"/>
              </w:rPr>
            </w:pPr>
            <w:r>
              <w:rPr>
                <w:rFonts w:hint="eastAsia"/>
                <w:bCs/>
                <w:szCs w:val="21"/>
              </w:rPr>
              <w:t>2）具有大专及以上学历1人以上的得</w:t>
            </w:r>
            <w:r>
              <w:rPr>
                <w:rFonts w:hint="eastAsia"/>
                <w:bCs/>
                <w:szCs w:val="21"/>
                <w:lang w:val="en-US" w:eastAsia="zh-CN"/>
              </w:rPr>
              <w:t>1</w:t>
            </w:r>
            <w:r>
              <w:rPr>
                <w:rFonts w:hint="eastAsia"/>
                <w:bCs/>
                <w:szCs w:val="21"/>
              </w:rPr>
              <w:t>分，最高</w:t>
            </w:r>
            <w:r>
              <w:rPr>
                <w:bCs/>
                <w:szCs w:val="21"/>
              </w:rPr>
              <w:t>2</w:t>
            </w:r>
            <w:r>
              <w:rPr>
                <w:rFonts w:hint="eastAsia"/>
                <w:bCs/>
                <w:szCs w:val="21"/>
              </w:rPr>
              <w:t>分；</w:t>
            </w:r>
          </w:p>
          <w:p>
            <w:pPr>
              <w:rPr>
                <w:bCs/>
                <w:szCs w:val="21"/>
              </w:rPr>
            </w:pPr>
            <w:r>
              <w:rPr>
                <w:rFonts w:hint="eastAsia"/>
                <w:bCs/>
                <w:szCs w:val="21"/>
              </w:rPr>
              <w:t>3）项目经理有3年及以上市政道路（含城中村道路）、公共场所清扫保洁或垃圾清运、垃圾分类项目管理经验的得</w:t>
            </w:r>
            <w:r>
              <w:rPr>
                <w:bCs/>
                <w:szCs w:val="21"/>
              </w:rPr>
              <w:t>2</w:t>
            </w:r>
            <w:r>
              <w:rPr>
                <w:rFonts w:hint="eastAsia"/>
                <w:bCs/>
                <w:szCs w:val="21"/>
              </w:rPr>
              <w:t>分；</w:t>
            </w:r>
          </w:p>
          <w:p>
            <w:pPr>
              <w:rPr>
                <w:bCs/>
                <w:szCs w:val="21"/>
              </w:rPr>
            </w:pPr>
            <w:r>
              <w:rPr>
                <w:rFonts w:hint="eastAsia"/>
                <w:bCs/>
                <w:szCs w:val="21"/>
              </w:rPr>
              <w:t>4）配有安全员和建（构）筑物消防员的得</w:t>
            </w:r>
            <w:r>
              <w:rPr>
                <w:bCs/>
                <w:szCs w:val="21"/>
              </w:rPr>
              <w:t>2</w:t>
            </w:r>
            <w:r>
              <w:rPr>
                <w:rFonts w:hint="eastAsia"/>
                <w:bCs/>
                <w:szCs w:val="21"/>
              </w:rPr>
              <w:t>分；</w:t>
            </w:r>
          </w:p>
          <w:p>
            <w:pPr>
              <w:rPr>
                <w:bCs/>
                <w:szCs w:val="21"/>
              </w:rPr>
            </w:pPr>
            <w:r>
              <w:rPr>
                <w:rFonts w:hint="eastAsia"/>
                <w:bCs/>
                <w:szCs w:val="21"/>
              </w:rPr>
              <w:t>5）以上人员可重复得分，累计最高得</w:t>
            </w:r>
            <w:r>
              <w:rPr>
                <w:bCs/>
                <w:szCs w:val="21"/>
              </w:rPr>
              <w:t>8</w:t>
            </w:r>
            <w:r>
              <w:rPr>
                <w:rFonts w:hint="eastAsia"/>
                <w:bCs/>
                <w:szCs w:val="21"/>
              </w:rPr>
              <w:t>分。</w:t>
            </w:r>
          </w:p>
          <w:p>
            <w:pPr>
              <w:rPr>
                <w:b/>
                <w:bCs/>
                <w:szCs w:val="21"/>
              </w:rPr>
            </w:pPr>
            <w:r>
              <w:rPr>
                <w:rFonts w:hint="eastAsia"/>
                <w:b/>
                <w:bCs/>
                <w:szCs w:val="21"/>
              </w:rPr>
              <w:t>2、证明文件：</w:t>
            </w:r>
          </w:p>
          <w:p>
            <w:pPr>
              <w:rPr>
                <w:bCs/>
                <w:szCs w:val="21"/>
              </w:rPr>
            </w:pPr>
            <w:r>
              <w:rPr>
                <w:rFonts w:hint="eastAsia"/>
                <w:bCs/>
                <w:szCs w:val="21"/>
              </w:rPr>
              <w:t>1）提供项目经理证书、学历验证证明或网上验证结果、市政道路（含城中村道路）、公共场所清扫保洁或垃圾清运项目用户单位提供项目管理经验证明函</w:t>
            </w:r>
            <w:r>
              <w:rPr>
                <w:rFonts w:hint="eastAsia"/>
                <w:bCs/>
                <w:szCs w:val="21"/>
                <w:lang w:eastAsia="zh-CN"/>
              </w:rPr>
              <w:t>及社保证明</w:t>
            </w:r>
            <w:r>
              <w:rPr>
                <w:rFonts w:hint="eastAsia"/>
                <w:bCs/>
                <w:szCs w:val="21"/>
              </w:rPr>
              <w:t>，原件备查。如开标日上一个月的社保材料因社保部门原因暂时无法取得，则可以往前顺延一个月。</w:t>
            </w:r>
          </w:p>
          <w:p>
            <w:pPr>
              <w:rPr>
                <w:bCs/>
                <w:szCs w:val="21"/>
              </w:rPr>
            </w:pPr>
            <w:r>
              <w:rPr>
                <w:rFonts w:hint="eastAsia"/>
                <w:bCs/>
                <w:szCs w:val="21"/>
              </w:rPr>
              <w:t>2）提供安全主任或安全管理人员资格证书和建（构）筑物消防员证书及近半年的社保证明复印件或扫描件加盖投标人公章，原件备查（以工伤保险为准）。如开标日上一个月的社保材料因社保部门原因暂时无法取得，则可以往前顺延一个月。</w:t>
            </w:r>
          </w:p>
        </w:tc>
        <w:tc>
          <w:tcPr>
            <w:tcW w:w="1101" w:type="dxa"/>
            <w:tcBorders>
              <w:top w:val="single" w:color="000000" w:sz="6" w:space="0"/>
              <w:left w:val="nil"/>
              <w:bottom w:val="single" w:color="000000" w:sz="6" w:space="0"/>
              <w:right w:val="single" w:color="000000" w:sz="6" w:space="0"/>
            </w:tcBorders>
            <w:vAlign w:val="center"/>
          </w:tcPr>
          <w:p>
            <w:pPr>
              <w:widowControl/>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411"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8</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hint="eastAsia" w:cs="宋体"/>
                <w:bCs/>
                <w:szCs w:val="21"/>
              </w:rPr>
              <w:t>资源化处理</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eastAsia" w:cs="宋体" w:eastAsiaTheme="minorEastAsia"/>
                <w:bCs/>
                <w:szCs w:val="21"/>
                <w:lang w:val="en-US" w:eastAsia="zh-CN"/>
              </w:rPr>
            </w:pPr>
            <w:r>
              <w:rPr>
                <w:rFonts w:hint="eastAsia" w:cs="宋体"/>
                <w:bCs/>
                <w:szCs w:val="21"/>
                <w:lang w:val="en-US" w:eastAsia="zh-CN"/>
              </w:rPr>
              <w:t>5</w:t>
            </w:r>
          </w:p>
        </w:tc>
        <w:tc>
          <w:tcPr>
            <w:tcW w:w="6237" w:type="dxa"/>
            <w:tcBorders>
              <w:top w:val="single" w:color="000000" w:sz="6" w:space="0"/>
              <w:left w:val="nil"/>
              <w:bottom w:val="single" w:color="000000" w:sz="6" w:space="0"/>
              <w:right w:val="single" w:color="000000" w:sz="6" w:space="0"/>
            </w:tcBorders>
            <w:vAlign w:val="center"/>
          </w:tcPr>
          <w:p>
            <w:pPr>
              <w:rPr>
                <w:b/>
                <w:bCs/>
                <w:szCs w:val="21"/>
              </w:rPr>
            </w:pPr>
            <w:r>
              <w:rPr>
                <w:rFonts w:hint="eastAsia"/>
                <w:b/>
                <w:bCs/>
                <w:szCs w:val="21"/>
              </w:rPr>
              <w:t>1、评审内容：</w:t>
            </w:r>
          </w:p>
          <w:p>
            <w:pPr>
              <w:rPr>
                <w:szCs w:val="21"/>
              </w:rPr>
            </w:pPr>
            <w:r>
              <w:rPr>
                <w:rFonts w:hint="eastAsia"/>
                <w:szCs w:val="21"/>
                <w:lang w:eastAsia="zh-CN"/>
              </w:rPr>
              <w:t>提供有害垃圾资源化处理承诺</w:t>
            </w:r>
            <w:r>
              <w:rPr>
                <w:szCs w:val="21"/>
              </w:rPr>
              <w:t>。</w:t>
            </w:r>
          </w:p>
          <w:p>
            <w:pPr>
              <w:rPr>
                <w:rFonts w:cs="宋体"/>
                <w:b/>
                <w:szCs w:val="21"/>
              </w:rPr>
            </w:pPr>
            <w:r>
              <w:rPr>
                <w:rFonts w:hint="eastAsia" w:cs="宋体"/>
                <w:b/>
                <w:szCs w:val="21"/>
              </w:rPr>
              <w:t>2、证明文件：</w:t>
            </w:r>
          </w:p>
          <w:p>
            <w:pPr>
              <w:pStyle w:val="2"/>
              <w:rPr>
                <w:szCs w:val="21"/>
              </w:rPr>
            </w:pPr>
            <w:r>
              <w:rPr>
                <w:rFonts w:hint="eastAsia" w:asciiTheme="minorHAnsi" w:hAnsiTheme="minorHAnsi" w:eastAsiaTheme="minorEastAsia" w:cstheme="minorBidi"/>
                <w:b w:val="0"/>
                <w:bCs w:val="0"/>
                <w:kern w:val="2"/>
                <w:sz w:val="21"/>
                <w:szCs w:val="21"/>
                <w:lang w:val="en-US" w:eastAsia="zh-CN" w:bidi="ar-SA"/>
              </w:rPr>
              <w:t>须提供《</w:t>
            </w:r>
            <w:r>
              <w:rPr>
                <w:rFonts w:hint="eastAsia" w:cstheme="minorBidi"/>
                <w:b w:val="0"/>
                <w:bCs w:val="0"/>
                <w:kern w:val="2"/>
                <w:sz w:val="21"/>
                <w:szCs w:val="21"/>
                <w:lang w:val="en-US" w:eastAsia="zh-CN" w:bidi="ar-SA"/>
              </w:rPr>
              <w:t>资源化处理</w:t>
            </w:r>
            <w:r>
              <w:rPr>
                <w:rFonts w:hint="eastAsia" w:asciiTheme="minorHAnsi" w:hAnsiTheme="minorHAnsi" w:eastAsiaTheme="minorEastAsia" w:cstheme="minorBidi"/>
                <w:b w:val="0"/>
                <w:bCs w:val="0"/>
                <w:kern w:val="2"/>
                <w:sz w:val="21"/>
                <w:szCs w:val="21"/>
                <w:lang w:val="en-US" w:eastAsia="zh-CN" w:bidi="ar-SA"/>
              </w:rPr>
              <w:t>承诺书》，格式自拟，如若投标人承诺与实际情况不相符，将按照虚假投标的情况报相关主管部门处理，承诺书应按招标文件格式填写原件加盖投标人公章。</w:t>
            </w:r>
          </w:p>
        </w:tc>
        <w:tc>
          <w:tcPr>
            <w:tcW w:w="1101" w:type="dxa"/>
            <w:tcBorders>
              <w:top w:val="single" w:color="000000" w:sz="6" w:space="0"/>
              <w:left w:val="nil"/>
              <w:bottom w:val="single" w:color="000000" w:sz="6" w:space="0"/>
              <w:right w:val="single" w:color="000000" w:sz="6" w:space="0"/>
            </w:tcBorders>
            <w:vAlign w:val="center"/>
          </w:tcPr>
          <w:p>
            <w:pPr>
              <w:widowControl/>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764"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hint="eastAsia" w:ascii="宋体" w:hAnsi="宋体"/>
                <w:kern w:val="0"/>
                <w:szCs w:val="21"/>
                <w:lang w:val="en-US" w:eastAsia="zh-CN"/>
              </w:rPr>
              <w:t>9</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cs="宋体"/>
                <w:bCs/>
                <w:szCs w:val="21"/>
              </w:rPr>
            </w:pPr>
            <w:r>
              <w:rPr>
                <w:rFonts w:hint="eastAsia" w:cs="宋体"/>
                <w:bCs/>
                <w:szCs w:val="21"/>
              </w:rPr>
              <w:t>人员培训方案</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eastAsia" w:cs="宋体" w:eastAsiaTheme="minorEastAsia"/>
                <w:bCs/>
                <w:szCs w:val="21"/>
                <w:lang w:val="en-US" w:eastAsia="zh-CN"/>
              </w:rPr>
            </w:pPr>
            <w:r>
              <w:rPr>
                <w:rFonts w:hint="eastAsia" w:cs="宋体"/>
                <w:bCs/>
                <w:szCs w:val="21"/>
                <w:lang w:val="en-US" w:eastAsia="zh-CN"/>
              </w:rPr>
              <w:t>7</w:t>
            </w:r>
          </w:p>
        </w:tc>
        <w:tc>
          <w:tcPr>
            <w:tcW w:w="6237" w:type="dxa"/>
            <w:tcBorders>
              <w:top w:val="single" w:color="000000" w:sz="6" w:space="0"/>
              <w:left w:val="nil"/>
              <w:bottom w:val="single" w:color="000000" w:sz="6" w:space="0"/>
              <w:right w:val="single" w:color="000000" w:sz="6" w:space="0"/>
            </w:tcBorders>
            <w:vAlign w:val="center"/>
          </w:tcPr>
          <w:p>
            <w:pPr>
              <w:rPr>
                <w:b/>
                <w:bCs/>
                <w:szCs w:val="21"/>
              </w:rPr>
            </w:pPr>
            <w:r>
              <w:rPr>
                <w:rFonts w:hint="eastAsia"/>
                <w:b/>
                <w:bCs/>
                <w:szCs w:val="21"/>
              </w:rPr>
              <w:t>1、评审内容：</w:t>
            </w:r>
          </w:p>
          <w:p>
            <w:pPr>
              <w:rPr>
                <w:rFonts w:cs="宋体"/>
                <w:bCs/>
                <w:szCs w:val="21"/>
              </w:rPr>
            </w:pPr>
            <w:r>
              <w:rPr>
                <w:rFonts w:hint="eastAsia" w:cs="宋体"/>
                <w:bCs/>
                <w:szCs w:val="21"/>
              </w:rPr>
              <w:t>综合衡量各供应商方案中关于员工培训、入职培训是否涵盖所有员工，在职培训的举办频次及每次培训涵盖员工的比例等内容。</w:t>
            </w:r>
          </w:p>
          <w:p>
            <w:pPr>
              <w:rPr>
                <w:rFonts w:cs="宋体"/>
                <w:b/>
                <w:szCs w:val="21"/>
              </w:rPr>
            </w:pPr>
            <w:r>
              <w:rPr>
                <w:rFonts w:hint="eastAsia" w:cs="宋体"/>
                <w:b/>
                <w:szCs w:val="21"/>
              </w:rPr>
              <w:t>2、评审标准：</w:t>
            </w:r>
          </w:p>
          <w:p>
            <w:pPr>
              <w:rPr>
                <w:rFonts w:ascii="宋体" w:hAnsi="宋体" w:cs="宋体"/>
                <w:kern w:val="0"/>
                <w:szCs w:val="21"/>
              </w:rPr>
            </w:pPr>
            <w:r>
              <w:rPr>
                <w:rFonts w:hint="eastAsia" w:cs="宋体"/>
                <w:bCs/>
                <w:szCs w:val="21"/>
                <w:lang w:eastAsia="zh-CN"/>
              </w:rPr>
              <w:t>评委根据方案实际打分，</w:t>
            </w:r>
            <w:r>
              <w:rPr>
                <w:rFonts w:hint="eastAsia" w:cs="宋体"/>
                <w:bCs/>
                <w:szCs w:val="21"/>
              </w:rPr>
              <w:t>符合要求的得</w:t>
            </w:r>
            <w:r>
              <w:rPr>
                <w:rFonts w:hint="eastAsia" w:cs="宋体"/>
                <w:bCs/>
                <w:szCs w:val="21"/>
                <w:lang w:val="en-US" w:eastAsia="zh-CN"/>
              </w:rPr>
              <w:t>10</w:t>
            </w:r>
            <w:r>
              <w:rPr>
                <w:rFonts w:hint="eastAsia" w:cs="宋体"/>
                <w:bCs/>
                <w:szCs w:val="21"/>
              </w:rPr>
              <w:t>分，未提供的不得分。</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r>
        <w:tblPrEx>
          <w:tblLayout w:type="fixed"/>
          <w:tblCellMar>
            <w:top w:w="0" w:type="dxa"/>
            <w:left w:w="108" w:type="dxa"/>
            <w:bottom w:w="0" w:type="dxa"/>
            <w:right w:w="108" w:type="dxa"/>
          </w:tblCellMar>
        </w:tblPrEx>
        <w:trPr>
          <w:trHeight w:val="764"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napToGrid w:val="0"/>
              <w:jc w:val="center"/>
              <w:rPr>
                <w:rFonts w:hint="eastAsia" w:ascii="宋体" w:hAnsi="宋体" w:eastAsiaTheme="minorEastAsia"/>
                <w:kern w:val="0"/>
                <w:szCs w:val="21"/>
                <w:lang w:val="en-US" w:eastAsia="zh-CN"/>
              </w:rPr>
            </w:pPr>
            <w:r>
              <w:rPr>
                <w:rFonts w:ascii="宋体" w:hAnsi="宋体"/>
                <w:kern w:val="0"/>
                <w:szCs w:val="21"/>
              </w:rPr>
              <w:t>1</w:t>
            </w:r>
            <w:r>
              <w:rPr>
                <w:rFonts w:hint="eastAsia" w:ascii="宋体" w:hAnsi="宋体"/>
                <w:kern w:val="0"/>
                <w:szCs w:val="21"/>
                <w:lang w:val="en-US" w:eastAsia="zh-CN"/>
              </w:rPr>
              <w:t>0</w:t>
            </w:r>
          </w:p>
        </w:tc>
        <w:tc>
          <w:tcPr>
            <w:tcW w:w="993"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eastAsia" w:cs="宋体" w:eastAsiaTheme="minorEastAsia"/>
                <w:bCs/>
                <w:szCs w:val="21"/>
                <w:lang w:eastAsia="zh-CN"/>
              </w:rPr>
            </w:pPr>
            <w:r>
              <w:rPr>
                <w:rFonts w:hint="eastAsia" w:cs="宋体"/>
                <w:bCs/>
                <w:szCs w:val="21"/>
              </w:rPr>
              <w:t>暂存场地</w:t>
            </w:r>
            <w:r>
              <w:rPr>
                <w:rFonts w:hint="eastAsia" w:cs="宋体"/>
                <w:bCs/>
                <w:szCs w:val="21"/>
                <w:lang w:eastAsia="zh-CN"/>
              </w:rPr>
              <w:t>管理</w:t>
            </w:r>
          </w:p>
        </w:tc>
        <w:tc>
          <w:tcPr>
            <w:tcW w:w="850"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eastAsia" w:cs="宋体" w:eastAsiaTheme="minorEastAsia"/>
                <w:bCs/>
                <w:szCs w:val="21"/>
                <w:lang w:val="en-US" w:eastAsia="zh-CN"/>
              </w:rPr>
            </w:pPr>
            <w:r>
              <w:rPr>
                <w:rFonts w:hint="eastAsia" w:cs="宋体"/>
                <w:bCs/>
                <w:szCs w:val="21"/>
                <w:lang w:val="en-US" w:eastAsia="zh-CN"/>
              </w:rPr>
              <w:t>5</w:t>
            </w:r>
          </w:p>
        </w:tc>
        <w:tc>
          <w:tcPr>
            <w:tcW w:w="6237" w:type="dxa"/>
            <w:tcBorders>
              <w:top w:val="single" w:color="000000" w:sz="6" w:space="0"/>
              <w:left w:val="nil"/>
              <w:bottom w:val="single" w:color="000000" w:sz="6" w:space="0"/>
              <w:right w:val="single" w:color="000000" w:sz="6" w:space="0"/>
            </w:tcBorders>
            <w:vAlign w:val="center"/>
          </w:tcPr>
          <w:p>
            <w:pPr>
              <w:rPr>
                <w:b/>
                <w:bCs/>
                <w:szCs w:val="21"/>
              </w:rPr>
            </w:pPr>
            <w:r>
              <w:rPr>
                <w:rFonts w:hint="eastAsia"/>
                <w:b/>
                <w:bCs/>
                <w:szCs w:val="21"/>
              </w:rPr>
              <w:t>1、评审标准：</w:t>
            </w:r>
          </w:p>
          <w:p>
            <w:pPr>
              <w:rPr>
                <w:rFonts w:cs="宋体"/>
                <w:bCs/>
                <w:szCs w:val="21"/>
              </w:rPr>
            </w:pPr>
            <w:r>
              <w:rPr>
                <w:rFonts w:hint="eastAsia"/>
                <w:bCs/>
                <w:szCs w:val="21"/>
              </w:rPr>
              <w:t>投标人承诺中标后，在坪山区范围内，租用或购置固定的暂存场所，使用期限不低于1年</w:t>
            </w:r>
            <w:r>
              <w:rPr>
                <w:rFonts w:hint="eastAsia"/>
                <w:bCs/>
                <w:szCs w:val="21"/>
                <w:lang w:eastAsia="zh-CN"/>
              </w:rPr>
              <w:t>，根据市主管部门的相关要求及规定做好防风、防雨、防晒、防火、防污染、防爆灯工作，配备照明设施、有害垃圾收集容器、安全防护服装及工具等，服务方要保障集中转运点的安全</w:t>
            </w:r>
            <w:r>
              <w:rPr>
                <w:rFonts w:hint="eastAsia"/>
                <w:bCs/>
                <w:szCs w:val="21"/>
              </w:rPr>
              <w:t>。</w:t>
            </w:r>
            <w:r>
              <w:rPr>
                <w:rFonts w:hint="eastAsia" w:cs="宋体"/>
                <w:bCs/>
                <w:szCs w:val="21"/>
              </w:rPr>
              <w:t>符合要求的得</w:t>
            </w:r>
            <w:r>
              <w:rPr>
                <w:rFonts w:cs="宋体"/>
                <w:bCs/>
                <w:szCs w:val="21"/>
              </w:rPr>
              <w:t>8</w:t>
            </w:r>
            <w:r>
              <w:rPr>
                <w:rFonts w:hint="eastAsia" w:cs="宋体"/>
                <w:bCs/>
                <w:szCs w:val="21"/>
              </w:rPr>
              <w:t>分，未提供的不得分。</w:t>
            </w:r>
          </w:p>
          <w:p>
            <w:pPr>
              <w:rPr>
                <w:b/>
                <w:bCs/>
                <w:szCs w:val="21"/>
              </w:rPr>
            </w:pPr>
            <w:r>
              <w:rPr>
                <w:rFonts w:hint="eastAsia"/>
                <w:b/>
                <w:bCs/>
                <w:szCs w:val="21"/>
              </w:rPr>
              <w:t>2、证明文件：</w:t>
            </w:r>
          </w:p>
          <w:p>
            <w:pPr>
              <w:rPr>
                <w:rFonts w:cs="宋体"/>
                <w:b/>
                <w:szCs w:val="21"/>
              </w:rPr>
            </w:pPr>
            <w:r>
              <w:rPr>
                <w:rFonts w:hint="eastAsia"/>
                <w:bCs/>
                <w:szCs w:val="21"/>
              </w:rPr>
              <w:t>提供承诺书（格式自拟）并加盖投标人公章。</w:t>
            </w:r>
          </w:p>
        </w:tc>
        <w:tc>
          <w:tcPr>
            <w:tcW w:w="1101" w:type="dxa"/>
            <w:tcBorders>
              <w:top w:val="single" w:color="000000" w:sz="6" w:space="0"/>
              <w:left w:val="nil"/>
              <w:bottom w:val="single" w:color="000000" w:sz="6" w:space="0"/>
              <w:right w:val="single" w:color="000000" w:sz="6" w:space="0"/>
            </w:tcBorders>
            <w:vAlign w:val="center"/>
          </w:tcPr>
          <w:p>
            <w:pPr>
              <w:widowControl/>
              <w:snapToGrid w:val="0"/>
              <w:jc w:val="center"/>
              <w:rPr>
                <w:rFonts w:ascii="宋体" w:hAnsi="宋体"/>
                <w:kern w:val="0"/>
                <w:szCs w:val="21"/>
              </w:rPr>
            </w:pPr>
            <w:r>
              <w:rPr>
                <w:rFonts w:hint="eastAsia" w:ascii="宋体" w:hAnsi="宋体"/>
                <w:kern w:val="0"/>
                <w:szCs w:val="21"/>
              </w:rPr>
              <w:t>专家打分</w:t>
            </w:r>
          </w:p>
        </w:tc>
      </w:tr>
    </w:tbl>
    <w:p>
      <w:pPr>
        <w:rPr>
          <w:rFonts w:hint="eastAsia"/>
          <w:lang w:val="en-US" w:eastAsia="zh-CN"/>
        </w:rPr>
      </w:pPr>
    </w:p>
    <w:p>
      <w:pPr>
        <w:rPr>
          <w:rFonts w:hint="eastAsia"/>
          <w:b w:val="0"/>
          <w:bCs w:val="0"/>
          <w:lang w:val="en-US" w:eastAsia="zh-CN"/>
        </w:rPr>
      </w:pP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41E5"/>
    <w:multiLevelType w:val="singleLevel"/>
    <w:tmpl w:val="5A5441E5"/>
    <w:lvl w:ilvl="0" w:tentative="0">
      <w:start w:val="2"/>
      <w:numFmt w:val="chineseCounting"/>
      <w:suff w:val="nothing"/>
      <w:lvlText w:val="%1、"/>
      <w:lvlJc w:val="left"/>
      <w:pPr>
        <w:ind w:left="420" w:firstLine="0"/>
      </w:pPr>
    </w:lvl>
  </w:abstractNum>
  <w:abstractNum w:abstractNumId="1">
    <w:nsid w:val="5A8D7F07"/>
    <w:multiLevelType w:val="singleLevel"/>
    <w:tmpl w:val="5A8D7F07"/>
    <w:lvl w:ilvl="0" w:tentative="0">
      <w:start w:val="2"/>
      <w:numFmt w:val="decimal"/>
      <w:suff w:val="nothing"/>
      <w:lvlText w:val="%1）"/>
      <w:lvlJc w:val="left"/>
    </w:lvl>
  </w:abstractNum>
  <w:abstractNum w:abstractNumId="2">
    <w:nsid w:val="601372E8"/>
    <w:multiLevelType w:val="singleLevel"/>
    <w:tmpl w:val="601372E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92"/>
    <w:rsid w:val="00000F00"/>
    <w:rsid w:val="00005242"/>
    <w:rsid w:val="00005A59"/>
    <w:rsid w:val="00007453"/>
    <w:rsid w:val="0001146D"/>
    <w:rsid w:val="00024A47"/>
    <w:rsid w:val="00024B6F"/>
    <w:rsid w:val="00024FF6"/>
    <w:rsid w:val="00030E64"/>
    <w:rsid w:val="000311DE"/>
    <w:rsid w:val="00031F32"/>
    <w:rsid w:val="00042FC4"/>
    <w:rsid w:val="00062DC0"/>
    <w:rsid w:val="00065AFC"/>
    <w:rsid w:val="00073BA3"/>
    <w:rsid w:val="00074290"/>
    <w:rsid w:val="000859ED"/>
    <w:rsid w:val="00091C66"/>
    <w:rsid w:val="00092F5A"/>
    <w:rsid w:val="000959A3"/>
    <w:rsid w:val="00096430"/>
    <w:rsid w:val="000A22CD"/>
    <w:rsid w:val="000A453B"/>
    <w:rsid w:val="000A7322"/>
    <w:rsid w:val="000C10D0"/>
    <w:rsid w:val="000D12DC"/>
    <w:rsid w:val="000D3F86"/>
    <w:rsid w:val="000D5A8B"/>
    <w:rsid w:val="000E150E"/>
    <w:rsid w:val="000F0CB6"/>
    <w:rsid w:val="000F151F"/>
    <w:rsid w:val="000F435B"/>
    <w:rsid w:val="00111DD5"/>
    <w:rsid w:val="00112D1D"/>
    <w:rsid w:val="00113975"/>
    <w:rsid w:val="00114BA3"/>
    <w:rsid w:val="001342FA"/>
    <w:rsid w:val="00155303"/>
    <w:rsid w:val="00155E80"/>
    <w:rsid w:val="00164FF1"/>
    <w:rsid w:val="001665E4"/>
    <w:rsid w:val="001730EE"/>
    <w:rsid w:val="001818E7"/>
    <w:rsid w:val="00183F9E"/>
    <w:rsid w:val="0018563F"/>
    <w:rsid w:val="00193169"/>
    <w:rsid w:val="001937D2"/>
    <w:rsid w:val="00194AC1"/>
    <w:rsid w:val="001B3275"/>
    <w:rsid w:val="001C1065"/>
    <w:rsid w:val="001D4DB7"/>
    <w:rsid w:val="00200B4B"/>
    <w:rsid w:val="00202F29"/>
    <w:rsid w:val="00206B7A"/>
    <w:rsid w:val="002123E8"/>
    <w:rsid w:val="00224880"/>
    <w:rsid w:val="0023475C"/>
    <w:rsid w:val="00252944"/>
    <w:rsid w:val="00257C8A"/>
    <w:rsid w:val="00261ADF"/>
    <w:rsid w:val="00267EE4"/>
    <w:rsid w:val="002764D7"/>
    <w:rsid w:val="00276638"/>
    <w:rsid w:val="00282B44"/>
    <w:rsid w:val="00285A5A"/>
    <w:rsid w:val="00287B75"/>
    <w:rsid w:val="00287EBD"/>
    <w:rsid w:val="002A28FD"/>
    <w:rsid w:val="002B4FEB"/>
    <w:rsid w:val="002D22A9"/>
    <w:rsid w:val="002D3A82"/>
    <w:rsid w:val="002E080F"/>
    <w:rsid w:val="002F5633"/>
    <w:rsid w:val="002F629D"/>
    <w:rsid w:val="002F6CF3"/>
    <w:rsid w:val="002F7D59"/>
    <w:rsid w:val="00303D56"/>
    <w:rsid w:val="00313EA2"/>
    <w:rsid w:val="00332F03"/>
    <w:rsid w:val="00333AD9"/>
    <w:rsid w:val="00334BE3"/>
    <w:rsid w:val="00342882"/>
    <w:rsid w:val="0035752D"/>
    <w:rsid w:val="00357FED"/>
    <w:rsid w:val="003632CE"/>
    <w:rsid w:val="00364832"/>
    <w:rsid w:val="00366DE7"/>
    <w:rsid w:val="00367BD9"/>
    <w:rsid w:val="00383F39"/>
    <w:rsid w:val="00384B03"/>
    <w:rsid w:val="00387871"/>
    <w:rsid w:val="00391D58"/>
    <w:rsid w:val="003A1819"/>
    <w:rsid w:val="003A4692"/>
    <w:rsid w:val="003A67EF"/>
    <w:rsid w:val="003C6B72"/>
    <w:rsid w:val="003C6E12"/>
    <w:rsid w:val="003D4EE5"/>
    <w:rsid w:val="003F10A7"/>
    <w:rsid w:val="003F4720"/>
    <w:rsid w:val="004120AE"/>
    <w:rsid w:val="00412132"/>
    <w:rsid w:val="00412C0E"/>
    <w:rsid w:val="004251C0"/>
    <w:rsid w:val="00426DB6"/>
    <w:rsid w:val="004364DE"/>
    <w:rsid w:val="00437C37"/>
    <w:rsid w:val="004406DD"/>
    <w:rsid w:val="00445ADD"/>
    <w:rsid w:val="00446E2C"/>
    <w:rsid w:val="00456629"/>
    <w:rsid w:val="00460D98"/>
    <w:rsid w:val="00482413"/>
    <w:rsid w:val="00482AD1"/>
    <w:rsid w:val="00483FDC"/>
    <w:rsid w:val="0048463A"/>
    <w:rsid w:val="00484E5E"/>
    <w:rsid w:val="004910AA"/>
    <w:rsid w:val="00492EC1"/>
    <w:rsid w:val="004A0F93"/>
    <w:rsid w:val="004A363C"/>
    <w:rsid w:val="004C1D03"/>
    <w:rsid w:val="004C67C4"/>
    <w:rsid w:val="004D2C72"/>
    <w:rsid w:val="004D7E4A"/>
    <w:rsid w:val="004E7F45"/>
    <w:rsid w:val="004F11B7"/>
    <w:rsid w:val="0050656B"/>
    <w:rsid w:val="005069D9"/>
    <w:rsid w:val="00541EA8"/>
    <w:rsid w:val="00546EA2"/>
    <w:rsid w:val="00553EE5"/>
    <w:rsid w:val="00561D52"/>
    <w:rsid w:val="0057398A"/>
    <w:rsid w:val="00575890"/>
    <w:rsid w:val="00581AC8"/>
    <w:rsid w:val="005A69AD"/>
    <w:rsid w:val="005A7816"/>
    <w:rsid w:val="005B58C0"/>
    <w:rsid w:val="005B5AD1"/>
    <w:rsid w:val="005B6274"/>
    <w:rsid w:val="005C21E7"/>
    <w:rsid w:val="005C2AE6"/>
    <w:rsid w:val="005C5FBC"/>
    <w:rsid w:val="005C6EC1"/>
    <w:rsid w:val="005D156F"/>
    <w:rsid w:val="005E5E91"/>
    <w:rsid w:val="005F2A69"/>
    <w:rsid w:val="006050BD"/>
    <w:rsid w:val="006206F0"/>
    <w:rsid w:val="00635024"/>
    <w:rsid w:val="006354B5"/>
    <w:rsid w:val="00653AF1"/>
    <w:rsid w:val="0065422C"/>
    <w:rsid w:val="00655F22"/>
    <w:rsid w:val="00671CD3"/>
    <w:rsid w:val="00681388"/>
    <w:rsid w:val="0068270E"/>
    <w:rsid w:val="00682A31"/>
    <w:rsid w:val="00682C47"/>
    <w:rsid w:val="006929F2"/>
    <w:rsid w:val="0069565D"/>
    <w:rsid w:val="00695FF4"/>
    <w:rsid w:val="00697CBD"/>
    <w:rsid w:val="006A278E"/>
    <w:rsid w:val="006A32F0"/>
    <w:rsid w:val="006A5915"/>
    <w:rsid w:val="006A5F4A"/>
    <w:rsid w:val="006B2826"/>
    <w:rsid w:val="006C00F5"/>
    <w:rsid w:val="006C776A"/>
    <w:rsid w:val="006D482A"/>
    <w:rsid w:val="006D7921"/>
    <w:rsid w:val="006E175F"/>
    <w:rsid w:val="006F464C"/>
    <w:rsid w:val="006F63DA"/>
    <w:rsid w:val="00711C00"/>
    <w:rsid w:val="0071713A"/>
    <w:rsid w:val="0072025F"/>
    <w:rsid w:val="00721774"/>
    <w:rsid w:val="00723966"/>
    <w:rsid w:val="00725C43"/>
    <w:rsid w:val="00731746"/>
    <w:rsid w:val="00740357"/>
    <w:rsid w:val="007406A6"/>
    <w:rsid w:val="00741FB4"/>
    <w:rsid w:val="00751463"/>
    <w:rsid w:val="00753BAA"/>
    <w:rsid w:val="00775A98"/>
    <w:rsid w:val="0078294A"/>
    <w:rsid w:val="007865BB"/>
    <w:rsid w:val="00790D23"/>
    <w:rsid w:val="007C2F8D"/>
    <w:rsid w:val="007C76ED"/>
    <w:rsid w:val="007F5132"/>
    <w:rsid w:val="007F57AB"/>
    <w:rsid w:val="008059F6"/>
    <w:rsid w:val="00813F9B"/>
    <w:rsid w:val="0082483B"/>
    <w:rsid w:val="00842149"/>
    <w:rsid w:val="00843FAC"/>
    <w:rsid w:val="00845DDE"/>
    <w:rsid w:val="00846902"/>
    <w:rsid w:val="0085132A"/>
    <w:rsid w:val="008534CE"/>
    <w:rsid w:val="00861058"/>
    <w:rsid w:val="00866A01"/>
    <w:rsid w:val="00871AAF"/>
    <w:rsid w:val="00884438"/>
    <w:rsid w:val="008862BD"/>
    <w:rsid w:val="00887B57"/>
    <w:rsid w:val="008919B1"/>
    <w:rsid w:val="008957D6"/>
    <w:rsid w:val="00896A45"/>
    <w:rsid w:val="008B47D5"/>
    <w:rsid w:val="008C7456"/>
    <w:rsid w:val="008D6B59"/>
    <w:rsid w:val="008E369A"/>
    <w:rsid w:val="008E3EC3"/>
    <w:rsid w:val="008F4D96"/>
    <w:rsid w:val="008F735D"/>
    <w:rsid w:val="00903D53"/>
    <w:rsid w:val="009068AF"/>
    <w:rsid w:val="009131D8"/>
    <w:rsid w:val="00914EBF"/>
    <w:rsid w:val="00931593"/>
    <w:rsid w:val="009435A0"/>
    <w:rsid w:val="00944A5D"/>
    <w:rsid w:val="00947D39"/>
    <w:rsid w:val="009513DB"/>
    <w:rsid w:val="00952816"/>
    <w:rsid w:val="00954A7B"/>
    <w:rsid w:val="00957E0F"/>
    <w:rsid w:val="009773C8"/>
    <w:rsid w:val="009808C2"/>
    <w:rsid w:val="00984517"/>
    <w:rsid w:val="009858B7"/>
    <w:rsid w:val="009922D5"/>
    <w:rsid w:val="00996744"/>
    <w:rsid w:val="00996DE3"/>
    <w:rsid w:val="009B36D7"/>
    <w:rsid w:val="009C13A2"/>
    <w:rsid w:val="009C353E"/>
    <w:rsid w:val="009D6BEB"/>
    <w:rsid w:val="009D7230"/>
    <w:rsid w:val="009D7D0B"/>
    <w:rsid w:val="009E716D"/>
    <w:rsid w:val="009F1119"/>
    <w:rsid w:val="009F3D7F"/>
    <w:rsid w:val="009F4502"/>
    <w:rsid w:val="00A1519C"/>
    <w:rsid w:val="00A20200"/>
    <w:rsid w:val="00A223E0"/>
    <w:rsid w:val="00A224E6"/>
    <w:rsid w:val="00A2630D"/>
    <w:rsid w:val="00A352C9"/>
    <w:rsid w:val="00A362AF"/>
    <w:rsid w:val="00A434FC"/>
    <w:rsid w:val="00A43DF8"/>
    <w:rsid w:val="00A634C7"/>
    <w:rsid w:val="00A645B3"/>
    <w:rsid w:val="00A73D09"/>
    <w:rsid w:val="00A9334B"/>
    <w:rsid w:val="00A952D7"/>
    <w:rsid w:val="00A960CD"/>
    <w:rsid w:val="00AA07ED"/>
    <w:rsid w:val="00AA0B51"/>
    <w:rsid w:val="00AA63E1"/>
    <w:rsid w:val="00AC05C2"/>
    <w:rsid w:val="00AC2037"/>
    <w:rsid w:val="00AC56EE"/>
    <w:rsid w:val="00AD19CA"/>
    <w:rsid w:val="00AD1BAE"/>
    <w:rsid w:val="00AD3193"/>
    <w:rsid w:val="00AE1734"/>
    <w:rsid w:val="00AE3DF6"/>
    <w:rsid w:val="00AE3F90"/>
    <w:rsid w:val="00AF0BCF"/>
    <w:rsid w:val="00AF322E"/>
    <w:rsid w:val="00B07AAD"/>
    <w:rsid w:val="00B35F0C"/>
    <w:rsid w:val="00B41887"/>
    <w:rsid w:val="00B43906"/>
    <w:rsid w:val="00B43C4A"/>
    <w:rsid w:val="00B4436A"/>
    <w:rsid w:val="00B577F9"/>
    <w:rsid w:val="00B60210"/>
    <w:rsid w:val="00B6080C"/>
    <w:rsid w:val="00B61A8C"/>
    <w:rsid w:val="00B636B3"/>
    <w:rsid w:val="00B64DF8"/>
    <w:rsid w:val="00B6545B"/>
    <w:rsid w:val="00B661DC"/>
    <w:rsid w:val="00B73F44"/>
    <w:rsid w:val="00B76B97"/>
    <w:rsid w:val="00B81590"/>
    <w:rsid w:val="00B91723"/>
    <w:rsid w:val="00BB58DD"/>
    <w:rsid w:val="00BB72B0"/>
    <w:rsid w:val="00BC10AD"/>
    <w:rsid w:val="00BC11F3"/>
    <w:rsid w:val="00BC73B1"/>
    <w:rsid w:val="00BC7DA2"/>
    <w:rsid w:val="00BD3ABB"/>
    <w:rsid w:val="00BE71C3"/>
    <w:rsid w:val="00BF0D2E"/>
    <w:rsid w:val="00BF2BD3"/>
    <w:rsid w:val="00BF3FE2"/>
    <w:rsid w:val="00C01731"/>
    <w:rsid w:val="00C02F4E"/>
    <w:rsid w:val="00C04361"/>
    <w:rsid w:val="00C049EF"/>
    <w:rsid w:val="00C04FAA"/>
    <w:rsid w:val="00C24178"/>
    <w:rsid w:val="00C27A5B"/>
    <w:rsid w:val="00C31863"/>
    <w:rsid w:val="00C4018F"/>
    <w:rsid w:val="00C41E78"/>
    <w:rsid w:val="00C452E7"/>
    <w:rsid w:val="00C4605A"/>
    <w:rsid w:val="00C545DA"/>
    <w:rsid w:val="00C615BC"/>
    <w:rsid w:val="00C67B39"/>
    <w:rsid w:val="00C70532"/>
    <w:rsid w:val="00C74A68"/>
    <w:rsid w:val="00C86BF9"/>
    <w:rsid w:val="00C86CEE"/>
    <w:rsid w:val="00C943D3"/>
    <w:rsid w:val="00C948D8"/>
    <w:rsid w:val="00CA296A"/>
    <w:rsid w:val="00CB099C"/>
    <w:rsid w:val="00CB2224"/>
    <w:rsid w:val="00CB3892"/>
    <w:rsid w:val="00CC6D66"/>
    <w:rsid w:val="00CC706A"/>
    <w:rsid w:val="00CD0367"/>
    <w:rsid w:val="00CD3FFA"/>
    <w:rsid w:val="00CD458C"/>
    <w:rsid w:val="00CD4D3A"/>
    <w:rsid w:val="00CD691E"/>
    <w:rsid w:val="00CD72F3"/>
    <w:rsid w:val="00CE266F"/>
    <w:rsid w:val="00CF181C"/>
    <w:rsid w:val="00CF1F6B"/>
    <w:rsid w:val="00CF7671"/>
    <w:rsid w:val="00D01349"/>
    <w:rsid w:val="00D02D23"/>
    <w:rsid w:val="00D0375B"/>
    <w:rsid w:val="00D03EC9"/>
    <w:rsid w:val="00D11E81"/>
    <w:rsid w:val="00D151D4"/>
    <w:rsid w:val="00D23920"/>
    <w:rsid w:val="00D361A0"/>
    <w:rsid w:val="00D50651"/>
    <w:rsid w:val="00D57269"/>
    <w:rsid w:val="00D63036"/>
    <w:rsid w:val="00D64139"/>
    <w:rsid w:val="00D7294C"/>
    <w:rsid w:val="00D90014"/>
    <w:rsid w:val="00D9041C"/>
    <w:rsid w:val="00D97CF5"/>
    <w:rsid w:val="00DA065C"/>
    <w:rsid w:val="00DB238B"/>
    <w:rsid w:val="00DC4470"/>
    <w:rsid w:val="00DC6056"/>
    <w:rsid w:val="00DD023D"/>
    <w:rsid w:val="00DD33D6"/>
    <w:rsid w:val="00DE6864"/>
    <w:rsid w:val="00DF0C2D"/>
    <w:rsid w:val="00DF426C"/>
    <w:rsid w:val="00E01650"/>
    <w:rsid w:val="00E024C3"/>
    <w:rsid w:val="00E13A11"/>
    <w:rsid w:val="00E216C3"/>
    <w:rsid w:val="00E34946"/>
    <w:rsid w:val="00E5108D"/>
    <w:rsid w:val="00E51939"/>
    <w:rsid w:val="00E622B7"/>
    <w:rsid w:val="00E63508"/>
    <w:rsid w:val="00E72936"/>
    <w:rsid w:val="00E73886"/>
    <w:rsid w:val="00E75547"/>
    <w:rsid w:val="00E75C74"/>
    <w:rsid w:val="00E770D3"/>
    <w:rsid w:val="00E914C8"/>
    <w:rsid w:val="00EA6785"/>
    <w:rsid w:val="00EB4927"/>
    <w:rsid w:val="00EC026E"/>
    <w:rsid w:val="00EC275E"/>
    <w:rsid w:val="00EC5FBE"/>
    <w:rsid w:val="00EC63ED"/>
    <w:rsid w:val="00EE6DC7"/>
    <w:rsid w:val="00EF1BC3"/>
    <w:rsid w:val="00EF5424"/>
    <w:rsid w:val="00F07541"/>
    <w:rsid w:val="00F0785F"/>
    <w:rsid w:val="00F14283"/>
    <w:rsid w:val="00F206EA"/>
    <w:rsid w:val="00F21A15"/>
    <w:rsid w:val="00F2573E"/>
    <w:rsid w:val="00F3189E"/>
    <w:rsid w:val="00F31D5E"/>
    <w:rsid w:val="00F3226A"/>
    <w:rsid w:val="00F357B7"/>
    <w:rsid w:val="00F42CE2"/>
    <w:rsid w:val="00F50461"/>
    <w:rsid w:val="00F575DF"/>
    <w:rsid w:val="00F65A0C"/>
    <w:rsid w:val="00F738ED"/>
    <w:rsid w:val="00F7538D"/>
    <w:rsid w:val="00F77674"/>
    <w:rsid w:val="00F777F8"/>
    <w:rsid w:val="00F85288"/>
    <w:rsid w:val="00F8550D"/>
    <w:rsid w:val="00F9067B"/>
    <w:rsid w:val="00F90D29"/>
    <w:rsid w:val="00F9328B"/>
    <w:rsid w:val="00F94FA3"/>
    <w:rsid w:val="00FA39AD"/>
    <w:rsid w:val="00FB01AE"/>
    <w:rsid w:val="00FB0E32"/>
    <w:rsid w:val="00FB1B6A"/>
    <w:rsid w:val="00FB3A5D"/>
    <w:rsid w:val="00FC102D"/>
    <w:rsid w:val="00FC10D1"/>
    <w:rsid w:val="00FC4AA0"/>
    <w:rsid w:val="00FC502E"/>
    <w:rsid w:val="00FC6264"/>
    <w:rsid w:val="00FC6D9E"/>
    <w:rsid w:val="00FD16E3"/>
    <w:rsid w:val="00FE2C70"/>
    <w:rsid w:val="00FE58B3"/>
    <w:rsid w:val="00FF13F2"/>
    <w:rsid w:val="00FF3123"/>
    <w:rsid w:val="02185829"/>
    <w:rsid w:val="081F58DA"/>
    <w:rsid w:val="0AEE0267"/>
    <w:rsid w:val="0D542583"/>
    <w:rsid w:val="0ED905F5"/>
    <w:rsid w:val="1D903D1B"/>
    <w:rsid w:val="1F887051"/>
    <w:rsid w:val="221B0166"/>
    <w:rsid w:val="233146DC"/>
    <w:rsid w:val="24AB4106"/>
    <w:rsid w:val="24C441F0"/>
    <w:rsid w:val="29B83B76"/>
    <w:rsid w:val="2A0D12EA"/>
    <w:rsid w:val="2C013FFF"/>
    <w:rsid w:val="2D432401"/>
    <w:rsid w:val="332F1D25"/>
    <w:rsid w:val="35ED5EA6"/>
    <w:rsid w:val="3A190438"/>
    <w:rsid w:val="3C15230B"/>
    <w:rsid w:val="3C593DEA"/>
    <w:rsid w:val="400B1A16"/>
    <w:rsid w:val="40560064"/>
    <w:rsid w:val="44822727"/>
    <w:rsid w:val="49892A50"/>
    <w:rsid w:val="4CB17D79"/>
    <w:rsid w:val="4E4D1B7B"/>
    <w:rsid w:val="4EF47867"/>
    <w:rsid w:val="500D1EDE"/>
    <w:rsid w:val="53444F39"/>
    <w:rsid w:val="53F31C84"/>
    <w:rsid w:val="56011A78"/>
    <w:rsid w:val="569422D8"/>
    <w:rsid w:val="57B560FA"/>
    <w:rsid w:val="5B3827D3"/>
    <w:rsid w:val="5CF45863"/>
    <w:rsid w:val="5F08686F"/>
    <w:rsid w:val="60116671"/>
    <w:rsid w:val="62DA0CA5"/>
    <w:rsid w:val="65415E16"/>
    <w:rsid w:val="66C612FC"/>
    <w:rsid w:val="67B543DE"/>
    <w:rsid w:val="67C22F87"/>
    <w:rsid w:val="688A6B4B"/>
    <w:rsid w:val="6C745552"/>
    <w:rsid w:val="6D705C27"/>
    <w:rsid w:val="71587420"/>
    <w:rsid w:val="71C61048"/>
    <w:rsid w:val="728066CF"/>
    <w:rsid w:val="73BC35D8"/>
    <w:rsid w:val="73C91736"/>
    <w:rsid w:val="748B0AC9"/>
    <w:rsid w:val="7735670E"/>
    <w:rsid w:val="7A984E54"/>
    <w:rsid w:val="7B3D51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tabs>
        <w:tab w:val="left" w:pos="426"/>
      </w:tabs>
    </w:pPr>
    <w:rPr>
      <w:b/>
      <w:bCs/>
      <w:sz w:val="24"/>
    </w:r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Placeholder Text"/>
    <w:basedOn w:val="7"/>
    <w:semiHidden/>
    <w:qFormat/>
    <w:uiPriority w:val="99"/>
    <w:rPr>
      <w:color w:val="808080"/>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_Style 2"/>
    <w:qFormat/>
    <w:uiPriority w:val="0"/>
    <w:pPr>
      <w:adjustRightInd w:val="0"/>
      <w:snapToGrid w:val="0"/>
    </w:pPr>
    <w:rPr>
      <w:rFonts w:ascii="Tahoma" w:hAnsi="Tahoma" w:eastAsia="宋体" w:cs="Times New Roman"/>
      <w:sz w:val="22"/>
      <w:szCs w:val="22"/>
      <w:lang w:val="en-US" w:eastAsia="zh-CN" w:bidi="ar-SA"/>
    </w:rPr>
  </w:style>
  <w:style w:type="character" w:customStyle="1" w:styleId="16">
    <w:name w:val="font81"/>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B7A2E-9818-4580-81B1-55D27C2AA6C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472</Words>
  <Characters>2697</Characters>
  <Lines>22</Lines>
  <Paragraphs>6</Paragraphs>
  <TotalTime>7</TotalTime>
  <ScaleCrop>false</ScaleCrop>
  <LinksUpToDate>false</LinksUpToDate>
  <CharactersWithSpaces>3163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2017-01-03T01:39:00Z</dcterms:created>
  <dc:creator>Administrator</dc:creator>
  <cp:lastModifiedBy>黄凯伦</cp:lastModifiedBy>
  <cp:lastPrinted>2020-01-06T03:05:00Z</cp:lastPrinted>
  <dcterms:modified xsi:type="dcterms:W3CDTF">2022-05-16T02:05:15Z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KSOSaveFontToCloudKey">
    <vt:lpwstr>252022952_cloud</vt:lpwstr>
  </property>
</Properties>
</file>