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Cs/>
          <w:color w:val="auto"/>
          <w:sz w:val="44"/>
          <w:szCs w:val="44"/>
          <w:highlight w:val="none"/>
          <w:lang w:val="en-US" w:eastAsia="zh-CN"/>
        </w:rPr>
      </w:pPr>
      <w:r>
        <w:rPr>
          <w:rFonts w:hint="eastAsia" w:ascii="方正小标宋简体" w:hAnsi="方正小标宋简体" w:eastAsia="方正小标宋简体" w:cs="方正小标宋简体"/>
          <w:bCs/>
          <w:color w:val="auto"/>
          <w:sz w:val="44"/>
          <w:szCs w:val="44"/>
          <w:highlight w:val="none"/>
        </w:rPr>
        <w:t>坪山街道</w:t>
      </w:r>
      <w:r>
        <w:rPr>
          <w:rFonts w:hint="eastAsia" w:ascii="方正小标宋简体" w:hAnsi="方正小标宋简体" w:eastAsia="方正小标宋简体" w:cs="方正小标宋简体"/>
          <w:bCs/>
          <w:color w:val="auto"/>
          <w:sz w:val="44"/>
          <w:szCs w:val="44"/>
          <w:highlight w:val="none"/>
          <w:lang w:eastAsia="zh-CN"/>
        </w:rPr>
        <w:t>办事处</w:t>
      </w:r>
      <w:r>
        <w:rPr>
          <w:rFonts w:hint="eastAsia" w:ascii="方正小标宋简体" w:hAnsi="方正小标宋简体" w:eastAsia="方正小标宋简体" w:cs="方正小标宋简体"/>
          <w:bCs/>
          <w:color w:val="auto"/>
          <w:sz w:val="44"/>
          <w:szCs w:val="44"/>
          <w:highlight w:val="none"/>
          <w:lang w:val="en-US" w:eastAsia="zh-CN"/>
        </w:rPr>
        <w:t>2022年法律顾问服务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bCs/>
          <w:color w:val="auto"/>
          <w:sz w:val="44"/>
          <w:szCs w:val="44"/>
          <w:highlight w:val="none"/>
        </w:rPr>
        <w:t>采购需求</w:t>
      </w:r>
    </w:p>
    <w:p>
      <w:pPr>
        <w:keepNext w:val="0"/>
        <w:keepLines w:val="0"/>
        <w:pageBreakBefore w:val="0"/>
        <w:widowControl/>
        <w:numPr>
          <w:ilvl w:val="255"/>
          <w:numId w:val="0"/>
        </w:numPr>
        <w:kinsoku/>
        <w:wordWrap/>
        <w:overflowPunct/>
        <w:topLinePunct w:val="0"/>
        <w:autoSpaceDE/>
        <w:autoSpaceDN/>
        <w:bidi w:val="0"/>
        <w:spacing w:line="560" w:lineRule="exact"/>
        <w:ind w:firstLine="640" w:firstLineChars="200"/>
        <w:jc w:val="center"/>
        <w:textAlignment w:val="auto"/>
        <w:outlineLvl w:val="9"/>
        <w:rPr>
          <w:rFonts w:hint="eastAsia" w:ascii="仿宋_GB2312" w:hAnsi="仿宋_GB2312" w:eastAsia="仿宋_GB2312" w:cs="仿宋_GB2312"/>
          <w:color w:val="auto"/>
          <w:sz w:val="32"/>
          <w:szCs w:val="32"/>
          <w:highlight w:val="none"/>
        </w:rPr>
      </w:pPr>
    </w:p>
    <w:p>
      <w:pPr>
        <w:keepNext w:val="0"/>
        <w:keepLines w:val="0"/>
        <w:pageBreakBefore w:val="0"/>
        <w:widowControl/>
        <w:numPr>
          <w:ilvl w:val="255"/>
          <w:numId w:val="0"/>
        </w:numPr>
        <w:kinsoku/>
        <w:wordWrap/>
        <w:overflowPunct/>
        <w:topLinePunct w:val="0"/>
        <w:autoSpaceDE/>
        <w:autoSpaceDN/>
        <w:bidi w:val="0"/>
        <w:adjustRightInd/>
        <w:snapToGrid/>
        <w:spacing w:line="500" w:lineRule="exact"/>
        <w:ind w:firstLine="560" w:firstLineChars="200"/>
        <w:jc w:val="left"/>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一、采购项目概况</w:t>
      </w:r>
      <w:bookmarkStart w:id="0" w:name="_GoBack"/>
      <w:bookmarkEnd w:id="0"/>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val="en-US" w:eastAsia="zh-CN"/>
        </w:rPr>
        <w:t xml:space="preserve"> </w:t>
      </w:r>
      <w:r>
        <w:rPr>
          <w:rFonts w:hint="eastAsia" w:ascii="仿宋_GB2312" w:hAnsi="仿宋_GB2312" w:eastAsia="仿宋_GB2312" w:cs="仿宋_GB2312"/>
          <w:color w:val="auto"/>
          <w:sz w:val="28"/>
          <w:szCs w:val="28"/>
          <w:highlight w:val="none"/>
          <w:lang w:eastAsia="zh-CN"/>
        </w:rPr>
        <w:t>根据深圳市坪山区司法局《关于统筹优化坪山区政府法律顾问的工作方案（试行）》的要求，由</w:t>
      </w:r>
      <w:r>
        <w:rPr>
          <w:rFonts w:hint="eastAsia" w:ascii="仿宋_GB2312" w:hAnsi="仿宋_GB2312" w:eastAsia="仿宋_GB2312" w:cs="仿宋_GB2312"/>
          <w:color w:val="auto"/>
          <w:sz w:val="28"/>
          <w:szCs w:val="28"/>
          <w:highlight w:val="none"/>
          <w:lang w:val="en-US" w:eastAsia="zh-CN"/>
        </w:rPr>
        <w:t>坪山街道综合治理办公室购买2022年度坪山街道常年法律顾问服务。主要服务内容包括:为坪山街道依法行政、建设法治政府提供法律保障;</w:t>
      </w:r>
      <w:r>
        <w:rPr>
          <w:rFonts w:hint="eastAsia" w:ascii="仿宋_GB2312" w:hAnsi="仿宋_GB2312" w:eastAsia="仿宋_GB2312" w:cs="仿宋_GB2312"/>
          <w:color w:val="auto"/>
          <w:sz w:val="28"/>
          <w:szCs w:val="28"/>
          <w:highlight w:val="none"/>
          <w:lang w:eastAsia="zh-CN"/>
        </w:rPr>
        <w:t>审查合同（约1000份）；为</w:t>
      </w:r>
      <w:r>
        <w:rPr>
          <w:rFonts w:hint="eastAsia" w:ascii="仿宋_GB2312" w:hAnsi="仿宋_GB2312" w:eastAsia="仿宋_GB2312" w:cs="仿宋_GB2312"/>
          <w:color w:val="auto"/>
          <w:sz w:val="28"/>
          <w:szCs w:val="28"/>
          <w:highlight w:val="none"/>
          <w:lang w:val="en-US" w:eastAsia="zh-CN"/>
        </w:rPr>
        <w:t>坪山</w:t>
      </w:r>
      <w:r>
        <w:rPr>
          <w:rFonts w:hint="eastAsia" w:ascii="仿宋_GB2312" w:hAnsi="仿宋_GB2312" w:eastAsia="仿宋_GB2312" w:cs="仿宋_GB2312"/>
          <w:color w:val="auto"/>
          <w:sz w:val="28"/>
          <w:szCs w:val="28"/>
          <w:highlight w:val="none"/>
          <w:lang w:eastAsia="zh-CN"/>
        </w:rPr>
        <w:t>街道妥善处置群体性纠纷、信访积案、劳资纠纷等提供法律支撑。</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0" w:firstLineChars="200"/>
        <w:jc w:val="left"/>
        <w:textAlignment w:val="auto"/>
        <w:outlineLvl w:val="9"/>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二、项目服务内容</w:t>
      </w:r>
    </w:p>
    <w:p>
      <w:pPr>
        <w:pStyle w:val="2"/>
        <w:numPr>
          <w:ilvl w:val="0"/>
          <w:numId w:val="0"/>
        </w:numPr>
        <w:ind w:firstLine="560" w:firstLineChars="200"/>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1、综合行政执法办公室</w:t>
      </w:r>
    </w:p>
    <w:tbl>
      <w:tblPr>
        <w:tblStyle w:val="18"/>
        <w:tblW w:w="89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
        <w:gridCol w:w="1095"/>
        <w:gridCol w:w="1215"/>
        <w:gridCol w:w="5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Align w:val="center"/>
          </w:tcPr>
          <w:p>
            <w:pPr>
              <w:keepNext w:val="0"/>
              <w:keepLines w:val="0"/>
              <w:pageBreakBefore w:val="0"/>
              <w:widowControl/>
              <w:numPr>
                <w:ilvl w:val="255"/>
                <w:numId w:val="0"/>
              </w:numPr>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项目</w:t>
            </w:r>
          </w:p>
        </w:tc>
        <w:tc>
          <w:tcPr>
            <w:tcW w:w="1095" w:type="dxa"/>
            <w:vAlign w:val="center"/>
          </w:tcPr>
          <w:p>
            <w:pPr>
              <w:keepNext w:val="0"/>
              <w:keepLines w:val="0"/>
              <w:pageBreakBefore w:val="0"/>
              <w:widowControl/>
              <w:numPr>
                <w:ilvl w:val="255"/>
                <w:numId w:val="0"/>
              </w:numPr>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是否执业律师</w:t>
            </w:r>
          </w:p>
        </w:tc>
        <w:tc>
          <w:tcPr>
            <w:tcW w:w="1215" w:type="dxa"/>
            <w:vAlign w:val="center"/>
          </w:tcPr>
          <w:p>
            <w:pPr>
              <w:keepNext w:val="0"/>
              <w:keepLines w:val="0"/>
              <w:pageBreakBefore w:val="0"/>
              <w:widowControl/>
              <w:numPr>
                <w:ilvl w:val="255"/>
                <w:numId w:val="0"/>
              </w:numPr>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驻点人数</w:t>
            </w:r>
          </w:p>
        </w:tc>
        <w:tc>
          <w:tcPr>
            <w:tcW w:w="5795" w:type="dxa"/>
            <w:vAlign w:val="center"/>
          </w:tcPr>
          <w:p>
            <w:pPr>
              <w:keepNext w:val="0"/>
              <w:keepLines w:val="0"/>
              <w:pageBreakBefore w:val="0"/>
              <w:widowControl/>
              <w:numPr>
                <w:ilvl w:val="255"/>
                <w:numId w:val="0"/>
              </w:numPr>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法律顾问工作职责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883" w:type="dxa"/>
            <w:vAlign w:val="center"/>
          </w:tcPr>
          <w:p>
            <w:pPr>
              <w:keepNext w:val="0"/>
              <w:keepLines w:val="0"/>
              <w:pageBreakBefore w:val="0"/>
              <w:widowControl/>
              <w:numPr>
                <w:ilvl w:val="255"/>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 xml:space="preserve">A包 </w:t>
            </w:r>
          </w:p>
        </w:tc>
        <w:tc>
          <w:tcPr>
            <w:tcW w:w="1095" w:type="dxa"/>
            <w:vAlign w:val="center"/>
          </w:tcPr>
          <w:p>
            <w:pPr>
              <w:keepNext w:val="0"/>
              <w:keepLines w:val="0"/>
              <w:pageBreakBefore w:val="0"/>
              <w:widowControl/>
              <w:numPr>
                <w:ilvl w:val="255"/>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是</w:t>
            </w:r>
          </w:p>
        </w:tc>
        <w:tc>
          <w:tcPr>
            <w:tcW w:w="1215" w:type="dxa"/>
            <w:vAlign w:val="center"/>
          </w:tcPr>
          <w:p>
            <w:pPr>
              <w:keepNext w:val="0"/>
              <w:keepLines w:val="0"/>
              <w:pageBreakBefore w:val="0"/>
              <w:widowControl/>
              <w:numPr>
                <w:ilvl w:val="255"/>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律师1人+助理1人</w:t>
            </w:r>
            <w:r>
              <w:rPr>
                <w:rFonts w:hint="eastAsia" w:ascii="仿宋_GB2312" w:hAnsi="仿宋_GB2312" w:eastAsia="仿宋_GB2312" w:cs="仿宋_GB2312"/>
                <w:b w:val="0"/>
                <w:bCs w:val="0"/>
                <w:color w:val="auto"/>
                <w:sz w:val="28"/>
                <w:szCs w:val="28"/>
                <w:highlight w:val="none"/>
                <w:vertAlign w:val="baseline"/>
                <w:lang w:val="en-US" w:eastAsia="zh-CN"/>
              </w:rPr>
              <w:br w:type="textWrapping"/>
            </w:r>
          </w:p>
        </w:tc>
        <w:tc>
          <w:tcPr>
            <w:tcW w:w="5795" w:type="dxa"/>
          </w:tcPr>
          <w:p>
            <w:pPr>
              <w:keepNext w:val="0"/>
              <w:keepLines w:val="0"/>
              <w:pageBreakBefore w:val="0"/>
              <w:widowControl/>
              <w:numPr>
                <w:ilvl w:val="255"/>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1.协助案件办理；2.案件审查；3.提供行政执法专业法律咨询；4.法律培训；5.结合执法工作需要，编制可操作性的执法工作规范、指引；6.代理综合行政执法办参加行政复议、申请强制执行；7.参与处理涉及综合行政执法办尚未形成的行政纠纷和其他纠纷，协助处理与综合行政执法办有关的信访案件；8.每个季度至少开展一次法律培训，每月开展一次案例分析座谈会，分析典型案例；9.为行政执法过程中的法律问题、重大决策、行政执法行为提出书面法律意见；10为坪山街道承办或参与对外招投标项目所需备案的合同出具法律意见书。</w:t>
            </w:r>
          </w:p>
        </w:tc>
      </w:tr>
    </w:tbl>
    <w:p>
      <w:pP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2、应急管理办公室</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
        <w:gridCol w:w="1170"/>
        <w:gridCol w:w="1170"/>
        <w:gridCol w:w="5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keepNext w:val="0"/>
              <w:keepLines w:val="0"/>
              <w:pageBreakBefore w:val="0"/>
              <w:widowControl/>
              <w:numPr>
                <w:ilvl w:val="255"/>
                <w:numId w:val="0"/>
              </w:numPr>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color w:val="auto"/>
                <w:sz w:val="28"/>
                <w:szCs w:val="28"/>
                <w:highlight w:val="none"/>
                <w:vertAlign w:val="baseline"/>
                <w:lang w:eastAsia="zh-CN"/>
              </w:rPr>
            </w:pPr>
            <w:r>
              <w:rPr>
                <w:rFonts w:hint="eastAsia" w:ascii="仿宋_GB2312" w:hAnsi="仿宋_GB2312" w:eastAsia="仿宋_GB2312" w:cs="仿宋_GB2312"/>
                <w:b w:val="0"/>
                <w:bCs w:val="0"/>
                <w:color w:val="auto"/>
                <w:sz w:val="28"/>
                <w:szCs w:val="28"/>
                <w:highlight w:val="none"/>
                <w:vertAlign w:val="baseline"/>
                <w:lang w:val="en-US" w:eastAsia="zh-CN"/>
              </w:rPr>
              <w:t>项目</w:t>
            </w:r>
          </w:p>
        </w:tc>
        <w:tc>
          <w:tcPr>
            <w:tcW w:w="1170" w:type="dxa"/>
            <w:vAlign w:val="center"/>
          </w:tcPr>
          <w:p>
            <w:pPr>
              <w:keepNext w:val="0"/>
              <w:keepLines w:val="0"/>
              <w:pageBreakBefore w:val="0"/>
              <w:widowControl/>
              <w:numPr>
                <w:ilvl w:val="255"/>
                <w:numId w:val="0"/>
              </w:numPr>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color w:val="auto"/>
                <w:sz w:val="28"/>
                <w:szCs w:val="28"/>
                <w:highlight w:val="none"/>
                <w:vertAlign w:val="baseline"/>
                <w:lang w:eastAsia="zh-CN"/>
              </w:rPr>
            </w:pPr>
            <w:r>
              <w:rPr>
                <w:rFonts w:hint="eastAsia" w:ascii="仿宋_GB2312" w:hAnsi="仿宋_GB2312" w:eastAsia="仿宋_GB2312" w:cs="仿宋_GB2312"/>
                <w:b w:val="0"/>
                <w:bCs w:val="0"/>
                <w:color w:val="auto"/>
                <w:sz w:val="28"/>
                <w:szCs w:val="28"/>
                <w:highlight w:val="none"/>
                <w:vertAlign w:val="baseline"/>
                <w:lang w:val="en-US" w:eastAsia="zh-CN"/>
              </w:rPr>
              <w:t>是否执业律师</w:t>
            </w:r>
          </w:p>
        </w:tc>
        <w:tc>
          <w:tcPr>
            <w:tcW w:w="1170" w:type="dxa"/>
            <w:vAlign w:val="center"/>
          </w:tcPr>
          <w:p>
            <w:pPr>
              <w:keepNext w:val="0"/>
              <w:keepLines w:val="0"/>
              <w:pageBreakBefore w:val="0"/>
              <w:widowControl/>
              <w:numPr>
                <w:ilvl w:val="255"/>
                <w:numId w:val="0"/>
              </w:numPr>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color w:val="auto"/>
                <w:sz w:val="28"/>
                <w:szCs w:val="28"/>
                <w:highlight w:val="none"/>
                <w:vertAlign w:val="baseline"/>
                <w:lang w:eastAsia="zh-CN"/>
              </w:rPr>
            </w:pPr>
            <w:r>
              <w:rPr>
                <w:rFonts w:hint="eastAsia" w:ascii="仿宋_GB2312" w:hAnsi="仿宋_GB2312" w:eastAsia="仿宋_GB2312" w:cs="仿宋_GB2312"/>
                <w:b w:val="0"/>
                <w:bCs w:val="0"/>
                <w:color w:val="auto"/>
                <w:sz w:val="28"/>
                <w:szCs w:val="28"/>
                <w:highlight w:val="none"/>
                <w:vertAlign w:val="baseline"/>
                <w:lang w:val="en-US" w:eastAsia="zh-CN"/>
              </w:rPr>
              <w:t>驻点人数</w:t>
            </w:r>
          </w:p>
        </w:tc>
        <w:tc>
          <w:tcPr>
            <w:tcW w:w="5832" w:type="dxa"/>
            <w:vAlign w:val="center"/>
          </w:tcPr>
          <w:p>
            <w:pPr>
              <w:keepNext w:val="0"/>
              <w:keepLines w:val="0"/>
              <w:pageBreakBefore w:val="0"/>
              <w:widowControl/>
              <w:numPr>
                <w:ilvl w:val="255"/>
                <w:numId w:val="0"/>
              </w:numPr>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color w:val="auto"/>
                <w:sz w:val="28"/>
                <w:szCs w:val="28"/>
                <w:highlight w:val="none"/>
                <w:vertAlign w:val="baseline"/>
                <w:lang w:eastAsia="zh-CN"/>
              </w:rPr>
            </w:pPr>
            <w:r>
              <w:rPr>
                <w:rFonts w:hint="eastAsia" w:ascii="仿宋_GB2312" w:hAnsi="仿宋_GB2312" w:eastAsia="仿宋_GB2312" w:cs="仿宋_GB2312"/>
                <w:b w:val="0"/>
                <w:bCs w:val="0"/>
                <w:color w:val="auto"/>
                <w:sz w:val="28"/>
                <w:szCs w:val="28"/>
                <w:highlight w:val="none"/>
                <w:vertAlign w:val="baseline"/>
                <w:lang w:val="en-US" w:eastAsia="zh-CN"/>
              </w:rPr>
              <w:t>法律顾问工作职责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keepNext w:val="0"/>
              <w:keepLines w:val="0"/>
              <w:pageBreakBefore w:val="0"/>
              <w:widowControl/>
              <w:numPr>
                <w:ilvl w:val="255"/>
                <w:numId w:val="0"/>
              </w:numPr>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rPr>
              <w:t>B包</w:t>
            </w:r>
          </w:p>
        </w:tc>
        <w:tc>
          <w:tcPr>
            <w:tcW w:w="1170" w:type="dxa"/>
            <w:vAlign w:val="center"/>
          </w:tcPr>
          <w:p>
            <w:pPr>
              <w:keepNext w:val="0"/>
              <w:keepLines w:val="0"/>
              <w:pageBreakBefore w:val="0"/>
              <w:widowControl/>
              <w:numPr>
                <w:ilvl w:val="255"/>
                <w:numId w:val="0"/>
              </w:numPr>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rPr>
              <w:t>否</w:t>
            </w:r>
          </w:p>
        </w:tc>
        <w:tc>
          <w:tcPr>
            <w:tcW w:w="1170" w:type="dxa"/>
            <w:vAlign w:val="center"/>
          </w:tcPr>
          <w:p>
            <w:pPr>
              <w:keepNext w:val="0"/>
              <w:keepLines w:val="0"/>
              <w:pageBreakBefore w:val="0"/>
              <w:widowControl/>
              <w:numPr>
                <w:ilvl w:val="255"/>
                <w:numId w:val="0"/>
              </w:numPr>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rPr>
              <w:t>律师1人（不驻点）</w:t>
            </w:r>
          </w:p>
        </w:tc>
        <w:tc>
          <w:tcPr>
            <w:tcW w:w="5832" w:type="dxa"/>
            <w:vAlign w:val="top"/>
          </w:tcPr>
          <w:p>
            <w:pPr>
              <w:keepNext w:val="0"/>
              <w:keepLines w:val="0"/>
              <w:pageBreakBefore w:val="0"/>
              <w:widowControl/>
              <w:numPr>
                <w:ilvl w:val="255"/>
                <w:numId w:val="0"/>
              </w:numPr>
              <w:kinsoku/>
              <w:wordWrap/>
              <w:overflowPunct/>
              <w:topLinePunct w:val="0"/>
              <w:autoSpaceDE/>
              <w:autoSpaceDN/>
              <w:bidi w:val="0"/>
              <w:adjustRightInd/>
              <w:snapToGrid/>
              <w:spacing w:line="400" w:lineRule="exact"/>
              <w:ind w:left="0" w:leftChars="0" w:firstLine="0" w:firstLineChars="0"/>
              <w:jc w:val="left"/>
              <w:textAlignment w:val="auto"/>
              <w:outlineLvl w:val="9"/>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rPr>
              <w:t>1.提供法律咨询服务，协助、落实法律解决方案和参考意见，及时提供国家有关法律法规信息；2.协助处理重大、复杂、疑难案件等法律事务；3.协助处理各类尚未形成诉讼的纠纷，参与执法过程中的矛盾和冲突处理；4.双方协商确定的其他日常法律服务。</w:t>
            </w:r>
          </w:p>
        </w:tc>
      </w:tr>
    </w:tbl>
    <w:p>
      <w:pPr>
        <w:rPr>
          <w:rFonts w:hint="eastAsia" w:ascii="仿宋_GB2312" w:hAnsi="仿宋_GB2312" w:eastAsia="仿宋_GB2312" w:cs="仿宋_GB2312"/>
          <w:color w:val="auto"/>
          <w:sz w:val="28"/>
          <w:szCs w:val="28"/>
          <w:highlight w:val="none"/>
          <w:lang w:eastAsia="zh-CN"/>
        </w:rPr>
      </w:pPr>
    </w:p>
    <w:p>
      <w:pPr>
        <w:pStyle w:val="2"/>
        <w:ind w:firstLine="560" w:firstLineChars="200"/>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3、综合治理办公室</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9"/>
        <w:gridCol w:w="1170"/>
        <w:gridCol w:w="1185"/>
        <w:gridCol w:w="5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keepNext w:val="0"/>
              <w:keepLines w:val="0"/>
              <w:pageBreakBefore w:val="0"/>
              <w:widowControl/>
              <w:numPr>
                <w:ilvl w:val="255"/>
                <w:numId w:val="0"/>
              </w:numPr>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color w:val="auto"/>
                <w:sz w:val="28"/>
                <w:szCs w:val="28"/>
                <w:highlight w:val="none"/>
                <w:vertAlign w:val="baseline"/>
                <w:lang w:eastAsia="zh-CN"/>
              </w:rPr>
            </w:pPr>
            <w:r>
              <w:rPr>
                <w:rFonts w:hint="eastAsia" w:ascii="仿宋_GB2312" w:hAnsi="仿宋_GB2312" w:eastAsia="仿宋_GB2312" w:cs="仿宋_GB2312"/>
                <w:b w:val="0"/>
                <w:bCs w:val="0"/>
                <w:color w:val="auto"/>
                <w:sz w:val="28"/>
                <w:szCs w:val="28"/>
                <w:highlight w:val="none"/>
                <w:vertAlign w:val="baseline"/>
                <w:lang w:val="en-US" w:eastAsia="zh-CN"/>
              </w:rPr>
              <w:t>项目</w:t>
            </w:r>
          </w:p>
        </w:tc>
        <w:tc>
          <w:tcPr>
            <w:tcW w:w="1170" w:type="dxa"/>
            <w:vAlign w:val="center"/>
          </w:tcPr>
          <w:p>
            <w:pPr>
              <w:keepNext w:val="0"/>
              <w:keepLines w:val="0"/>
              <w:pageBreakBefore w:val="0"/>
              <w:widowControl/>
              <w:numPr>
                <w:ilvl w:val="255"/>
                <w:numId w:val="0"/>
              </w:numPr>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color w:val="auto"/>
                <w:sz w:val="28"/>
                <w:szCs w:val="28"/>
                <w:highlight w:val="none"/>
                <w:vertAlign w:val="baseline"/>
                <w:lang w:eastAsia="zh-CN"/>
              </w:rPr>
            </w:pPr>
            <w:r>
              <w:rPr>
                <w:rFonts w:hint="eastAsia" w:ascii="仿宋_GB2312" w:hAnsi="仿宋_GB2312" w:eastAsia="仿宋_GB2312" w:cs="仿宋_GB2312"/>
                <w:b w:val="0"/>
                <w:bCs w:val="0"/>
                <w:color w:val="auto"/>
                <w:sz w:val="28"/>
                <w:szCs w:val="28"/>
                <w:highlight w:val="none"/>
                <w:vertAlign w:val="baseline"/>
                <w:lang w:val="en-US" w:eastAsia="zh-CN"/>
              </w:rPr>
              <w:t>是否执业律师</w:t>
            </w:r>
          </w:p>
        </w:tc>
        <w:tc>
          <w:tcPr>
            <w:tcW w:w="1185" w:type="dxa"/>
            <w:vAlign w:val="center"/>
          </w:tcPr>
          <w:p>
            <w:pPr>
              <w:keepNext w:val="0"/>
              <w:keepLines w:val="0"/>
              <w:pageBreakBefore w:val="0"/>
              <w:widowControl/>
              <w:numPr>
                <w:ilvl w:val="255"/>
                <w:numId w:val="0"/>
              </w:numPr>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color w:val="auto"/>
                <w:sz w:val="28"/>
                <w:szCs w:val="28"/>
                <w:highlight w:val="none"/>
                <w:vertAlign w:val="baseline"/>
                <w:lang w:eastAsia="zh-CN"/>
              </w:rPr>
            </w:pPr>
            <w:r>
              <w:rPr>
                <w:rFonts w:hint="eastAsia" w:ascii="仿宋_GB2312" w:hAnsi="仿宋_GB2312" w:eastAsia="仿宋_GB2312" w:cs="仿宋_GB2312"/>
                <w:b w:val="0"/>
                <w:bCs w:val="0"/>
                <w:color w:val="auto"/>
                <w:sz w:val="28"/>
                <w:szCs w:val="28"/>
                <w:highlight w:val="none"/>
                <w:vertAlign w:val="baseline"/>
                <w:lang w:val="en-US" w:eastAsia="zh-CN"/>
              </w:rPr>
              <w:t>驻点人数</w:t>
            </w:r>
          </w:p>
        </w:tc>
        <w:tc>
          <w:tcPr>
            <w:tcW w:w="5847" w:type="dxa"/>
            <w:vAlign w:val="center"/>
          </w:tcPr>
          <w:p>
            <w:pPr>
              <w:keepNext w:val="0"/>
              <w:keepLines w:val="0"/>
              <w:pageBreakBefore w:val="0"/>
              <w:widowControl/>
              <w:numPr>
                <w:ilvl w:val="255"/>
                <w:numId w:val="0"/>
              </w:numPr>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color w:val="auto"/>
                <w:sz w:val="28"/>
                <w:szCs w:val="28"/>
                <w:highlight w:val="none"/>
                <w:vertAlign w:val="baseline"/>
                <w:lang w:eastAsia="zh-CN"/>
              </w:rPr>
            </w:pPr>
            <w:r>
              <w:rPr>
                <w:rFonts w:hint="eastAsia" w:ascii="仿宋_GB2312" w:hAnsi="仿宋_GB2312" w:eastAsia="仿宋_GB2312" w:cs="仿宋_GB2312"/>
                <w:b w:val="0"/>
                <w:bCs w:val="0"/>
                <w:color w:val="auto"/>
                <w:sz w:val="28"/>
                <w:szCs w:val="28"/>
                <w:highlight w:val="none"/>
                <w:vertAlign w:val="baseline"/>
                <w:lang w:val="en-US" w:eastAsia="zh-CN"/>
              </w:rPr>
              <w:t>法律顾问工作职责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keepNext w:val="0"/>
              <w:keepLines w:val="0"/>
              <w:pageBreakBefore w:val="0"/>
              <w:widowControl/>
              <w:numPr>
                <w:ilvl w:val="255"/>
                <w:numId w:val="0"/>
              </w:numPr>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rPr>
              <w:t>C包</w:t>
            </w:r>
          </w:p>
        </w:tc>
        <w:tc>
          <w:tcPr>
            <w:tcW w:w="1170" w:type="dxa"/>
            <w:vAlign w:val="center"/>
          </w:tcPr>
          <w:p>
            <w:pPr>
              <w:keepNext w:val="0"/>
              <w:keepLines w:val="0"/>
              <w:pageBreakBefore w:val="0"/>
              <w:widowControl/>
              <w:numPr>
                <w:ilvl w:val="255"/>
                <w:numId w:val="0"/>
              </w:numPr>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rPr>
              <w:t>是</w:t>
            </w:r>
          </w:p>
        </w:tc>
        <w:tc>
          <w:tcPr>
            <w:tcW w:w="1185" w:type="dxa"/>
            <w:vAlign w:val="center"/>
          </w:tcPr>
          <w:p>
            <w:pPr>
              <w:keepNext w:val="0"/>
              <w:keepLines w:val="0"/>
              <w:pageBreakBefore w:val="0"/>
              <w:widowControl/>
              <w:numPr>
                <w:ilvl w:val="255"/>
                <w:numId w:val="0"/>
              </w:numPr>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b w:val="0"/>
                <w:bCs w:val="0"/>
                <w:color w:val="auto"/>
                <w:sz w:val="28"/>
                <w:szCs w:val="28"/>
                <w:highlight w:val="none"/>
                <w:vertAlign w:val="baseline"/>
                <w:lang w:val="en-US" w:eastAsia="zh-CN"/>
              </w:rPr>
              <w:t>律师1人+助理1人</w:t>
            </w:r>
          </w:p>
        </w:tc>
        <w:tc>
          <w:tcPr>
            <w:tcW w:w="5847" w:type="dxa"/>
            <w:vAlign w:val="top"/>
          </w:tcPr>
          <w:p>
            <w:pPr>
              <w:keepNext w:val="0"/>
              <w:keepLines w:val="0"/>
              <w:pageBreakBefore w:val="0"/>
              <w:widowControl/>
              <w:numPr>
                <w:ilvl w:val="255"/>
                <w:numId w:val="0"/>
              </w:numPr>
              <w:kinsoku/>
              <w:wordWrap/>
              <w:overflowPunct/>
              <w:topLinePunct w:val="0"/>
              <w:autoSpaceDE/>
              <w:autoSpaceDN/>
              <w:bidi w:val="0"/>
              <w:adjustRightInd/>
              <w:snapToGrid/>
              <w:spacing w:line="400" w:lineRule="exact"/>
              <w:ind w:left="0" w:leftChars="0" w:firstLine="0" w:firstLineChars="0"/>
              <w:jc w:val="left"/>
              <w:textAlignment w:val="auto"/>
              <w:outlineLvl w:val="9"/>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rPr>
              <w:t>1.为坪山街道的行政行为和民事行为提供法律意见；2.按照坪山街道的要求，参与处理重大突发性事件、群体性纠纷等重大社会事件以及历史遗留问题；3.代理坪山街道的民事诉讼、行政诉讼、仲裁等法律事务；4.根据坪山街道需要，为尚未配备法律顾问的下设部门，提供法律咨询、重大合同的拟订及修改等服务；5.对提交坪山街道的合同进行合法性审查并提供相应法律意见。</w:t>
            </w:r>
          </w:p>
        </w:tc>
      </w:tr>
    </w:tbl>
    <w:p>
      <w:pPr>
        <w:keepNext w:val="0"/>
        <w:keepLines w:val="0"/>
        <w:pageBreakBefore w:val="0"/>
        <w:numPr>
          <w:ilvl w:val="0"/>
          <w:numId w:val="0"/>
        </w:numPr>
        <w:kinsoku/>
        <w:wordWrap/>
        <w:overflowPunct/>
        <w:topLinePunct w:val="0"/>
        <w:autoSpaceDE/>
        <w:autoSpaceDN/>
        <w:bidi w:val="0"/>
        <w:spacing w:line="560" w:lineRule="exact"/>
        <w:ind w:firstLine="560" w:firstLineChars="200"/>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三、</w:t>
      </w:r>
      <w:r>
        <w:rPr>
          <w:rFonts w:hint="eastAsia" w:ascii="仿宋_GB2312" w:hAnsi="仿宋_GB2312" w:eastAsia="仿宋_GB2312" w:cs="仿宋_GB2312"/>
          <w:color w:val="auto"/>
          <w:sz w:val="28"/>
          <w:szCs w:val="28"/>
          <w:highlight w:val="none"/>
        </w:rPr>
        <w:t>项目管理和服务要求</w:t>
      </w:r>
    </w:p>
    <w:p>
      <w:pPr>
        <w:pStyle w:val="22"/>
        <w:numPr>
          <w:ilvl w:val="0"/>
          <w:numId w:val="0"/>
        </w:numPr>
        <w:ind w:firstLine="560" w:firstLineChars="200"/>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(一）项目管理要求</w:t>
      </w:r>
    </w:p>
    <w:p>
      <w:pPr>
        <w:keepNext w:val="0"/>
        <w:keepLines w:val="0"/>
        <w:pageBreakBefore w:val="0"/>
        <w:widowControl/>
        <w:kinsoku/>
        <w:wordWrap/>
        <w:overflowPunct/>
        <w:topLinePunct w:val="0"/>
        <w:autoSpaceDE/>
        <w:autoSpaceDN/>
        <w:bidi w:val="0"/>
        <w:spacing w:line="560" w:lineRule="exact"/>
        <w:ind w:firstLine="560" w:firstLineChars="200"/>
        <w:jc w:val="left"/>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投标</w:t>
      </w:r>
      <w:r>
        <w:rPr>
          <w:rFonts w:hint="eastAsia" w:ascii="仿宋_GB2312" w:hAnsi="仿宋_GB2312" w:eastAsia="仿宋_GB2312" w:cs="仿宋_GB2312"/>
          <w:color w:val="auto"/>
          <w:sz w:val="28"/>
          <w:szCs w:val="28"/>
          <w:highlight w:val="none"/>
          <w:lang w:val="en-US" w:eastAsia="zh-CN"/>
        </w:rPr>
        <w:t>单位</w:t>
      </w:r>
      <w:r>
        <w:rPr>
          <w:rFonts w:hint="eastAsia" w:ascii="仿宋_GB2312" w:hAnsi="仿宋_GB2312" w:eastAsia="仿宋_GB2312" w:cs="仿宋_GB2312"/>
          <w:color w:val="auto"/>
          <w:sz w:val="28"/>
          <w:szCs w:val="28"/>
          <w:highlight w:val="none"/>
        </w:rPr>
        <w:t>须符合以下要求：</w:t>
      </w:r>
    </w:p>
    <w:p>
      <w:pPr>
        <w:keepNext w:val="0"/>
        <w:keepLines w:val="0"/>
        <w:pageBreakBefore w:val="0"/>
        <w:widowControl/>
        <w:kinsoku/>
        <w:wordWrap/>
        <w:overflowPunct/>
        <w:topLinePunct w:val="0"/>
        <w:autoSpaceDE/>
        <w:autoSpaceDN/>
        <w:bidi w:val="0"/>
        <w:spacing w:line="560" w:lineRule="exact"/>
        <w:ind w:firstLine="560" w:firstLineChars="200"/>
        <w:jc w:val="both"/>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w:t>
      </w:r>
      <w:r>
        <w:rPr>
          <w:rFonts w:hint="eastAsia" w:ascii="仿宋_GB2312" w:hAnsi="仿宋_GB2312" w:eastAsia="仿宋_GB2312" w:cs="仿宋_GB2312"/>
          <w:color w:val="auto"/>
          <w:sz w:val="28"/>
          <w:szCs w:val="28"/>
          <w:highlight w:val="none"/>
          <w:lang w:val="en-US" w:eastAsia="zh-CN"/>
        </w:rPr>
        <w:t>.</w:t>
      </w:r>
      <w:r>
        <w:rPr>
          <w:rFonts w:hint="eastAsia" w:ascii="仿宋_GB2312" w:hAnsi="仿宋_GB2312" w:eastAsia="仿宋_GB2312" w:cs="仿宋_GB2312"/>
          <w:color w:val="auto"/>
          <w:sz w:val="28"/>
          <w:szCs w:val="28"/>
          <w:highlight w:val="none"/>
        </w:rPr>
        <w:t>中标单位在确定为成交单位公告三天与采购单位签订合同；</w:t>
      </w:r>
    </w:p>
    <w:p>
      <w:pPr>
        <w:keepNext w:val="0"/>
        <w:keepLines w:val="0"/>
        <w:pageBreakBefore w:val="0"/>
        <w:widowControl/>
        <w:kinsoku/>
        <w:wordWrap/>
        <w:overflowPunct/>
        <w:topLinePunct w:val="0"/>
        <w:autoSpaceDE/>
        <w:autoSpaceDN/>
        <w:bidi w:val="0"/>
        <w:spacing w:line="560" w:lineRule="exact"/>
        <w:ind w:firstLine="560" w:firstLineChars="200"/>
        <w:jc w:val="both"/>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投标单位须配合采购单位的采购小组对</w:t>
      </w:r>
      <w:r>
        <w:rPr>
          <w:rFonts w:hint="eastAsia" w:ascii="仿宋_GB2312" w:hAnsi="仿宋_GB2312" w:eastAsia="仿宋_GB2312" w:cs="仿宋_GB2312"/>
          <w:color w:val="auto"/>
          <w:sz w:val="28"/>
          <w:szCs w:val="28"/>
          <w:highlight w:val="none"/>
          <w:lang w:val="en-US" w:eastAsia="zh-CN"/>
        </w:rPr>
        <w:t>投标单位</w:t>
      </w:r>
      <w:r>
        <w:rPr>
          <w:rFonts w:hint="eastAsia" w:ascii="仿宋_GB2312" w:hAnsi="仿宋_GB2312" w:eastAsia="仿宋_GB2312" w:cs="仿宋_GB2312"/>
          <w:color w:val="auto"/>
          <w:sz w:val="28"/>
          <w:szCs w:val="28"/>
          <w:highlight w:val="none"/>
        </w:rPr>
        <w:t>证明文件</w:t>
      </w:r>
      <w:r>
        <w:rPr>
          <w:rFonts w:hint="eastAsia" w:ascii="仿宋_GB2312" w:hAnsi="仿宋_GB2312" w:eastAsia="仿宋_GB2312" w:cs="仿宋_GB2312"/>
          <w:color w:val="auto"/>
          <w:sz w:val="28"/>
          <w:szCs w:val="28"/>
          <w:highlight w:val="none"/>
          <w:lang w:val="en-US" w:eastAsia="zh-CN"/>
        </w:rPr>
        <w:t>的</w:t>
      </w:r>
      <w:r>
        <w:rPr>
          <w:rFonts w:hint="eastAsia" w:ascii="仿宋_GB2312" w:hAnsi="仿宋_GB2312" w:eastAsia="仿宋_GB2312" w:cs="仿宋_GB2312"/>
          <w:color w:val="auto"/>
          <w:sz w:val="28"/>
          <w:szCs w:val="28"/>
          <w:highlight w:val="none"/>
        </w:rPr>
        <w:t>核证</w:t>
      </w:r>
      <w:r>
        <w:rPr>
          <w:rFonts w:hint="eastAsia" w:ascii="仿宋_GB2312" w:hAnsi="仿宋_GB2312" w:eastAsia="仿宋_GB2312" w:cs="仿宋_GB2312"/>
          <w:color w:val="auto"/>
          <w:sz w:val="28"/>
          <w:szCs w:val="28"/>
          <w:highlight w:val="none"/>
          <w:lang w:val="en-US" w:eastAsia="zh-CN"/>
        </w:rPr>
        <w:t>工作</w:t>
      </w:r>
      <w:r>
        <w:rPr>
          <w:rFonts w:hint="eastAsia" w:ascii="仿宋_GB2312" w:hAnsi="仿宋_GB2312" w:eastAsia="仿宋_GB2312" w:cs="仿宋_GB2312"/>
          <w:color w:val="auto"/>
          <w:sz w:val="28"/>
          <w:szCs w:val="28"/>
          <w:highlight w:val="none"/>
        </w:rPr>
        <w:t>；</w:t>
      </w:r>
    </w:p>
    <w:p>
      <w:pPr>
        <w:keepNext w:val="0"/>
        <w:keepLines w:val="0"/>
        <w:pageBreakBefore w:val="0"/>
        <w:widowControl/>
        <w:kinsoku/>
        <w:wordWrap/>
        <w:overflowPunct/>
        <w:topLinePunct w:val="0"/>
        <w:autoSpaceDE/>
        <w:autoSpaceDN/>
        <w:bidi w:val="0"/>
        <w:spacing w:line="560" w:lineRule="exact"/>
        <w:ind w:firstLine="560" w:firstLineChars="200"/>
        <w:jc w:val="both"/>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rPr>
        <w:t>采购单位对工作表现不符合岗位要求，经教育仍不改正的项目服务人员，应退回，中标单位对其及时更换顶替；</w:t>
      </w:r>
    </w:p>
    <w:p>
      <w:pPr>
        <w:keepNext w:val="0"/>
        <w:keepLines w:val="0"/>
        <w:pageBreakBefore w:val="0"/>
        <w:widowControl/>
        <w:kinsoku/>
        <w:wordWrap/>
        <w:overflowPunct/>
        <w:topLinePunct w:val="0"/>
        <w:autoSpaceDE/>
        <w:autoSpaceDN/>
        <w:bidi w:val="0"/>
        <w:spacing w:line="560" w:lineRule="exact"/>
        <w:ind w:firstLine="560" w:firstLineChars="200"/>
        <w:jc w:val="both"/>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4.</w:t>
      </w:r>
      <w:r>
        <w:rPr>
          <w:rFonts w:hint="eastAsia" w:ascii="仿宋_GB2312" w:hAnsi="仿宋_GB2312" w:eastAsia="仿宋_GB2312" w:cs="仿宋_GB2312"/>
          <w:color w:val="auto"/>
          <w:sz w:val="28"/>
          <w:szCs w:val="28"/>
          <w:highlight w:val="none"/>
        </w:rPr>
        <w:t>中标单位应服从采购单位的管理，组织协调好管理工作，以保证高质量完成各项工作；</w:t>
      </w:r>
    </w:p>
    <w:p>
      <w:pPr>
        <w:keepNext w:val="0"/>
        <w:keepLines w:val="0"/>
        <w:pageBreakBefore w:val="0"/>
        <w:widowControl/>
        <w:kinsoku/>
        <w:wordWrap/>
        <w:overflowPunct/>
        <w:topLinePunct w:val="0"/>
        <w:autoSpaceDE/>
        <w:autoSpaceDN/>
        <w:bidi w:val="0"/>
        <w:spacing w:line="560" w:lineRule="exact"/>
        <w:ind w:firstLine="560" w:firstLineChars="200"/>
        <w:jc w:val="both"/>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5.</w:t>
      </w:r>
      <w:r>
        <w:rPr>
          <w:rFonts w:hint="eastAsia" w:ascii="仿宋_GB2312" w:hAnsi="仿宋_GB2312" w:eastAsia="仿宋_GB2312" w:cs="仿宋_GB2312"/>
          <w:color w:val="auto"/>
          <w:sz w:val="28"/>
          <w:szCs w:val="28"/>
          <w:highlight w:val="none"/>
        </w:rPr>
        <w:t>合同终止时，中标单位应将各项目条款要求的工作记录、台账、工作资料、工作总结等移交给采购单位；</w:t>
      </w:r>
    </w:p>
    <w:p>
      <w:pPr>
        <w:keepNext w:val="0"/>
        <w:keepLines w:val="0"/>
        <w:pageBreakBefore w:val="0"/>
        <w:widowControl/>
        <w:kinsoku/>
        <w:wordWrap/>
        <w:overflowPunct/>
        <w:topLinePunct w:val="0"/>
        <w:autoSpaceDE/>
        <w:autoSpaceDN/>
        <w:bidi w:val="0"/>
        <w:spacing w:line="560" w:lineRule="exact"/>
        <w:ind w:firstLine="560" w:firstLineChars="200"/>
        <w:jc w:val="both"/>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6.</w:t>
      </w:r>
      <w:r>
        <w:rPr>
          <w:rFonts w:hint="eastAsia" w:ascii="仿宋_GB2312" w:hAnsi="仿宋_GB2312" w:eastAsia="仿宋_GB2312" w:cs="仿宋_GB2312"/>
          <w:color w:val="auto"/>
          <w:sz w:val="28"/>
          <w:szCs w:val="28"/>
          <w:highlight w:val="none"/>
        </w:rPr>
        <w:t>投标单位若认为采购需求文件的技术要求或其他要求有倾向性或不公正性，可在</w:t>
      </w:r>
      <w:r>
        <w:rPr>
          <w:rFonts w:hint="eastAsia" w:ascii="仿宋_GB2312" w:hAnsi="仿宋_GB2312" w:eastAsia="仿宋_GB2312" w:cs="仿宋_GB2312"/>
          <w:color w:val="auto"/>
          <w:sz w:val="28"/>
          <w:szCs w:val="28"/>
          <w:highlight w:val="none"/>
          <w:lang w:eastAsia="zh-CN"/>
        </w:rPr>
        <w:t>采购需求公告期间</w:t>
      </w:r>
      <w:r>
        <w:rPr>
          <w:rFonts w:hint="eastAsia" w:ascii="仿宋_GB2312" w:hAnsi="仿宋_GB2312" w:eastAsia="仿宋_GB2312" w:cs="仿宋_GB2312"/>
          <w:color w:val="auto"/>
          <w:sz w:val="28"/>
          <w:szCs w:val="28"/>
          <w:highlight w:val="none"/>
        </w:rPr>
        <w:t>提出，以维护</w:t>
      </w:r>
      <w:r>
        <w:rPr>
          <w:rFonts w:hint="eastAsia" w:ascii="仿宋_GB2312" w:hAnsi="仿宋_GB2312" w:eastAsia="仿宋_GB2312" w:cs="仿宋_GB2312"/>
          <w:color w:val="auto"/>
          <w:sz w:val="28"/>
          <w:szCs w:val="28"/>
          <w:highlight w:val="none"/>
          <w:lang w:eastAsia="zh-CN"/>
        </w:rPr>
        <w:t>采购</w:t>
      </w:r>
      <w:r>
        <w:rPr>
          <w:rFonts w:hint="eastAsia" w:ascii="仿宋_GB2312" w:hAnsi="仿宋_GB2312" w:eastAsia="仿宋_GB2312" w:cs="仿宋_GB2312"/>
          <w:color w:val="auto"/>
          <w:sz w:val="28"/>
          <w:szCs w:val="28"/>
          <w:highlight w:val="none"/>
        </w:rPr>
        <w:t>行为的公平、公正。</w:t>
      </w:r>
    </w:p>
    <w:p>
      <w:pPr>
        <w:pStyle w:val="22"/>
        <w:numPr>
          <w:ilvl w:val="0"/>
          <w:numId w:val="0"/>
        </w:numPr>
        <w:ind w:firstLine="560" w:firstLineChars="200"/>
        <w:jc w:val="both"/>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(二）项目服务要求</w:t>
      </w:r>
    </w:p>
    <w:p>
      <w:pPr>
        <w:keepNext w:val="0"/>
        <w:keepLines w:val="0"/>
        <w:pageBreakBefore w:val="0"/>
        <w:widowControl/>
        <w:numPr>
          <w:ilvl w:val="0"/>
          <w:numId w:val="0"/>
        </w:numPr>
        <w:shd w:val="clear"/>
        <w:kinsoku/>
        <w:wordWrap/>
        <w:overflowPunct/>
        <w:topLinePunct w:val="0"/>
        <w:autoSpaceDE/>
        <w:autoSpaceDN/>
        <w:bidi w:val="0"/>
        <w:adjustRightInd/>
        <w:snapToGrid/>
        <w:spacing w:line="500" w:lineRule="exact"/>
        <w:ind w:firstLine="560" w:firstLineChars="200"/>
        <w:jc w:val="left"/>
        <w:textAlignment w:val="auto"/>
        <w:outlineLvl w:val="9"/>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1.本项目分为A、B、C包。其中A包为负责综合行政执法办公室的法律顾问工作，B包为负责应急管理办公室的法律顾问工作，C包为负责综合治理办公室的法律顾问工作。</w:t>
      </w:r>
    </w:p>
    <w:p>
      <w:pPr>
        <w:keepNext w:val="0"/>
        <w:keepLines w:val="0"/>
        <w:pageBreakBefore w:val="0"/>
        <w:widowControl/>
        <w:numPr>
          <w:ilvl w:val="0"/>
          <w:numId w:val="0"/>
        </w:numPr>
        <w:shd w:val="clear"/>
        <w:kinsoku/>
        <w:wordWrap/>
        <w:overflowPunct/>
        <w:topLinePunct w:val="0"/>
        <w:autoSpaceDE/>
        <w:autoSpaceDN/>
        <w:bidi w:val="0"/>
        <w:adjustRightInd/>
        <w:snapToGrid/>
        <w:spacing w:line="500" w:lineRule="exact"/>
        <w:ind w:firstLine="560" w:firstLineChars="200"/>
        <w:jc w:val="left"/>
        <w:textAlignment w:val="auto"/>
        <w:outlineLvl w:val="9"/>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sz w:val="28"/>
          <w:szCs w:val="28"/>
          <w:highlight w:val="none"/>
          <w:lang w:val="en-US" w:eastAsia="zh-CN"/>
        </w:rPr>
        <w:t>2.A包中标单位委派</w:t>
      </w:r>
      <w:r>
        <w:rPr>
          <w:rFonts w:hint="eastAsia" w:ascii="仿宋_GB2312" w:hAnsi="仿宋_GB2312" w:eastAsia="仿宋_GB2312" w:cs="仿宋_GB2312"/>
          <w:color w:val="auto"/>
          <w:sz w:val="28"/>
          <w:szCs w:val="28"/>
          <w:highlight w:val="none"/>
          <w:lang w:eastAsia="zh-CN"/>
        </w:rPr>
        <w:t>1名律师</w:t>
      </w:r>
      <w:r>
        <w:rPr>
          <w:rFonts w:hint="eastAsia" w:ascii="仿宋_GB2312" w:hAnsi="仿宋_GB2312" w:eastAsia="仿宋_GB2312" w:cs="仿宋_GB2312"/>
          <w:color w:val="auto"/>
          <w:sz w:val="28"/>
          <w:szCs w:val="28"/>
          <w:highlight w:val="none"/>
          <w:lang w:val="en-US" w:eastAsia="zh-CN"/>
        </w:rPr>
        <w:t>和</w:t>
      </w:r>
      <w:r>
        <w:rPr>
          <w:rFonts w:hint="eastAsia" w:ascii="仿宋_GB2312" w:hAnsi="仿宋_GB2312" w:eastAsia="仿宋_GB2312" w:cs="仿宋_GB2312"/>
          <w:color w:val="auto"/>
          <w:sz w:val="28"/>
          <w:szCs w:val="28"/>
          <w:highlight w:val="none"/>
          <w:lang w:eastAsia="zh-CN"/>
        </w:rPr>
        <w:t>1名助理律师（全天驻点）</w:t>
      </w:r>
      <w:r>
        <w:rPr>
          <w:rFonts w:hint="eastAsia" w:ascii="仿宋_GB2312" w:hAnsi="仿宋_GB2312" w:eastAsia="仿宋_GB2312" w:cs="仿宋_GB2312"/>
          <w:color w:val="auto"/>
          <w:sz w:val="28"/>
          <w:szCs w:val="28"/>
          <w:highlight w:val="none"/>
          <w:lang w:val="en-US" w:eastAsia="zh-CN"/>
        </w:rPr>
        <w:t>;B包中标单位委派</w:t>
      </w:r>
      <w:r>
        <w:rPr>
          <w:rFonts w:hint="eastAsia" w:ascii="仿宋_GB2312" w:hAnsi="仿宋_GB2312" w:eastAsia="仿宋_GB2312" w:cs="仿宋_GB2312"/>
          <w:color w:val="auto"/>
          <w:sz w:val="28"/>
          <w:szCs w:val="28"/>
          <w:highlight w:val="none"/>
          <w:lang w:eastAsia="zh-CN"/>
        </w:rPr>
        <w:t>1名律师（不驻点）；</w:t>
      </w:r>
      <w:r>
        <w:rPr>
          <w:rFonts w:hint="eastAsia" w:ascii="仿宋_GB2312" w:hAnsi="仿宋_GB2312" w:eastAsia="仿宋_GB2312" w:cs="仿宋_GB2312"/>
          <w:color w:val="auto"/>
          <w:sz w:val="28"/>
          <w:szCs w:val="28"/>
          <w:highlight w:val="none"/>
          <w:lang w:val="en-US" w:eastAsia="zh-CN"/>
        </w:rPr>
        <w:t>C标中标单位委派</w:t>
      </w:r>
      <w:r>
        <w:rPr>
          <w:rFonts w:hint="eastAsia" w:ascii="仿宋_GB2312" w:hAnsi="仿宋_GB2312" w:eastAsia="仿宋_GB2312" w:cs="仿宋_GB2312"/>
          <w:color w:val="auto"/>
          <w:sz w:val="28"/>
          <w:szCs w:val="28"/>
          <w:highlight w:val="none"/>
          <w:lang w:eastAsia="zh-CN"/>
        </w:rPr>
        <w:t>1名律师</w:t>
      </w:r>
      <w:r>
        <w:rPr>
          <w:rFonts w:hint="eastAsia" w:ascii="仿宋_GB2312" w:hAnsi="仿宋_GB2312" w:eastAsia="仿宋_GB2312" w:cs="仿宋_GB2312"/>
          <w:color w:val="auto"/>
          <w:sz w:val="28"/>
          <w:szCs w:val="28"/>
          <w:highlight w:val="none"/>
          <w:lang w:val="en-US" w:eastAsia="zh-CN"/>
        </w:rPr>
        <w:t>和</w:t>
      </w:r>
      <w:r>
        <w:rPr>
          <w:rFonts w:hint="eastAsia" w:ascii="仿宋_GB2312" w:hAnsi="仿宋_GB2312" w:eastAsia="仿宋_GB2312" w:cs="仿宋_GB2312"/>
          <w:color w:val="auto"/>
          <w:sz w:val="28"/>
          <w:szCs w:val="28"/>
          <w:highlight w:val="none"/>
          <w:lang w:eastAsia="zh-CN"/>
        </w:rPr>
        <w:t>1名助理律师（全天驻点）。</w:t>
      </w:r>
    </w:p>
    <w:p>
      <w:pPr>
        <w:keepNext w:val="0"/>
        <w:keepLines w:val="0"/>
        <w:pageBreakBefore w:val="0"/>
        <w:widowControl/>
        <w:kinsoku/>
        <w:wordWrap/>
        <w:overflowPunct/>
        <w:topLinePunct w:val="0"/>
        <w:autoSpaceDE/>
        <w:autoSpaceDN/>
        <w:bidi w:val="0"/>
        <w:spacing w:line="560" w:lineRule="exact"/>
        <w:ind w:firstLine="560" w:firstLineChars="200"/>
        <w:jc w:val="both"/>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3.中</w:t>
      </w:r>
      <w:r>
        <w:rPr>
          <w:rFonts w:hint="eastAsia" w:ascii="仿宋_GB2312" w:hAnsi="仿宋_GB2312" w:eastAsia="仿宋_GB2312" w:cs="仿宋_GB2312"/>
          <w:color w:val="auto"/>
          <w:sz w:val="28"/>
          <w:szCs w:val="28"/>
          <w:highlight w:val="none"/>
        </w:rPr>
        <w:t>标单位派遣的驻点服务人员应接受采购单位的日常工作管理与监督，服从采购单位的工作安排，尽力维护采购单位的合法利益，严格履行岗位职责，并切实遵守采购单位依法制定的各项规章制度。</w:t>
      </w:r>
    </w:p>
    <w:p>
      <w:pPr>
        <w:keepNext w:val="0"/>
        <w:keepLines w:val="0"/>
        <w:pageBreakBefore w:val="0"/>
        <w:widowControl/>
        <w:kinsoku/>
        <w:wordWrap/>
        <w:overflowPunct/>
        <w:topLinePunct w:val="0"/>
        <w:autoSpaceDE/>
        <w:autoSpaceDN/>
        <w:bidi w:val="0"/>
        <w:spacing w:line="560" w:lineRule="exact"/>
        <w:ind w:firstLine="560" w:firstLineChars="200"/>
        <w:jc w:val="both"/>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4.中</w:t>
      </w:r>
      <w:r>
        <w:rPr>
          <w:rFonts w:hint="eastAsia" w:ascii="仿宋_GB2312" w:hAnsi="仿宋_GB2312" w:eastAsia="仿宋_GB2312" w:cs="仿宋_GB2312"/>
          <w:color w:val="auto"/>
          <w:sz w:val="28"/>
          <w:szCs w:val="28"/>
          <w:highlight w:val="none"/>
        </w:rPr>
        <w:t>标单位应加强对服务人员的在岗培训、业务指导，确保提供专业的法律服务。</w:t>
      </w:r>
    </w:p>
    <w:p>
      <w:pPr>
        <w:keepNext w:val="0"/>
        <w:keepLines w:val="0"/>
        <w:pageBreakBefore w:val="0"/>
        <w:widowControl/>
        <w:kinsoku/>
        <w:wordWrap/>
        <w:overflowPunct/>
        <w:topLinePunct w:val="0"/>
        <w:autoSpaceDE/>
        <w:autoSpaceDN/>
        <w:bidi w:val="0"/>
        <w:spacing w:line="560" w:lineRule="exact"/>
        <w:ind w:firstLine="560" w:firstLineChars="200"/>
        <w:jc w:val="both"/>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5.中</w:t>
      </w:r>
      <w:r>
        <w:rPr>
          <w:rFonts w:hint="eastAsia" w:ascii="仿宋_GB2312" w:hAnsi="仿宋_GB2312" w:eastAsia="仿宋_GB2312" w:cs="仿宋_GB2312"/>
          <w:color w:val="auto"/>
          <w:sz w:val="28"/>
          <w:szCs w:val="28"/>
          <w:highlight w:val="none"/>
        </w:rPr>
        <w:t>标单位派遣的服务人员</w:t>
      </w:r>
      <w:r>
        <w:rPr>
          <w:rFonts w:hint="eastAsia" w:ascii="仿宋_GB2312" w:hAnsi="仿宋_GB2312" w:eastAsia="仿宋_GB2312" w:cs="仿宋_GB2312"/>
          <w:color w:val="auto"/>
          <w:sz w:val="28"/>
          <w:szCs w:val="28"/>
          <w:highlight w:val="none"/>
          <w:lang w:val="en-US" w:eastAsia="zh-CN"/>
        </w:rPr>
        <w:t>要求本科及以上学历，</w:t>
      </w:r>
      <w:r>
        <w:rPr>
          <w:rFonts w:hint="eastAsia" w:ascii="仿宋_GB2312" w:hAnsi="仿宋_GB2312" w:eastAsia="仿宋_GB2312" w:cs="仿宋_GB2312"/>
          <w:color w:val="auto"/>
          <w:sz w:val="28"/>
          <w:szCs w:val="28"/>
          <w:highlight w:val="none"/>
        </w:rPr>
        <w:t>取得法律职业资格证书，具备实习律师及以上资质</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无违法犯罪记录，无不良嗜好，具备独立提供法律服务的工作能力。</w:t>
      </w:r>
    </w:p>
    <w:p>
      <w:pPr>
        <w:keepNext w:val="0"/>
        <w:keepLines w:val="0"/>
        <w:pageBreakBefore w:val="0"/>
        <w:widowControl/>
        <w:kinsoku/>
        <w:wordWrap/>
        <w:overflowPunct/>
        <w:topLinePunct w:val="0"/>
        <w:autoSpaceDE/>
        <w:autoSpaceDN/>
        <w:bidi w:val="0"/>
        <w:spacing w:line="560" w:lineRule="exact"/>
        <w:ind w:firstLine="560" w:firstLineChars="200"/>
        <w:jc w:val="both"/>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6.中</w:t>
      </w:r>
      <w:r>
        <w:rPr>
          <w:rFonts w:hint="eastAsia" w:ascii="仿宋_GB2312" w:hAnsi="仿宋_GB2312" w:eastAsia="仿宋_GB2312" w:cs="仿宋_GB2312"/>
          <w:color w:val="auto"/>
          <w:sz w:val="28"/>
          <w:szCs w:val="28"/>
          <w:highlight w:val="none"/>
        </w:rPr>
        <w:t>标单位承诺其服务</w:t>
      </w:r>
      <w:r>
        <w:rPr>
          <w:rFonts w:hint="eastAsia" w:ascii="仿宋_GB2312" w:hAnsi="仿宋_GB2312" w:eastAsia="仿宋_GB2312" w:cs="仿宋_GB2312"/>
          <w:color w:val="auto"/>
          <w:sz w:val="28"/>
          <w:szCs w:val="28"/>
          <w:highlight w:val="none"/>
          <w:lang w:val="en-US" w:eastAsia="zh-CN"/>
        </w:rPr>
        <w:t>人员</w:t>
      </w:r>
      <w:r>
        <w:rPr>
          <w:rFonts w:hint="eastAsia" w:ascii="仿宋_GB2312" w:hAnsi="仿宋_GB2312" w:eastAsia="仿宋_GB2312" w:cs="仿宋_GB2312"/>
          <w:color w:val="auto"/>
          <w:sz w:val="28"/>
          <w:szCs w:val="28"/>
          <w:highlight w:val="none"/>
        </w:rPr>
        <w:t>应严格履行岗位职责要求，并遵守采购单位及所在服务场所依法制定的各项规章制度。对采购单位提出的工作不合格服务人员，应在三个工作日更换合格的人员。对采购单位提出的合理整改意见，投标单位应在三个工作日内书面进行答复并改进。</w:t>
      </w:r>
    </w:p>
    <w:p>
      <w:pPr>
        <w:keepNext w:val="0"/>
        <w:keepLines w:val="0"/>
        <w:pageBreakBefore w:val="0"/>
        <w:widowControl/>
        <w:kinsoku/>
        <w:wordWrap/>
        <w:overflowPunct/>
        <w:topLinePunct w:val="0"/>
        <w:autoSpaceDE/>
        <w:autoSpaceDN/>
        <w:bidi w:val="0"/>
        <w:spacing w:line="560" w:lineRule="exact"/>
        <w:ind w:firstLine="560" w:firstLineChars="200"/>
        <w:jc w:val="both"/>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7.中</w:t>
      </w:r>
      <w:r>
        <w:rPr>
          <w:rFonts w:hint="eastAsia" w:ascii="仿宋_GB2312" w:hAnsi="仿宋_GB2312" w:eastAsia="仿宋_GB2312" w:cs="仿宋_GB2312"/>
          <w:color w:val="auto"/>
          <w:sz w:val="28"/>
          <w:szCs w:val="28"/>
          <w:highlight w:val="none"/>
        </w:rPr>
        <w:t>标单位</w:t>
      </w:r>
      <w:r>
        <w:rPr>
          <w:rFonts w:hint="eastAsia" w:ascii="仿宋_GB2312" w:hAnsi="仿宋_GB2312" w:eastAsia="仿宋_GB2312" w:cs="仿宋_GB2312"/>
          <w:color w:val="auto"/>
          <w:sz w:val="28"/>
          <w:szCs w:val="28"/>
          <w:highlight w:val="none"/>
          <w:lang w:val="en-US" w:eastAsia="zh-CN"/>
        </w:rPr>
        <w:t>委派</w:t>
      </w:r>
      <w:r>
        <w:rPr>
          <w:rFonts w:hint="eastAsia" w:ascii="仿宋_GB2312" w:hAnsi="仿宋_GB2312" w:eastAsia="仿宋_GB2312" w:cs="仿宋_GB2312"/>
          <w:color w:val="auto"/>
          <w:sz w:val="28"/>
          <w:szCs w:val="28"/>
          <w:highlight w:val="none"/>
        </w:rPr>
        <w:t>的服务人员玩忽职守，严重失职或故意实施犯罪行为致使采购单位或第三人遭受的经济损失，</w:t>
      </w:r>
      <w:r>
        <w:rPr>
          <w:rFonts w:hint="eastAsia" w:ascii="仿宋_GB2312" w:hAnsi="仿宋_GB2312" w:eastAsia="仿宋_GB2312" w:cs="仿宋_GB2312"/>
          <w:color w:val="auto"/>
          <w:sz w:val="28"/>
          <w:szCs w:val="28"/>
          <w:highlight w:val="none"/>
          <w:lang w:val="en-US" w:eastAsia="zh-CN"/>
        </w:rPr>
        <w:t>中标</w:t>
      </w:r>
      <w:r>
        <w:rPr>
          <w:rFonts w:hint="eastAsia" w:ascii="仿宋_GB2312" w:hAnsi="仿宋_GB2312" w:eastAsia="仿宋_GB2312" w:cs="仿宋_GB2312"/>
          <w:color w:val="auto"/>
          <w:sz w:val="28"/>
          <w:szCs w:val="28"/>
          <w:highlight w:val="none"/>
        </w:rPr>
        <w:t>单位应协助追回并负连带责任和赔偿责任。</w:t>
      </w:r>
      <w:r>
        <w:rPr>
          <w:rFonts w:hint="eastAsia" w:ascii="仿宋_GB2312" w:hAnsi="仿宋_GB2312" w:eastAsia="仿宋_GB2312" w:cs="仿宋_GB2312"/>
          <w:color w:val="auto"/>
          <w:sz w:val="28"/>
          <w:szCs w:val="28"/>
          <w:highlight w:val="none"/>
          <w:lang w:val="en-US" w:eastAsia="zh-CN"/>
        </w:rPr>
        <w:t>中标</w:t>
      </w:r>
      <w:r>
        <w:rPr>
          <w:rFonts w:hint="eastAsia" w:ascii="仿宋_GB2312" w:hAnsi="仿宋_GB2312" w:eastAsia="仿宋_GB2312" w:cs="仿宋_GB2312"/>
          <w:color w:val="auto"/>
          <w:sz w:val="28"/>
          <w:szCs w:val="28"/>
          <w:highlight w:val="none"/>
        </w:rPr>
        <w:t>单位</w:t>
      </w:r>
      <w:r>
        <w:rPr>
          <w:rFonts w:hint="eastAsia" w:ascii="仿宋_GB2312" w:hAnsi="仿宋_GB2312" w:eastAsia="仿宋_GB2312" w:cs="仿宋_GB2312"/>
          <w:color w:val="auto"/>
          <w:sz w:val="28"/>
          <w:szCs w:val="28"/>
          <w:highlight w:val="none"/>
          <w:lang w:val="en-US" w:eastAsia="zh-CN"/>
        </w:rPr>
        <w:t>委派</w:t>
      </w:r>
      <w:r>
        <w:rPr>
          <w:rFonts w:hint="eastAsia" w:ascii="仿宋_GB2312" w:hAnsi="仿宋_GB2312" w:eastAsia="仿宋_GB2312" w:cs="仿宋_GB2312"/>
          <w:color w:val="auto"/>
          <w:sz w:val="28"/>
          <w:szCs w:val="28"/>
          <w:highlight w:val="none"/>
        </w:rPr>
        <w:t>服务人员有触犯刑法的，</w:t>
      </w:r>
      <w:r>
        <w:rPr>
          <w:rFonts w:hint="eastAsia" w:ascii="仿宋_GB2312" w:hAnsi="仿宋_GB2312" w:eastAsia="仿宋_GB2312" w:cs="仿宋_GB2312"/>
          <w:color w:val="auto"/>
          <w:sz w:val="28"/>
          <w:szCs w:val="28"/>
          <w:highlight w:val="none"/>
          <w:lang w:val="en-US" w:eastAsia="zh-CN"/>
        </w:rPr>
        <w:t>中标</w:t>
      </w:r>
      <w:r>
        <w:rPr>
          <w:rFonts w:hint="eastAsia" w:ascii="仿宋_GB2312" w:hAnsi="仿宋_GB2312" w:eastAsia="仿宋_GB2312" w:cs="仿宋_GB2312"/>
          <w:color w:val="auto"/>
          <w:sz w:val="28"/>
          <w:szCs w:val="28"/>
          <w:highlight w:val="none"/>
        </w:rPr>
        <w:t>单位应积极配合协助司法机关追究其法律责任。</w:t>
      </w:r>
    </w:p>
    <w:p>
      <w:pPr>
        <w:keepNext w:val="0"/>
        <w:keepLines w:val="0"/>
        <w:pageBreakBefore w:val="0"/>
        <w:kinsoku/>
        <w:wordWrap/>
        <w:overflowPunct/>
        <w:topLinePunct w:val="0"/>
        <w:autoSpaceDE/>
        <w:autoSpaceDN/>
        <w:bidi w:val="0"/>
        <w:spacing w:line="560" w:lineRule="exact"/>
        <w:ind w:firstLine="560" w:firstLineChars="200"/>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四</w:t>
      </w:r>
      <w:r>
        <w:rPr>
          <w:rFonts w:hint="eastAsia" w:ascii="仿宋_GB2312" w:hAnsi="仿宋_GB2312" w:eastAsia="仿宋_GB2312" w:cs="仿宋_GB2312"/>
          <w:color w:val="auto"/>
          <w:sz w:val="28"/>
          <w:szCs w:val="28"/>
          <w:highlight w:val="none"/>
        </w:rPr>
        <w:t>、供应商资格要求</w:t>
      </w:r>
    </w:p>
    <w:p>
      <w:pPr>
        <w:keepNext w:val="0"/>
        <w:keepLines w:val="0"/>
        <w:pageBreakBefore w:val="0"/>
        <w:widowControl/>
        <w:kinsoku/>
        <w:wordWrap/>
        <w:overflowPunct/>
        <w:topLinePunct w:val="0"/>
        <w:autoSpaceDE/>
        <w:autoSpaceDN/>
        <w:bidi w:val="0"/>
        <w:spacing w:line="560" w:lineRule="exact"/>
        <w:ind w:firstLine="560" w:firstLineChars="200"/>
        <w:jc w:val="both"/>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w:t>
      </w:r>
      <w:r>
        <w:rPr>
          <w:rFonts w:hint="eastAsia" w:ascii="仿宋_GB2312" w:hAnsi="仿宋_GB2312" w:eastAsia="仿宋_GB2312" w:cs="仿宋_GB2312"/>
          <w:color w:val="auto"/>
          <w:sz w:val="28"/>
          <w:szCs w:val="28"/>
          <w:highlight w:val="none"/>
          <w:lang w:val="en-US" w:eastAsia="zh-CN"/>
        </w:rPr>
        <w:t>.</w:t>
      </w:r>
      <w:r>
        <w:rPr>
          <w:rFonts w:hint="eastAsia" w:ascii="仿宋_GB2312" w:hAnsi="仿宋_GB2312" w:eastAsia="仿宋_GB2312" w:cs="仿宋_GB2312"/>
          <w:color w:val="auto"/>
          <w:sz w:val="28"/>
          <w:szCs w:val="28"/>
          <w:highlight w:val="none"/>
        </w:rPr>
        <w:t>投标</w:t>
      </w:r>
      <w:r>
        <w:rPr>
          <w:rFonts w:hint="eastAsia" w:ascii="仿宋_GB2312" w:hAnsi="仿宋_GB2312" w:eastAsia="仿宋_GB2312" w:cs="仿宋_GB2312"/>
          <w:color w:val="auto"/>
          <w:sz w:val="28"/>
          <w:szCs w:val="28"/>
          <w:highlight w:val="none"/>
          <w:lang w:val="en-US" w:eastAsia="zh-CN"/>
        </w:rPr>
        <w:t>单位</w:t>
      </w:r>
      <w:r>
        <w:rPr>
          <w:rFonts w:hint="eastAsia" w:ascii="仿宋_GB2312" w:hAnsi="仿宋_GB2312" w:eastAsia="仿宋_GB2312" w:cs="仿宋_GB2312"/>
          <w:color w:val="auto"/>
          <w:sz w:val="28"/>
          <w:szCs w:val="28"/>
          <w:highlight w:val="none"/>
        </w:rPr>
        <w:t>须为在中华人民共和国境内、取得司法部门执业许可的律师事务所（提供执业许可证明）；</w:t>
      </w:r>
    </w:p>
    <w:p>
      <w:pPr>
        <w:keepNext w:val="0"/>
        <w:keepLines w:val="0"/>
        <w:pageBreakBefore w:val="0"/>
        <w:widowControl/>
        <w:kinsoku/>
        <w:wordWrap/>
        <w:overflowPunct/>
        <w:topLinePunct w:val="0"/>
        <w:autoSpaceDE/>
        <w:autoSpaceDN/>
        <w:bidi w:val="0"/>
        <w:spacing w:line="560" w:lineRule="exact"/>
        <w:ind w:firstLine="560" w:firstLineChars="200"/>
        <w:jc w:val="both"/>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w:t>
      </w:r>
      <w:r>
        <w:rPr>
          <w:rFonts w:hint="eastAsia" w:ascii="仿宋_GB2312" w:hAnsi="仿宋_GB2312" w:eastAsia="仿宋_GB2312" w:cs="仿宋_GB2312"/>
          <w:color w:val="auto"/>
          <w:sz w:val="28"/>
          <w:szCs w:val="28"/>
          <w:highlight w:val="none"/>
          <w:lang w:val="en-US" w:eastAsia="zh-CN"/>
        </w:rPr>
        <w:t>.</w:t>
      </w:r>
      <w:r>
        <w:rPr>
          <w:rFonts w:hint="eastAsia" w:ascii="仿宋_GB2312" w:hAnsi="仿宋_GB2312" w:eastAsia="仿宋_GB2312" w:cs="仿宋_GB2312"/>
          <w:color w:val="auto"/>
          <w:sz w:val="28"/>
          <w:szCs w:val="28"/>
          <w:highlight w:val="none"/>
        </w:rPr>
        <w:t>投标</w:t>
      </w:r>
      <w:r>
        <w:rPr>
          <w:rFonts w:hint="eastAsia" w:ascii="仿宋_GB2312" w:hAnsi="仿宋_GB2312" w:eastAsia="仿宋_GB2312" w:cs="仿宋_GB2312"/>
          <w:color w:val="auto"/>
          <w:sz w:val="28"/>
          <w:szCs w:val="28"/>
          <w:highlight w:val="none"/>
          <w:lang w:val="en-US" w:eastAsia="zh-CN"/>
        </w:rPr>
        <w:t>单位</w:t>
      </w:r>
      <w:r>
        <w:rPr>
          <w:rFonts w:hint="eastAsia" w:ascii="仿宋_GB2312" w:hAnsi="仿宋_GB2312" w:eastAsia="仿宋_GB2312" w:cs="仿宋_GB2312"/>
          <w:color w:val="auto"/>
          <w:sz w:val="28"/>
          <w:szCs w:val="28"/>
          <w:highlight w:val="none"/>
        </w:rPr>
        <w:t>应具备《政府采购法》第二十二条规定的条件；</w:t>
      </w:r>
    </w:p>
    <w:p>
      <w:pPr>
        <w:keepNext w:val="0"/>
        <w:keepLines w:val="0"/>
        <w:pageBreakBefore w:val="0"/>
        <w:kinsoku/>
        <w:wordWrap/>
        <w:overflowPunct/>
        <w:topLinePunct w:val="0"/>
        <w:autoSpaceDE/>
        <w:autoSpaceDN/>
        <w:bidi w:val="0"/>
        <w:spacing w:line="560" w:lineRule="exact"/>
        <w:ind w:firstLine="560" w:firstLineChars="200"/>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五</w:t>
      </w:r>
      <w:r>
        <w:rPr>
          <w:rFonts w:hint="eastAsia" w:ascii="仿宋_GB2312" w:hAnsi="仿宋_GB2312" w:eastAsia="仿宋_GB2312" w:cs="仿宋_GB2312"/>
          <w:color w:val="auto"/>
          <w:sz w:val="28"/>
          <w:szCs w:val="28"/>
          <w:highlight w:val="none"/>
        </w:rPr>
        <w:t>、评标定标方法</w:t>
      </w:r>
    </w:p>
    <w:p>
      <w:pPr>
        <w:keepNext w:val="0"/>
        <w:keepLines w:val="0"/>
        <w:pageBreakBefore w:val="0"/>
        <w:widowControl/>
        <w:kinsoku/>
        <w:wordWrap/>
        <w:overflowPunct/>
        <w:topLinePunct w:val="0"/>
        <w:autoSpaceDE/>
        <w:autoSpaceDN/>
        <w:bidi w:val="0"/>
        <w:spacing w:line="560" w:lineRule="exact"/>
        <w:ind w:firstLine="560" w:firstLineChars="200"/>
        <w:jc w:val="both"/>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本项目采用综合评分法，即投标文件满足采购需求文件全部实质性要求，且按照评审因素的量化指标评审得分最高的</w:t>
      </w:r>
      <w:r>
        <w:rPr>
          <w:rFonts w:hint="eastAsia" w:ascii="仿宋_GB2312" w:hAnsi="仿宋_GB2312" w:eastAsia="仿宋_GB2312" w:cs="仿宋_GB2312"/>
          <w:color w:val="auto"/>
          <w:sz w:val="28"/>
          <w:szCs w:val="28"/>
          <w:highlight w:val="none"/>
          <w:lang w:eastAsia="zh-CN"/>
        </w:rPr>
        <w:t>投标单位</w:t>
      </w:r>
      <w:r>
        <w:rPr>
          <w:rFonts w:hint="eastAsia" w:ascii="仿宋_GB2312" w:hAnsi="仿宋_GB2312" w:eastAsia="仿宋_GB2312" w:cs="仿宋_GB2312"/>
          <w:color w:val="auto"/>
          <w:sz w:val="28"/>
          <w:szCs w:val="28"/>
          <w:highlight w:val="none"/>
        </w:rPr>
        <w:t>为中标</w:t>
      </w:r>
      <w:r>
        <w:rPr>
          <w:rFonts w:hint="eastAsia" w:ascii="仿宋_GB2312" w:hAnsi="仿宋_GB2312" w:eastAsia="仿宋_GB2312" w:cs="仿宋_GB2312"/>
          <w:color w:val="auto"/>
          <w:sz w:val="28"/>
          <w:szCs w:val="28"/>
          <w:highlight w:val="none"/>
          <w:lang w:val="en-US" w:eastAsia="zh-CN"/>
        </w:rPr>
        <w:t>单位</w:t>
      </w:r>
      <w:r>
        <w:rPr>
          <w:rFonts w:hint="eastAsia" w:ascii="仿宋_GB2312" w:hAnsi="仿宋_GB2312" w:eastAsia="仿宋_GB2312" w:cs="仿宋_GB2312"/>
          <w:color w:val="auto"/>
          <w:sz w:val="28"/>
          <w:szCs w:val="28"/>
          <w:highlight w:val="none"/>
        </w:rPr>
        <w:t>的评标方法。</w:t>
      </w:r>
    </w:p>
    <w:p>
      <w:pPr>
        <w:keepNext w:val="0"/>
        <w:keepLines w:val="0"/>
        <w:pageBreakBefore w:val="0"/>
        <w:widowControl/>
        <w:kinsoku/>
        <w:wordWrap/>
        <w:overflowPunct/>
        <w:topLinePunct w:val="0"/>
        <w:autoSpaceDE/>
        <w:autoSpaceDN/>
        <w:bidi w:val="0"/>
        <w:spacing w:line="560" w:lineRule="exact"/>
        <w:ind w:firstLine="560" w:firstLineChars="200"/>
        <w:jc w:val="both"/>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确定中标单位按评审后得分由高到低顺序排列。得分相同的，按投标报价由低到高顺序排列。得分且投标报价相同的，按技术指标优劣顺序排列。</w:t>
      </w:r>
    </w:p>
    <w:p>
      <w:pPr>
        <w:keepNext w:val="0"/>
        <w:keepLines w:val="0"/>
        <w:pageBreakBefore w:val="0"/>
        <w:widowControl/>
        <w:kinsoku/>
        <w:wordWrap/>
        <w:overflowPunct/>
        <w:topLinePunct w:val="0"/>
        <w:autoSpaceDE/>
        <w:autoSpaceDN/>
        <w:bidi w:val="0"/>
        <w:spacing w:line="560" w:lineRule="exact"/>
        <w:ind w:firstLine="560" w:firstLineChars="200"/>
        <w:jc w:val="both"/>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采购小组会对每个通过资格性检查和符合性检查且报价不超过预算金额或投标控制价的投标单位进行评审、打分，然后汇总每个投标单位每项评分因素的评分。</w:t>
      </w:r>
    </w:p>
    <w:p>
      <w:pPr>
        <w:keepNext w:val="0"/>
        <w:keepLines w:val="0"/>
        <w:pageBreakBefore w:val="0"/>
        <w:widowControl/>
        <w:kinsoku/>
        <w:wordWrap/>
        <w:overflowPunct/>
        <w:topLinePunct w:val="0"/>
        <w:autoSpaceDE/>
        <w:autoSpaceDN/>
        <w:bidi w:val="0"/>
        <w:spacing w:line="560" w:lineRule="exact"/>
        <w:ind w:firstLine="560" w:firstLineChars="200"/>
        <w:jc w:val="both"/>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采购小组在评标时，按照以下量化的评审因素，对进入该阶段评审的各投标文件进行分析和比较：</w:t>
      </w:r>
    </w:p>
    <w:tbl>
      <w:tblPr>
        <w:tblStyle w:val="17"/>
        <w:tblW w:w="89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1118"/>
        <w:gridCol w:w="641"/>
        <w:gridCol w:w="1064"/>
        <w:gridCol w:w="4708"/>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3460" w:type="dxa"/>
            <w:gridSpan w:val="4"/>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Cs w:val="21"/>
                <w:highlight w:val="none"/>
              </w:rPr>
            </w:pPr>
            <w:r>
              <w:rPr>
                <w:rFonts w:hint="eastAsia" w:ascii="仿宋_GB2312" w:hAnsi="仿宋_GB2312" w:eastAsia="仿宋_GB2312" w:cs="仿宋_GB2312"/>
                <w:b w:val="0"/>
                <w:bCs w:val="0"/>
                <w:color w:val="auto"/>
                <w:szCs w:val="21"/>
                <w:highlight w:val="none"/>
              </w:rPr>
              <w:t>评分项</w:t>
            </w:r>
          </w:p>
        </w:tc>
        <w:tc>
          <w:tcPr>
            <w:tcW w:w="4708"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Cs w:val="21"/>
                <w:highlight w:val="none"/>
              </w:rPr>
            </w:pPr>
            <w:r>
              <w:rPr>
                <w:rFonts w:hint="eastAsia" w:ascii="仿宋_GB2312" w:hAnsi="仿宋_GB2312" w:eastAsia="仿宋_GB2312" w:cs="仿宋_GB2312"/>
                <w:b w:val="0"/>
                <w:bCs w:val="0"/>
                <w:color w:val="auto"/>
                <w:szCs w:val="21"/>
                <w:highlight w:val="none"/>
              </w:rPr>
              <w:t>权重</w:t>
            </w:r>
          </w:p>
        </w:tc>
        <w:tc>
          <w:tcPr>
            <w:tcW w:w="801"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Cs w:val="21"/>
                <w:highlight w:val="none"/>
              </w:rPr>
            </w:pPr>
            <w:r>
              <w:rPr>
                <w:rFonts w:hint="eastAsia" w:ascii="仿宋_GB2312" w:hAnsi="仿宋_GB2312" w:eastAsia="仿宋_GB2312" w:cs="仿宋_GB2312"/>
                <w:b w:val="0"/>
                <w:bCs w:val="0"/>
                <w:color w:val="auto"/>
                <w:szCs w:val="21"/>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3460" w:type="dxa"/>
            <w:gridSpan w:val="4"/>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Cs w:val="21"/>
                <w:highlight w:val="none"/>
              </w:rPr>
            </w:pPr>
            <w:r>
              <w:rPr>
                <w:rFonts w:hint="eastAsia" w:ascii="仿宋_GB2312" w:hAnsi="仿宋_GB2312" w:eastAsia="仿宋_GB2312" w:cs="仿宋_GB2312"/>
                <w:b w:val="0"/>
                <w:bCs w:val="0"/>
                <w:color w:val="auto"/>
                <w:szCs w:val="21"/>
                <w:highlight w:val="none"/>
              </w:rPr>
              <w:t>价格指标</w:t>
            </w:r>
          </w:p>
        </w:tc>
        <w:tc>
          <w:tcPr>
            <w:tcW w:w="4708"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Cs w:val="21"/>
                <w:highlight w:val="none"/>
                <w:lang w:val="en-US" w:eastAsia="zh-CN"/>
              </w:rPr>
            </w:pPr>
            <w:r>
              <w:rPr>
                <w:rFonts w:hint="eastAsia" w:ascii="仿宋_GB2312" w:hAnsi="仿宋_GB2312" w:eastAsia="仿宋_GB2312" w:cs="仿宋_GB2312"/>
                <w:b w:val="0"/>
                <w:bCs w:val="0"/>
                <w:color w:val="auto"/>
                <w:szCs w:val="21"/>
                <w:highlight w:val="none"/>
                <w:lang w:val="en-US" w:eastAsia="zh-CN"/>
              </w:rPr>
              <w:t>20</w:t>
            </w:r>
          </w:p>
        </w:tc>
        <w:tc>
          <w:tcPr>
            <w:tcW w:w="801"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637"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Cs w:val="21"/>
                <w:highlight w:val="none"/>
              </w:rPr>
            </w:pPr>
            <w:r>
              <w:rPr>
                <w:rFonts w:hint="eastAsia" w:ascii="仿宋_GB2312" w:hAnsi="仿宋_GB2312" w:eastAsia="仿宋_GB2312" w:cs="仿宋_GB2312"/>
                <w:b w:val="0"/>
                <w:bCs w:val="0"/>
                <w:color w:val="auto"/>
                <w:szCs w:val="21"/>
                <w:highlight w:val="none"/>
              </w:rPr>
              <w:t>序号</w:t>
            </w:r>
          </w:p>
        </w:tc>
        <w:tc>
          <w:tcPr>
            <w:tcW w:w="1118"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Cs w:val="21"/>
                <w:highlight w:val="none"/>
              </w:rPr>
            </w:pPr>
            <w:r>
              <w:rPr>
                <w:rFonts w:hint="eastAsia" w:ascii="仿宋_GB2312" w:hAnsi="仿宋_GB2312" w:eastAsia="仿宋_GB2312" w:cs="仿宋_GB2312"/>
                <w:b w:val="0"/>
                <w:bCs w:val="0"/>
                <w:color w:val="auto"/>
                <w:szCs w:val="21"/>
                <w:highlight w:val="none"/>
              </w:rPr>
              <w:t>评分因素</w:t>
            </w:r>
          </w:p>
        </w:tc>
        <w:tc>
          <w:tcPr>
            <w:tcW w:w="641"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Cs w:val="21"/>
                <w:highlight w:val="none"/>
              </w:rPr>
            </w:pPr>
            <w:r>
              <w:rPr>
                <w:rFonts w:hint="eastAsia" w:ascii="仿宋_GB2312" w:hAnsi="仿宋_GB2312" w:eastAsia="仿宋_GB2312" w:cs="仿宋_GB2312"/>
                <w:b w:val="0"/>
                <w:bCs w:val="0"/>
                <w:color w:val="auto"/>
                <w:szCs w:val="21"/>
                <w:highlight w:val="none"/>
              </w:rPr>
              <w:t>权重</w:t>
            </w:r>
          </w:p>
        </w:tc>
        <w:tc>
          <w:tcPr>
            <w:tcW w:w="1064"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Cs w:val="21"/>
                <w:highlight w:val="none"/>
              </w:rPr>
            </w:pPr>
            <w:r>
              <w:rPr>
                <w:rFonts w:hint="eastAsia" w:ascii="仿宋_GB2312" w:hAnsi="仿宋_GB2312" w:eastAsia="仿宋_GB2312" w:cs="仿宋_GB2312"/>
                <w:b w:val="0"/>
                <w:bCs w:val="0"/>
                <w:color w:val="auto"/>
                <w:szCs w:val="21"/>
                <w:highlight w:val="none"/>
              </w:rPr>
              <w:t>评分方式</w:t>
            </w:r>
          </w:p>
        </w:tc>
        <w:tc>
          <w:tcPr>
            <w:tcW w:w="4708"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Cs w:val="21"/>
                <w:highlight w:val="none"/>
              </w:rPr>
            </w:pPr>
            <w:r>
              <w:rPr>
                <w:rFonts w:hint="eastAsia" w:ascii="仿宋_GB2312" w:hAnsi="仿宋_GB2312" w:eastAsia="仿宋_GB2312" w:cs="仿宋_GB2312"/>
                <w:b w:val="0"/>
                <w:bCs w:val="0"/>
                <w:color w:val="auto"/>
                <w:szCs w:val="21"/>
                <w:highlight w:val="none"/>
              </w:rPr>
              <w:t>评分准则</w:t>
            </w:r>
          </w:p>
        </w:tc>
        <w:tc>
          <w:tcPr>
            <w:tcW w:w="801"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637"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Cs w:val="21"/>
                <w:highlight w:val="none"/>
              </w:rPr>
            </w:pPr>
            <w:r>
              <w:rPr>
                <w:rFonts w:hint="eastAsia" w:ascii="仿宋_GB2312" w:hAnsi="仿宋_GB2312" w:eastAsia="仿宋_GB2312" w:cs="仿宋_GB2312"/>
                <w:b w:val="0"/>
                <w:bCs w:val="0"/>
                <w:color w:val="auto"/>
                <w:szCs w:val="21"/>
                <w:highlight w:val="none"/>
              </w:rPr>
              <w:t>1</w:t>
            </w:r>
          </w:p>
        </w:tc>
        <w:tc>
          <w:tcPr>
            <w:tcW w:w="1118"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Cs w:val="21"/>
                <w:highlight w:val="none"/>
              </w:rPr>
            </w:pPr>
            <w:r>
              <w:rPr>
                <w:rFonts w:hint="eastAsia" w:ascii="仿宋_GB2312" w:hAnsi="仿宋_GB2312" w:eastAsia="仿宋_GB2312" w:cs="仿宋_GB2312"/>
                <w:b w:val="0"/>
                <w:bCs w:val="0"/>
                <w:color w:val="auto"/>
                <w:szCs w:val="21"/>
                <w:highlight w:val="none"/>
              </w:rPr>
              <w:t>价格高低</w:t>
            </w:r>
          </w:p>
        </w:tc>
        <w:tc>
          <w:tcPr>
            <w:tcW w:w="641"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Cs w:val="21"/>
                <w:highlight w:val="none"/>
                <w:lang w:val="en-US" w:eastAsia="zh-CN"/>
              </w:rPr>
            </w:pPr>
            <w:r>
              <w:rPr>
                <w:rFonts w:hint="eastAsia" w:ascii="仿宋_GB2312" w:hAnsi="仿宋_GB2312" w:eastAsia="仿宋_GB2312" w:cs="仿宋_GB2312"/>
                <w:b w:val="0"/>
                <w:bCs w:val="0"/>
                <w:color w:val="auto"/>
                <w:szCs w:val="21"/>
                <w:highlight w:val="none"/>
                <w:lang w:val="en-US" w:eastAsia="zh-CN"/>
              </w:rPr>
              <w:t>20</w:t>
            </w:r>
          </w:p>
        </w:tc>
        <w:tc>
          <w:tcPr>
            <w:tcW w:w="1064"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Cs w:val="21"/>
                <w:highlight w:val="none"/>
              </w:rPr>
            </w:pPr>
            <w:r>
              <w:rPr>
                <w:rFonts w:hint="eastAsia" w:ascii="仿宋_GB2312" w:hAnsi="仿宋_GB2312" w:eastAsia="仿宋_GB2312" w:cs="仿宋_GB2312"/>
                <w:b w:val="0"/>
                <w:bCs w:val="0"/>
                <w:color w:val="auto"/>
                <w:szCs w:val="21"/>
                <w:highlight w:val="none"/>
              </w:rPr>
              <w:t>采购小组打分</w:t>
            </w:r>
          </w:p>
        </w:tc>
        <w:tc>
          <w:tcPr>
            <w:tcW w:w="4708"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Cs w:val="21"/>
                <w:highlight w:val="none"/>
              </w:rPr>
            </w:pPr>
            <w:r>
              <w:rPr>
                <w:rFonts w:hint="eastAsia" w:ascii="仿宋_GB2312" w:hAnsi="仿宋_GB2312" w:eastAsia="仿宋_GB2312" w:cs="仿宋_GB2312"/>
                <w:b w:val="0"/>
                <w:bCs w:val="0"/>
                <w:color w:val="auto"/>
                <w:szCs w:val="21"/>
                <w:highlight w:val="none"/>
              </w:rPr>
              <w:t>满足采购需求</w:t>
            </w:r>
            <w:r>
              <w:rPr>
                <w:rFonts w:hint="eastAsia" w:ascii="仿宋_GB2312" w:hAnsi="仿宋_GB2312" w:eastAsia="仿宋_GB2312" w:cs="仿宋_GB2312"/>
                <w:b w:val="0"/>
                <w:bCs w:val="0"/>
                <w:color w:val="auto"/>
                <w:szCs w:val="21"/>
                <w:highlight w:val="none"/>
                <w:lang w:val="en-US" w:eastAsia="zh-CN"/>
              </w:rPr>
              <w:t>中供应商资格</w:t>
            </w:r>
            <w:r>
              <w:rPr>
                <w:rFonts w:hint="eastAsia" w:ascii="仿宋_GB2312" w:hAnsi="仿宋_GB2312" w:eastAsia="仿宋_GB2312" w:cs="仿宋_GB2312"/>
                <w:b w:val="0"/>
                <w:bCs w:val="0"/>
                <w:color w:val="auto"/>
                <w:szCs w:val="21"/>
                <w:highlight w:val="none"/>
              </w:rPr>
              <w:t>要求</w:t>
            </w:r>
            <w:r>
              <w:rPr>
                <w:rFonts w:hint="eastAsia" w:ascii="仿宋_GB2312" w:hAnsi="仿宋_GB2312" w:eastAsia="仿宋_GB2312" w:cs="仿宋_GB2312"/>
                <w:b w:val="0"/>
                <w:bCs w:val="0"/>
                <w:color w:val="auto"/>
                <w:szCs w:val="21"/>
                <w:highlight w:val="none"/>
                <w:lang w:eastAsia="zh-CN"/>
              </w:rPr>
              <w:t>，</w:t>
            </w:r>
            <w:r>
              <w:rPr>
                <w:rFonts w:hint="eastAsia" w:ascii="仿宋_GB2312" w:hAnsi="仿宋_GB2312" w:eastAsia="仿宋_GB2312" w:cs="仿宋_GB2312"/>
                <w:b w:val="0"/>
                <w:bCs w:val="0"/>
                <w:color w:val="auto"/>
                <w:szCs w:val="21"/>
                <w:highlight w:val="none"/>
              </w:rPr>
              <w:t>且投标价格最低的投标报价为评标基准价，其价格分为满分；其它</w:t>
            </w:r>
            <w:r>
              <w:rPr>
                <w:rFonts w:hint="eastAsia" w:ascii="仿宋_GB2312" w:hAnsi="仿宋_GB2312" w:eastAsia="仿宋_GB2312" w:cs="仿宋_GB2312"/>
                <w:b w:val="0"/>
                <w:bCs w:val="0"/>
                <w:color w:val="auto"/>
                <w:szCs w:val="21"/>
                <w:highlight w:val="none"/>
                <w:lang w:eastAsia="zh-CN"/>
              </w:rPr>
              <w:t>投标单位</w:t>
            </w:r>
            <w:r>
              <w:rPr>
                <w:rFonts w:hint="eastAsia" w:ascii="仿宋_GB2312" w:hAnsi="仿宋_GB2312" w:eastAsia="仿宋_GB2312" w:cs="仿宋_GB2312"/>
                <w:b w:val="0"/>
                <w:bCs w:val="0"/>
                <w:color w:val="auto"/>
                <w:szCs w:val="21"/>
                <w:highlight w:val="none"/>
              </w:rPr>
              <w:t>的价格分统一按照下列公</w:t>
            </w:r>
            <w:r>
              <w:rPr>
                <w:rFonts w:hint="eastAsia" w:ascii="仿宋_GB2312" w:hAnsi="仿宋_GB2312" w:eastAsia="仿宋_GB2312" w:cs="仿宋_GB2312"/>
                <w:b w:val="0"/>
                <w:bCs w:val="0"/>
                <w:color w:val="auto"/>
                <w:szCs w:val="21"/>
                <w:highlight w:val="none"/>
                <w:lang w:val="en-US" w:eastAsia="zh-CN"/>
              </w:rPr>
              <w:t>式</w:t>
            </w:r>
            <w:r>
              <w:rPr>
                <w:rFonts w:hint="eastAsia" w:ascii="仿宋_GB2312" w:hAnsi="仿宋_GB2312" w:eastAsia="仿宋_GB2312" w:cs="仿宋_GB2312"/>
                <w:b w:val="0"/>
                <w:bCs w:val="0"/>
                <w:color w:val="auto"/>
                <w:szCs w:val="21"/>
                <w:highlight w:val="none"/>
              </w:rPr>
              <w:t>计算：</w:t>
            </w:r>
            <w:r>
              <w:rPr>
                <w:rFonts w:hint="eastAsia" w:ascii="仿宋_GB2312" w:hAnsi="仿宋_GB2312" w:eastAsia="仿宋_GB2312" w:cs="仿宋_GB2312"/>
                <w:b w:val="0"/>
                <w:bCs w:val="0"/>
                <w:color w:val="auto"/>
                <w:szCs w:val="21"/>
                <w:highlight w:val="none"/>
              </w:rPr>
              <w:br w:type="textWrapping"/>
            </w:r>
            <w:r>
              <w:rPr>
                <w:rFonts w:hint="eastAsia" w:ascii="仿宋_GB2312" w:hAnsi="仿宋_GB2312" w:eastAsia="仿宋_GB2312" w:cs="仿宋_GB2312"/>
                <w:b w:val="0"/>
                <w:bCs w:val="0"/>
                <w:color w:val="auto"/>
                <w:szCs w:val="21"/>
                <w:highlight w:val="none"/>
              </w:rPr>
              <w:t>投标报价得分=（评标基准价/投标报价）×价格权值×100。</w:t>
            </w:r>
          </w:p>
        </w:tc>
        <w:tc>
          <w:tcPr>
            <w:tcW w:w="801"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60" w:type="dxa"/>
            <w:gridSpan w:val="4"/>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Cs w:val="21"/>
                <w:highlight w:val="none"/>
              </w:rPr>
            </w:pPr>
            <w:r>
              <w:rPr>
                <w:rFonts w:hint="eastAsia" w:ascii="仿宋_GB2312" w:hAnsi="仿宋_GB2312" w:eastAsia="仿宋_GB2312" w:cs="仿宋_GB2312"/>
                <w:b w:val="0"/>
                <w:bCs w:val="0"/>
                <w:color w:val="auto"/>
                <w:szCs w:val="21"/>
                <w:highlight w:val="none"/>
              </w:rPr>
              <w:t>技术指标</w:t>
            </w:r>
          </w:p>
        </w:tc>
        <w:tc>
          <w:tcPr>
            <w:tcW w:w="4708"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Cs w:val="21"/>
                <w:highlight w:val="none"/>
                <w:lang w:val="en-US" w:eastAsia="zh-CN"/>
              </w:rPr>
            </w:pPr>
            <w:r>
              <w:rPr>
                <w:rFonts w:hint="eastAsia" w:ascii="仿宋_GB2312" w:hAnsi="仿宋_GB2312" w:eastAsia="仿宋_GB2312" w:cs="仿宋_GB2312"/>
                <w:b w:val="0"/>
                <w:bCs w:val="0"/>
                <w:color w:val="auto"/>
                <w:szCs w:val="21"/>
                <w:highlight w:val="none"/>
                <w:lang w:val="en-US" w:eastAsia="zh-CN"/>
              </w:rPr>
              <w:t>50</w:t>
            </w:r>
          </w:p>
        </w:tc>
        <w:tc>
          <w:tcPr>
            <w:tcW w:w="801"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7"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Cs w:val="21"/>
                <w:highlight w:val="none"/>
              </w:rPr>
            </w:pPr>
            <w:r>
              <w:rPr>
                <w:rFonts w:hint="eastAsia" w:ascii="仿宋_GB2312" w:hAnsi="仿宋_GB2312" w:eastAsia="仿宋_GB2312" w:cs="仿宋_GB2312"/>
                <w:b w:val="0"/>
                <w:bCs w:val="0"/>
                <w:color w:val="auto"/>
                <w:szCs w:val="21"/>
                <w:highlight w:val="none"/>
              </w:rPr>
              <w:t>序号</w:t>
            </w:r>
          </w:p>
        </w:tc>
        <w:tc>
          <w:tcPr>
            <w:tcW w:w="1118"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Cs w:val="21"/>
                <w:highlight w:val="none"/>
              </w:rPr>
            </w:pPr>
            <w:r>
              <w:rPr>
                <w:rFonts w:hint="eastAsia" w:ascii="仿宋_GB2312" w:hAnsi="仿宋_GB2312" w:eastAsia="仿宋_GB2312" w:cs="仿宋_GB2312"/>
                <w:b w:val="0"/>
                <w:bCs w:val="0"/>
                <w:color w:val="auto"/>
                <w:szCs w:val="21"/>
                <w:highlight w:val="none"/>
              </w:rPr>
              <w:t>评分因素</w:t>
            </w:r>
          </w:p>
        </w:tc>
        <w:tc>
          <w:tcPr>
            <w:tcW w:w="641"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Cs w:val="21"/>
                <w:highlight w:val="none"/>
              </w:rPr>
            </w:pPr>
            <w:r>
              <w:rPr>
                <w:rFonts w:hint="eastAsia" w:ascii="仿宋_GB2312" w:hAnsi="仿宋_GB2312" w:eastAsia="仿宋_GB2312" w:cs="仿宋_GB2312"/>
                <w:b w:val="0"/>
                <w:bCs w:val="0"/>
                <w:color w:val="auto"/>
                <w:szCs w:val="21"/>
                <w:highlight w:val="none"/>
              </w:rPr>
              <w:t>权重</w:t>
            </w:r>
          </w:p>
        </w:tc>
        <w:tc>
          <w:tcPr>
            <w:tcW w:w="1064"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Cs w:val="21"/>
                <w:highlight w:val="none"/>
              </w:rPr>
            </w:pPr>
            <w:r>
              <w:rPr>
                <w:rFonts w:hint="eastAsia" w:ascii="仿宋_GB2312" w:hAnsi="仿宋_GB2312" w:eastAsia="仿宋_GB2312" w:cs="仿宋_GB2312"/>
                <w:b w:val="0"/>
                <w:bCs w:val="0"/>
                <w:color w:val="auto"/>
                <w:szCs w:val="21"/>
                <w:highlight w:val="none"/>
              </w:rPr>
              <w:t>评分方式</w:t>
            </w:r>
          </w:p>
        </w:tc>
        <w:tc>
          <w:tcPr>
            <w:tcW w:w="4708"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Cs w:val="21"/>
                <w:highlight w:val="none"/>
              </w:rPr>
            </w:pPr>
            <w:r>
              <w:rPr>
                <w:rFonts w:hint="eastAsia" w:ascii="仿宋_GB2312" w:hAnsi="仿宋_GB2312" w:eastAsia="仿宋_GB2312" w:cs="仿宋_GB2312"/>
                <w:b w:val="0"/>
                <w:bCs w:val="0"/>
                <w:color w:val="auto"/>
                <w:szCs w:val="21"/>
                <w:highlight w:val="none"/>
              </w:rPr>
              <w:t>评分准则</w:t>
            </w:r>
          </w:p>
        </w:tc>
        <w:tc>
          <w:tcPr>
            <w:tcW w:w="801"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7"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Cs w:val="21"/>
                <w:highlight w:val="none"/>
                <w:lang w:eastAsia="zh-CN"/>
              </w:rPr>
            </w:pPr>
            <w:r>
              <w:rPr>
                <w:rFonts w:hint="eastAsia" w:ascii="仿宋_GB2312" w:hAnsi="仿宋_GB2312" w:eastAsia="仿宋_GB2312" w:cs="仿宋_GB2312"/>
                <w:b w:val="0"/>
                <w:bCs w:val="0"/>
                <w:color w:val="auto"/>
                <w:szCs w:val="21"/>
                <w:highlight w:val="none"/>
                <w:lang w:val="en-US" w:eastAsia="zh-CN"/>
              </w:rPr>
              <w:t>2</w:t>
            </w:r>
          </w:p>
        </w:tc>
        <w:tc>
          <w:tcPr>
            <w:tcW w:w="1118" w:type="dxa"/>
            <w:vAlign w:val="center"/>
          </w:tcPr>
          <w:p>
            <w:pPr>
              <w:keepNext w:val="0"/>
              <w:keepLines w:val="0"/>
              <w:pageBreakBefore w:val="0"/>
              <w:widowControl/>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kern w:val="0"/>
                <w:szCs w:val="21"/>
                <w:highlight w:val="none"/>
              </w:rPr>
            </w:pPr>
            <w:r>
              <w:rPr>
                <w:rFonts w:hint="eastAsia" w:ascii="仿宋_GB2312" w:hAnsi="仿宋_GB2312" w:eastAsia="仿宋_GB2312" w:cs="仿宋_GB2312"/>
                <w:b w:val="0"/>
                <w:bCs w:val="0"/>
                <w:color w:val="auto"/>
                <w:kern w:val="0"/>
                <w:szCs w:val="21"/>
                <w:highlight w:val="none"/>
                <w:lang w:val="en-US" w:eastAsia="zh-CN"/>
              </w:rPr>
              <w:t>实施</w:t>
            </w:r>
            <w:r>
              <w:rPr>
                <w:rFonts w:hint="eastAsia" w:ascii="仿宋_GB2312" w:hAnsi="仿宋_GB2312" w:eastAsia="仿宋_GB2312" w:cs="仿宋_GB2312"/>
                <w:b w:val="0"/>
                <w:bCs w:val="0"/>
                <w:color w:val="auto"/>
                <w:kern w:val="0"/>
                <w:szCs w:val="21"/>
                <w:highlight w:val="none"/>
              </w:rPr>
              <w:t>方案</w:t>
            </w:r>
          </w:p>
        </w:tc>
        <w:tc>
          <w:tcPr>
            <w:tcW w:w="641"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Cs w:val="21"/>
                <w:highlight w:val="none"/>
                <w:lang w:val="en-US"/>
              </w:rPr>
            </w:pPr>
            <w:r>
              <w:rPr>
                <w:rFonts w:hint="eastAsia" w:ascii="仿宋_GB2312" w:hAnsi="仿宋_GB2312" w:eastAsia="仿宋_GB2312" w:cs="仿宋_GB2312"/>
                <w:b w:val="0"/>
                <w:bCs w:val="0"/>
                <w:color w:val="auto"/>
                <w:szCs w:val="21"/>
                <w:highlight w:val="none"/>
                <w:lang w:val="en-US" w:eastAsia="zh-CN"/>
              </w:rPr>
              <w:t>20</w:t>
            </w:r>
          </w:p>
        </w:tc>
        <w:tc>
          <w:tcPr>
            <w:tcW w:w="1064"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Cs w:val="21"/>
                <w:highlight w:val="none"/>
              </w:rPr>
            </w:pPr>
            <w:r>
              <w:rPr>
                <w:rFonts w:hint="eastAsia" w:ascii="仿宋_GB2312" w:hAnsi="仿宋_GB2312" w:eastAsia="仿宋_GB2312" w:cs="仿宋_GB2312"/>
                <w:b w:val="0"/>
                <w:bCs w:val="0"/>
                <w:color w:val="auto"/>
                <w:szCs w:val="21"/>
                <w:highlight w:val="none"/>
              </w:rPr>
              <w:t>采购小组打分</w:t>
            </w:r>
          </w:p>
        </w:tc>
        <w:tc>
          <w:tcPr>
            <w:tcW w:w="4708" w:type="dxa"/>
          </w:tcPr>
          <w:p>
            <w:pPr>
              <w:keepNext w:val="0"/>
              <w:keepLines w:val="0"/>
              <w:pageBreakBefore w:val="0"/>
              <w:widowControl/>
              <w:kinsoku/>
              <w:wordWrap/>
              <w:overflowPunct/>
              <w:topLinePunct w:val="0"/>
              <w:autoSpaceDE/>
              <w:autoSpaceDN/>
              <w:bidi w:val="0"/>
              <w:spacing w:line="560" w:lineRule="exact"/>
              <w:jc w:val="left"/>
              <w:textAlignment w:val="auto"/>
              <w:outlineLvl w:val="9"/>
              <w:rPr>
                <w:rFonts w:hint="eastAsia" w:ascii="仿宋_GB2312" w:hAnsi="仿宋_GB2312" w:eastAsia="仿宋_GB2312" w:cs="仿宋_GB2312"/>
                <w:b w:val="0"/>
                <w:bCs w:val="0"/>
                <w:color w:val="auto"/>
                <w:kern w:val="0"/>
                <w:szCs w:val="21"/>
                <w:highlight w:val="none"/>
              </w:rPr>
            </w:pPr>
            <w:r>
              <w:rPr>
                <w:rFonts w:hint="eastAsia" w:ascii="仿宋_GB2312" w:hAnsi="仿宋_GB2312" w:eastAsia="仿宋_GB2312" w:cs="仿宋_GB2312"/>
                <w:b w:val="0"/>
                <w:bCs w:val="0"/>
                <w:color w:val="auto"/>
                <w:kern w:val="0"/>
                <w:szCs w:val="21"/>
                <w:highlight w:val="none"/>
                <w:lang w:eastAsia="zh-CN"/>
              </w:rPr>
              <w:t>投标单位</w:t>
            </w:r>
            <w:r>
              <w:rPr>
                <w:rFonts w:hint="eastAsia" w:ascii="仿宋_GB2312" w:hAnsi="仿宋_GB2312" w:eastAsia="仿宋_GB2312" w:cs="仿宋_GB2312"/>
                <w:b w:val="0"/>
                <w:bCs w:val="0"/>
                <w:color w:val="auto"/>
                <w:kern w:val="0"/>
                <w:szCs w:val="21"/>
                <w:highlight w:val="none"/>
              </w:rPr>
              <w:t>提供的</w:t>
            </w:r>
            <w:r>
              <w:rPr>
                <w:rFonts w:hint="eastAsia" w:ascii="仿宋_GB2312" w:hAnsi="仿宋_GB2312" w:eastAsia="仿宋_GB2312" w:cs="仿宋_GB2312"/>
                <w:b w:val="0"/>
                <w:bCs w:val="0"/>
                <w:color w:val="auto"/>
                <w:kern w:val="0"/>
                <w:szCs w:val="21"/>
                <w:highlight w:val="none"/>
                <w:lang w:val="en-US" w:eastAsia="zh-CN"/>
              </w:rPr>
              <w:t>实施</w:t>
            </w:r>
            <w:r>
              <w:rPr>
                <w:rFonts w:hint="eastAsia" w:ascii="仿宋_GB2312" w:hAnsi="仿宋_GB2312" w:eastAsia="仿宋_GB2312" w:cs="仿宋_GB2312"/>
                <w:b w:val="0"/>
                <w:bCs w:val="0"/>
                <w:color w:val="auto"/>
                <w:kern w:val="0"/>
                <w:szCs w:val="21"/>
                <w:highlight w:val="none"/>
              </w:rPr>
              <w:t>方案是否具有科学性、合理性、可行性、全面性</w:t>
            </w:r>
            <w:r>
              <w:rPr>
                <w:rFonts w:hint="eastAsia" w:ascii="仿宋_GB2312" w:hAnsi="仿宋_GB2312" w:eastAsia="仿宋_GB2312" w:cs="仿宋_GB2312"/>
                <w:b w:val="0"/>
                <w:bCs w:val="0"/>
                <w:color w:val="auto"/>
                <w:kern w:val="0"/>
                <w:szCs w:val="21"/>
                <w:highlight w:val="none"/>
                <w:lang w:eastAsia="zh-CN"/>
              </w:rPr>
              <w:t>。</w:t>
            </w:r>
            <w:r>
              <w:rPr>
                <w:rFonts w:hint="eastAsia" w:ascii="仿宋_GB2312" w:hAnsi="仿宋_GB2312" w:eastAsia="仿宋_GB2312" w:cs="仿宋_GB2312"/>
                <w:b w:val="0"/>
                <w:bCs w:val="0"/>
                <w:color w:val="auto"/>
                <w:kern w:val="0"/>
                <w:szCs w:val="21"/>
                <w:highlight w:val="none"/>
              </w:rPr>
              <w:t>采购小组根据</w:t>
            </w:r>
            <w:r>
              <w:rPr>
                <w:rFonts w:hint="eastAsia" w:ascii="仿宋_GB2312" w:hAnsi="仿宋_GB2312" w:eastAsia="仿宋_GB2312" w:cs="仿宋_GB2312"/>
                <w:b w:val="0"/>
                <w:bCs w:val="0"/>
                <w:color w:val="auto"/>
                <w:kern w:val="0"/>
                <w:szCs w:val="21"/>
                <w:highlight w:val="none"/>
                <w:lang w:val="en-US" w:eastAsia="zh-CN"/>
              </w:rPr>
              <w:t>相</w:t>
            </w:r>
            <w:r>
              <w:rPr>
                <w:rFonts w:hint="eastAsia" w:ascii="仿宋_GB2312" w:hAnsi="仿宋_GB2312" w:eastAsia="仿宋_GB2312" w:cs="仿宋_GB2312"/>
                <w:b w:val="0"/>
                <w:bCs w:val="0"/>
                <w:color w:val="auto"/>
                <w:kern w:val="0"/>
                <w:szCs w:val="21"/>
                <w:highlight w:val="none"/>
              </w:rPr>
              <w:t>应的优劣情况分档打分：一档：100%，二档：</w:t>
            </w:r>
            <w:r>
              <w:rPr>
                <w:rFonts w:hint="eastAsia" w:ascii="仿宋_GB2312" w:hAnsi="仿宋_GB2312" w:eastAsia="仿宋_GB2312" w:cs="仿宋_GB2312"/>
                <w:b w:val="0"/>
                <w:bCs w:val="0"/>
                <w:color w:val="auto"/>
                <w:kern w:val="0"/>
                <w:szCs w:val="21"/>
                <w:highlight w:val="none"/>
                <w:lang w:val="en-US" w:eastAsia="zh-CN"/>
              </w:rPr>
              <w:t>8</w:t>
            </w:r>
            <w:r>
              <w:rPr>
                <w:rFonts w:hint="eastAsia" w:ascii="仿宋_GB2312" w:hAnsi="仿宋_GB2312" w:eastAsia="仿宋_GB2312" w:cs="仿宋_GB2312"/>
                <w:b w:val="0"/>
                <w:bCs w:val="0"/>
                <w:color w:val="auto"/>
                <w:kern w:val="0"/>
                <w:szCs w:val="21"/>
                <w:highlight w:val="none"/>
              </w:rPr>
              <w:t>0%，三档：</w:t>
            </w:r>
            <w:r>
              <w:rPr>
                <w:rFonts w:hint="eastAsia" w:ascii="仿宋_GB2312" w:hAnsi="仿宋_GB2312" w:eastAsia="仿宋_GB2312" w:cs="仿宋_GB2312"/>
                <w:b w:val="0"/>
                <w:bCs w:val="0"/>
                <w:color w:val="auto"/>
                <w:kern w:val="0"/>
                <w:szCs w:val="21"/>
                <w:highlight w:val="none"/>
                <w:lang w:val="en-US" w:eastAsia="zh-CN"/>
              </w:rPr>
              <w:t>6</w:t>
            </w:r>
            <w:r>
              <w:rPr>
                <w:rFonts w:hint="eastAsia" w:ascii="仿宋_GB2312" w:hAnsi="仿宋_GB2312" w:eastAsia="仿宋_GB2312" w:cs="仿宋_GB2312"/>
                <w:b w:val="0"/>
                <w:bCs w:val="0"/>
                <w:color w:val="auto"/>
                <w:kern w:val="0"/>
                <w:szCs w:val="21"/>
                <w:highlight w:val="none"/>
              </w:rPr>
              <w:t>0%，四档：</w:t>
            </w:r>
            <w:r>
              <w:rPr>
                <w:rFonts w:hint="eastAsia" w:ascii="仿宋_GB2312" w:hAnsi="仿宋_GB2312" w:eastAsia="仿宋_GB2312" w:cs="仿宋_GB2312"/>
                <w:b w:val="0"/>
                <w:bCs w:val="0"/>
                <w:color w:val="auto"/>
                <w:kern w:val="0"/>
                <w:szCs w:val="21"/>
                <w:highlight w:val="none"/>
                <w:lang w:val="en-US" w:eastAsia="zh-CN"/>
              </w:rPr>
              <w:t>4</w:t>
            </w:r>
            <w:r>
              <w:rPr>
                <w:rFonts w:hint="eastAsia" w:ascii="仿宋_GB2312" w:hAnsi="仿宋_GB2312" w:eastAsia="仿宋_GB2312" w:cs="仿宋_GB2312"/>
                <w:b w:val="0"/>
                <w:bCs w:val="0"/>
                <w:color w:val="auto"/>
                <w:kern w:val="0"/>
                <w:szCs w:val="21"/>
                <w:highlight w:val="none"/>
              </w:rPr>
              <w:t>0%，未提供或完全不符合得0分。</w:t>
            </w:r>
          </w:p>
        </w:tc>
        <w:tc>
          <w:tcPr>
            <w:tcW w:w="801" w:type="dxa"/>
          </w:tcPr>
          <w:p>
            <w:pPr>
              <w:keepNext w:val="0"/>
              <w:keepLines w:val="0"/>
              <w:pageBreakBefore w:val="0"/>
              <w:widowControl/>
              <w:kinsoku/>
              <w:wordWrap/>
              <w:overflowPunct/>
              <w:topLinePunct w:val="0"/>
              <w:autoSpaceDE/>
              <w:autoSpaceDN/>
              <w:bidi w:val="0"/>
              <w:spacing w:line="560" w:lineRule="exact"/>
              <w:jc w:val="left"/>
              <w:textAlignment w:val="auto"/>
              <w:outlineLvl w:val="9"/>
              <w:rPr>
                <w:rFonts w:hint="eastAsia" w:ascii="仿宋_GB2312" w:hAnsi="仿宋_GB2312" w:eastAsia="仿宋_GB2312" w:cs="仿宋_GB2312"/>
                <w:b w:val="0"/>
                <w:bCs w:val="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7"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Cs w:val="21"/>
                <w:highlight w:val="none"/>
                <w:lang w:eastAsia="zh-CN"/>
              </w:rPr>
            </w:pPr>
            <w:r>
              <w:rPr>
                <w:rFonts w:hint="eastAsia" w:ascii="仿宋_GB2312" w:hAnsi="仿宋_GB2312" w:eastAsia="仿宋_GB2312" w:cs="仿宋_GB2312"/>
                <w:b w:val="0"/>
                <w:bCs w:val="0"/>
                <w:color w:val="auto"/>
                <w:szCs w:val="21"/>
                <w:highlight w:val="none"/>
                <w:lang w:val="en-US" w:eastAsia="zh-CN"/>
              </w:rPr>
              <w:t>3</w:t>
            </w:r>
          </w:p>
        </w:tc>
        <w:tc>
          <w:tcPr>
            <w:tcW w:w="1118" w:type="dxa"/>
            <w:vAlign w:val="center"/>
          </w:tcPr>
          <w:p>
            <w:pPr>
              <w:keepNext w:val="0"/>
              <w:keepLines w:val="0"/>
              <w:pageBreakBefore w:val="0"/>
              <w:widowControl/>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kern w:val="0"/>
                <w:szCs w:val="21"/>
                <w:highlight w:val="none"/>
              </w:rPr>
            </w:pPr>
            <w:r>
              <w:rPr>
                <w:rFonts w:hint="eastAsia" w:ascii="仿宋_GB2312" w:hAnsi="仿宋_GB2312" w:eastAsia="仿宋_GB2312" w:cs="仿宋_GB2312"/>
                <w:b w:val="0"/>
                <w:bCs w:val="0"/>
                <w:color w:val="auto"/>
                <w:kern w:val="0"/>
                <w:szCs w:val="21"/>
                <w:highlight w:val="none"/>
              </w:rPr>
              <w:t>运作机制和管理制度</w:t>
            </w:r>
          </w:p>
        </w:tc>
        <w:tc>
          <w:tcPr>
            <w:tcW w:w="641"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Cs w:val="21"/>
                <w:highlight w:val="none"/>
                <w:lang w:val="en-US" w:eastAsia="zh-CN"/>
              </w:rPr>
            </w:pPr>
            <w:r>
              <w:rPr>
                <w:rFonts w:hint="eastAsia" w:ascii="仿宋_GB2312" w:hAnsi="仿宋_GB2312" w:eastAsia="仿宋_GB2312" w:cs="仿宋_GB2312"/>
                <w:b w:val="0"/>
                <w:bCs w:val="0"/>
                <w:color w:val="auto"/>
                <w:szCs w:val="21"/>
                <w:highlight w:val="none"/>
                <w:lang w:val="en-US" w:eastAsia="zh-CN"/>
              </w:rPr>
              <w:t>20</w:t>
            </w:r>
          </w:p>
        </w:tc>
        <w:tc>
          <w:tcPr>
            <w:tcW w:w="1064"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Cs w:val="21"/>
                <w:highlight w:val="none"/>
              </w:rPr>
            </w:pPr>
            <w:r>
              <w:rPr>
                <w:rFonts w:hint="eastAsia" w:ascii="仿宋_GB2312" w:hAnsi="仿宋_GB2312" w:eastAsia="仿宋_GB2312" w:cs="仿宋_GB2312"/>
                <w:b w:val="0"/>
                <w:bCs w:val="0"/>
                <w:color w:val="auto"/>
                <w:szCs w:val="21"/>
                <w:highlight w:val="none"/>
              </w:rPr>
              <w:t>采购小组打分</w:t>
            </w:r>
          </w:p>
        </w:tc>
        <w:tc>
          <w:tcPr>
            <w:tcW w:w="4708" w:type="dxa"/>
          </w:tcPr>
          <w:p>
            <w:pPr>
              <w:keepNext w:val="0"/>
              <w:keepLines w:val="0"/>
              <w:pageBreakBefore w:val="0"/>
              <w:widowControl/>
              <w:kinsoku/>
              <w:wordWrap/>
              <w:overflowPunct/>
              <w:topLinePunct w:val="0"/>
              <w:autoSpaceDE/>
              <w:autoSpaceDN/>
              <w:bidi w:val="0"/>
              <w:spacing w:line="560" w:lineRule="exact"/>
              <w:jc w:val="left"/>
              <w:textAlignment w:val="auto"/>
              <w:outlineLvl w:val="9"/>
              <w:rPr>
                <w:rFonts w:hint="eastAsia" w:ascii="仿宋_GB2312" w:hAnsi="仿宋_GB2312" w:eastAsia="仿宋_GB2312" w:cs="仿宋_GB2312"/>
                <w:b w:val="0"/>
                <w:bCs w:val="0"/>
                <w:color w:val="auto"/>
                <w:kern w:val="0"/>
                <w:szCs w:val="21"/>
                <w:highlight w:val="none"/>
              </w:rPr>
            </w:pPr>
            <w:r>
              <w:rPr>
                <w:rFonts w:hint="eastAsia" w:ascii="仿宋_GB2312" w:hAnsi="仿宋_GB2312" w:eastAsia="仿宋_GB2312" w:cs="仿宋_GB2312"/>
                <w:b w:val="0"/>
                <w:bCs w:val="0"/>
                <w:color w:val="auto"/>
                <w:kern w:val="0"/>
                <w:szCs w:val="21"/>
                <w:highlight w:val="none"/>
              </w:rPr>
              <w:t>项目管理架构是否完整、工作职能组织运行是否清晰，项目内部管理的职责分工是否明确、日常管理制度是否完善等。采购小组根据</w:t>
            </w:r>
            <w:r>
              <w:rPr>
                <w:rFonts w:hint="eastAsia" w:ascii="仿宋_GB2312" w:hAnsi="仿宋_GB2312" w:eastAsia="仿宋_GB2312" w:cs="仿宋_GB2312"/>
                <w:b w:val="0"/>
                <w:bCs w:val="0"/>
                <w:color w:val="auto"/>
                <w:kern w:val="0"/>
                <w:szCs w:val="21"/>
                <w:highlight w:val="none"/>
                <w:lang w:val="en-US" w:eastAsia="zh-CN"/>
              </w:rPr>
              <w:t>相</w:t>
            </w:r>
            <w:r>
              <w:rPr>
                <w:rFonts w:hint="eastAsia" w:ascii="仿宋_GB2312" w:hAnsi="仿宋_GB2312" w:eastAsia="仿宋_GB2312" w:cs="仿宋_GB2312"/>
                <w:b w:val="0"/>
                <w:bCs w:val="0"/>
                <w:color w:val="auto"/>
                <w:kern w:val="0"/>
                <w:szCs w:val="21"/>
                <w:highlight w:val="none"/>
              </w:rPr>
              <w:t>应的优劣情况分档打分：一档：100%，二档：</w:t>
            </w:r>
            <w:r>
              <w:rPr>
                <w:rFonts w:hint="eastAsia" w:ascii="仿宋_GB2312" w:hAnsi="仿宋_GB2312" w:eastAsia="仿宋_GB2312" w:cs="仿宋_GB2312"/>
                <w:b w:val="0"/>
                <w:bCs w:val="0"/>
                <w:color w:val="auto"/>
                <w:kern w:val="0"/>
                <w:szCs w:val="21"/>
                <w:highlight w:val="none"/>
                <w:lang w:val="en-US" w:eastAsia="zh-CN"/>
              </w:rPr>
              <w:t>8</w:t>
            </w:r>
            <w:r>
              <w:rPr>
                <w:rFonts w:hint="eastAsia" w:ascii="仿宋_GB2312" w:hAnsi="仿宋_GB2312" w:eastAsia="仿宋_GB2312" w:cs="仿宋_GB2312"/>
                <w:b w:val="0"/>
                <w:bCs w:val="0"/>
                <w:color w:val="auto"/>
                <w:kern w:val="0"/>
                <w:szCs w:val="21"/>
                <w:highlight w:val="none"/>
              </w:rPr>
              <w:t>0%，三档：</w:t>
            </w:r>
            <w:r>
              <w:rPr>
                <w:rFonts w:hint="eastAsia" w:ascii="仿宋_GB2312" w:hAnsi="仿宋_GB2312" w:eastAsia="仿宋_GB2312" w:cs="仿宋_GB2312"/>
                <w:b w:val="0"/>
                <w:bCs w:val="0"/>
                <w:color w:val="auto"/>
                <w:kern w:val="0"/>
                <w:szCs w:val="21"/>
                <w:highlight w:val="none"/>
                <w:lang w:val="en-US" w:eastAsia="zh-CN"/>
              </w:rPr>
              <w:t>6</w:t>
            </w:r>
            <w:r>
              <w:rPr>
                <w:rFonts w:hint="eastAsia" w:ascii="仿宋_GB2312" w:hAnsi="仿宋_GB2312" w:eastAsia="仿宋_GB2312" w:cs="仿宋_GB2312"/>
                <w:b w:val="0"/>
                <w:bCs w:val="0"/>
                <w:color w:val="auto"/>
                <w:kern w:val="0"/>
                <w:szCs w:val="21"/>
                <w:highlight w:val="none"/>
              </w:rPr>
              <w:t>0%，四档：</w:t>
            </w:r>
            <w:r>
              <w:rPr>
                <w:rFonts w:hint="eastAsia" w:ascii="仿宋_GB2312" w:hAnsi="仿宋_GB2312" w:eastAsia="仿宋_GB2312" w:cs="仿宋_GB2312"/>
                <w:b w:val="0"/>
                <w:bCs w:val="0"/>
                <w:color w:val="auto"/>
                <w:kern w:val="0"/>
                <w:szCs w:val="21"/>
                <w:highlight w:val="none"/>
                <w:lang w:val="en-US" w:eastAsia="zh-CN"/>
              </w:rPr>
              <w:t>4</w:t>
            </w:r>
            <w:r>
              <w:rPr>
                <w:rFonts w:hint="eastAsia" w:ascii="仿宋_GB2312" w:hAnsi="仿宋_GB2312" w:eastAsia="仿宋_GB2312" w:cs="仿宋_GB2312"/>
                <w:b w:val="0"/>
                <w:bCs w:val="0"/>
                <w:color w:val="auto"/>
                <w:kern w:val="0"/>
                <w:szCs w:val="21"/>
                <w:highlight w:val="none"/>
              </w:rPr>
              <w:t>0%，未提供或完全不符合得0分。</w:t>
            </w:r>
          </w:p>
        </w:tc>
        <w:tc>
          <w:tcPr>
            <w:tcW w:w="801" w:type="dxa"/>
          </w:tcPr>
          <w:p>
            <w:pPr>
              <w:keepNext w:val="0"/>
              <w:keepLines w:val="0"/>
              <w:pageBreakBefore w:val="0"/>
              <w:widowControl/>
              <w:kinsoku/>
              <w:wordWrap/>
              <w:overflowPunct/>
              <w:topLinePunct w:val="0"/>
              <w:autoSpaceDE/>
              <w:autoSpaceDN/>
              <w:bidi w:val="0"/>
              <w:spacing w:line="560" w:lineRule="exact"/>
              <w:jc w:val="left"/>
              <w:textAlignment w:val="auto"/>
              <w:outlineLvl w:val="9"/>
              <w:rPr>
                <w:rFonts w:hint="eastAsia" w:ascii="仿宋_GB2312" w:hAnsi="仿宋_GB2312" w:eastAsia="仿宋_GB2312" w:cs="仿宋_GB2312"/>
                <w:b w:val="0"/>
                <w:bCs w:val="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7"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Cs w:val="21"/>
                <w:highlight w:val="none"/>
                <w:lang w:val="en-US" w:eastAsia="zh-CN"/>
              </w:rPr>
            </w:pPr>
            <w:r>
              <w:rPr>
                <w:rFonts w:hint="eastAsia" w:ascii="仿宋_GB2312" w:hAnsi="仿宋_GB2312" w:eastAsia="仿宋_GB2312" w:cs="仿宋_GB2312"/>
                <w:b w:val="0"/>
                <w:bCs w:val="0"/>
                <w:color w:val="auto"/>
                <w:szCs w:val="21"/>
                <w:highlight w:val="none"/>
                <w:lang w:val="en-US" w:eastAsia="zh-CN"/>
              </w:rPr>
              <w:t>4</w:t>
            </w:r>
          </w:p>
        </w:tc>
        <w:tc>
          <w:tcPr>
            <w:tcW w:w="1118" w:type="dxa"/>
            <w:vAlign w:val="center"/>
          </w:tcPr>
          <w:p>
            <w:pPr>
              <w:keepNext w:val="0"/>
              <w:keepLines w:val="0"/>
              <w:pageBreakBefore w:val="0"/>
              <w:widowControl/>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kern w:val="0"/>
                <w:szCs w:val="21"/>
                <w:highlight w:val="none"/>
              </w:rPr>
            </w:pPr>
            <w:r>
              <w:rPr>
                <w:rFonts w:hint="eastAsia" w:ascii="仿宋_GB2312" w:hAnsi="仿宋_GB2312" w:eastAsia="仿宋_GB2312" w:cs="仿宋_GB2312"/>
                <w:b w:val="0"/>
                <w:bCs w:val="0"/>
                <w:color w:val="auto"/>
                <w:szCs w:val="21"/>
                <w:highlight w:val="none"/>
              </w:rPr>
              <w:t>服务质量保障措施</w:t>
            </w:r>
          </w:p>
        </w:tc>
        <w:tc>
          <w:tcPr>
            <w:tcW w:w="641"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Cs w:val="21"/>
                <w:highlight w:val="none"/>
                <w:lang w:val="en-US" w:eastAsia="zh-CN"/>
              </w:rPr>
            </w:pPr>
            <w:r>
              <w:rPr>
                <w:rFonts w:hint="eastAsia" w:ascii="仿宋_GB2312" w:hAnsi="仿宋_GB2312" w:eastAsia="仿宋_GB2312" w:cs="仿宋_GB2312"/>
                <w:b w:val="0"/>
                <w:bCs w:val="0"/>
                <w:color w:val="auto"/>
                <w:szCs w:val="21"/>
                <w:highlight w:val="none"/>
                <w:lang w:val="en-US" w:eastAsia="zh-CN"/>
              </w:rPr>
              <w:t>10</w:t>
            </w:r>
          </w:p>
        </w:tc>
        <w:tc>
          <w:tcPr>
            <w:tcW w:w="1064"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Cs w:val="21"/>
                <w:highlight w:val="none"/>
              </w:rPr>
            </w:pPr>
            <w:r>
              <w:rPr>
                <w:rFonts w:hint="eastAsia" w:ascii="仿宋_GB2312" w:hAnsi="仿宋_GB2312" w:eastAsia="仿宋_GB2312" w:cs="仿宋_GB2312"/>
                <w:b w:val="0"/>
                <w:bCs w:val="0"/>
                <w:color w:val="auto"/>
                <w:szCs w:val="21"/>
                <w:highlight w:val="none"/>
              </w:rPr>
              <w:t>采购小组打分</w:t>
            </w:r>
          </w:p>
        </w:tc>
        <w:tc>
          <w:tcPr>
            <w:tcW w:w="4708" w:type="dxa"/>
          </w:tcPr>
          <w:p>
            <w:pPr>
              <w:keepNext w:val="0"/>
              <w:keepLines w:val="0"/>
              <w:pageBreakBefore w:val="0"/>
              <w:widowControl/>
              <w:kinsoku/>
              <w:wordWrap/>
              <w:overflowPunct/>
              <w:topLinePunct w:val="0"/>
              <w:autoSpaceDE/>
              <w:autoSpaceDN/>
              <w:bidi w:val="0"/>
              <w:spacing w:line="560" w:lineRule="exact"/>
              <w:jc w:val="left"/>
              <w:textAlignment w:val="auto"/>
              <w:outlineLvl w:val="9"/>
              <w:rPr>
                <w:rFonts w:hint="eastAsia" w:ascii="仿宋_GB2312" w:hAnsi="仿宋_GB2312" w:eastAsia="仿宋_GB2312" w:cs="仿宋_GB2312"/>
                <w:b w:val="0"/>
                <w:bCs w:val="0"/>
                <w:color w:val="auto"/>
                <w:kern w:val="0"/>
                <w:szCs w:val="21"/>
                <w:highlight w:val="none"/>
                <w:lang w:val="en-US" w:eastAsia="zh-CN"/>
              </w:rPr>
            </w:pPr>
            <w:r>
              <w:rPr>
                <w:rFonts w:hint="eastAsia" w:ascii="仿宋_GB2312" w:hAnsi="仿宋_GB2312" w:eastAsia="仿宋_GB2312" w:cs="仿宋_GB2312"/>
                <w:b w:val="0"/>
                <w:bCs w:val="0"/>
                <w:color w:val="auto"/>
                <w:szCs w:val="21"/>
                <w:highlight w:val="none"/>
                <w:lang w:val="en-US" w:eastAsia="zh-CN"/>
              </w:rPr>
              <w:t>投标单位提供的</w:t>
            </w:r>
            <w:r>
              <w:rPr>
                <w:rFonts w:hint="eastAsia" w:ascii="仿宋_GB2312" w:hAnsi="仿宋_GB2312" w:eastAsia="仿宋_GB2312" w:cs="仿宋_GB2312"/>
                <w:b w:val="0"/>
                <w:bCs w:val="0"/>
                <w:color w:val="auto"/>
                <w:szCs w:val="21"/>
                <w:highlight w:val="none"/>
              </w:rPr>
              <w:t>服务质量保障措施</w:t>
            </w:r>
            <w:r>
              <w:rPr>
                <w:rFonts w:hint="eastAsia" w:ascii="仿宋_GB2312" w:hAnsi="仿宋_GB2312" w:eastAsia="仿宋_GB2312" w:cs="仿宋_GB2312"/>
                <w:b w:val="0"/>
                <w:bCs w:val="0"/>
                <w:color w:val="auto"/>
                <w:szCs w:val="21"/>
                <w:highlight w:val="none"/>
                <w:lang w:val="en-US" w:eastAsia="zh-CN"/>
              </w:rPr>
              <w:t>是否具体、</w:t>
            </w:r>
            <w:r>
              <w:rPr>
                <w:rFonts w:hint="eastAsia" w:ascii="仿宋_GB2312" w:hAnsi="仿宋_GB2312" w:eastAsia="仿宋_GB2312" w:cs="仿宋_GB2312"/>
                <w:b w:val="0"/>
                <w:bCs w:val="0"/>
                <w:color w:val="auto"/>
                <w:szCs w:val="21"/>
                <w:highlight w:val="none"/>
              </w:rPr>
              <w:t>详细，安排合理</w:t>
            </w:r>
            <w:r>
              <w:rPr>
                <w:rFonts w:hint="eastAsia" w:ascii="仿宋_GB2312" w:hAnsi="仿宋_GB2312" w:eastAsia="仿宋_GB2312" w:cs="仿宋_GB2312"/>
                <w:b w:val="0"/>
                <w:bCs w:val="0"/>
                <w:color w:val="auto"/>
                <w:szCs w:val="21"/>
                <w:highlight w:val="none"/>
                <w:lang w:eastAsia="zh-CN"/>
              </w:rPr>
              <w:t>。</w:t>
            </w:r>
            <w:r>
              <w:rPr>
                <w:rFonts w:hint="eastAsia" w:ascii="仿宋_GB2312" w:hAnsi="仿宋_GB2312" w:eastAsia="仿宋_GB2312" w:cs="仿宋_GB2312"/>
                <w:b w:val="0"/>
                <w:bCs w:val="0"/>
                <w:color w:val="auto"/>
                <w:szCs w:val="21"/>
                <w:highlight w:val="none"/>
                <w:lang w:val="en-US" w:eastAsia="zh-CN"/>
              </w:rPr>
              <w:t>采购小组根据相应的优劣情况分档打分：</w:t>
            </w:r>
            <w:r>
              <w:rPr>
                <w:rFonts w:hint="eastAsia" w:ascii="仿宋_GB2312" w:hAnsi="仿宋_GB2312" w:eastAsia="仿宋_GB2312" w:cs="仿宋_GB2312"/>
                <w:b w:val="0"/>
                <w:bCs w:val="0"/>
                <w:color w:val="auto"/>
                <w:kern w:val="0"/>
                <w:szCs w:val="21"/>
                <w:highlight w:val="none"/>
              </w:rPr>
              <w:t>一档：100%，二档：</w:t>
            </w:r>
            <w:r>
              <w:rPr>
                <w:rFonts w:hint="eastAsia" w:ascii="仿宋_GB2312" w:hAnsi="仿宋_GB2312" w:eastAsia="仿宋_GB2312" w:cs="仿宋_GB2312"/>
                <w:b w:val="0"/>
                <w:bCs w:val="0"/>
                <w:color w:val="auto"/>
                <w:kern w:val="0"/>
                <w:szCs w:val="21"/>
                <w:highlight w:val="none"/>
                <w:lang w:val="en-US" w:eastAsia="zh-CN"/>
              </w:rPr>
              <w:t>8</w:t>
            </w:r>
            <w:r>
              <w:rPr>
                <w:rFonts w:hint="eastAsia" w:ascii="仿宋_GB2312" w:hAnsi="仿宋_GB2312" w:eastAsia="仿宋_GB2312" w:cs="仿宋_GB2312"/>
                <w:b w:val="0"/>
                <w:bCs w:val="0"/>
                <w:color w:val="auto"/>
                <w:kern w:val="0"/>
                <w:szCs w:val="21"/>
                <w:highlight w:val="none"/>
              </w:rPr>
              <w:t>0%，三档：</w:t>
            </w:r>
            <w:r>
              <w:rPr>
                <w:rFonts w:hint="eastAsia" w:ascii="仿宋_GB2312" w:hAnsi="仿宋_GB2312" w:eastAsia="仿宋_GB2312" w:cs="仿宋_GB2312"/>
                <w:b w:val="0"/>
                <w:bCs w:val="0"/>
                <w:color w:val="auto"/>
                <w:kern w:val="0"/>
                <w:szCs w:val="21"/>
                <w:highlight w:val="none"/>
                <w:lang w:val="en-US" w:eastAsia="zh-CN"/>
              </w:rPr>
              <w:t>6</w:t>
            </w:r>
            <w:r>
              <w:rPr>
                <w:rFonts w:hint="eastAsia" w:ascii="仿宋_GB2312" w:hAnsi="仿宋_GB2312" w:eastAsia="仿宋_GB2312" w:cs="仿宋_GB2312"/>
                <w:b w:val="0"/>
                <w:bCs w:val="0"/>
                <w:color w:val="auto"/>
                <w:kern w:val="0"/>
                <w:szCs w:val="21"/>
                <w:highlight w:val="none"/>
              </w:rPr>
              <w:t>0%，四档：</w:t>
            </w:r>
            <w:r>
              <w:rPr>
                <w:rFonts w:hint="eastAsia" w:ascii="仿宋_GB2312" w:hAnsi="仿宋_GB2312" w:eastAsia="仿宋_GB2312" w:cs="仿宋_GB2312"/>
                <w:b w:val="0"/>
                <w:bCs w:val="0"/>
                <w:color w:val="auto"/>
                <w:kern w:val="0"/>
                <w:szCs w:val="21"/>
                <w:highlight w:val="none"/>
                <w:lang w:val="en-US" w:eastAsia="zh-CN"/>
              </w:rPr>
              <w:t>4</w:t>
            </w:r>
            <w:r>
              <w:rPr>
                <w:rFonts w:hint="eastAsia" w:ascii="仿宋_GB2312" w:hAnsi="仿宋_GB2312" w:eastAsia="仿宋_GB2312" w:cs="仿宋_GB2312"/>
                <w:b w:val="0"/>
                <w:bCs w:val="0"/>
                <w:color w:val="auto"/>
                <w:kern w:val="0"/>
                <w:szCs w:val="21"/>
                <w:highlight w:val="none"/>
              </w:rPr>
              <w:t>0%，未提供或完全不符合得0分。</w:t>
            </w:r>
          </w:p>
        </w:tc>
        <w:tc>
          <w:tcPr>
            <w:tcW w:w="801" w:type="dxa"/>
          </w:tcPr>
          <w:p>
            <w:pPr>
              <w:keepNext w:val="0"/>
              <w:keepLines w:val="0"/>
              <w:pageBreakBefore w:val="0"/>
              <w:widowControl/>
              <w:kinsoku/>
              <w:wordWrap/>
              <w:overflowPunct/>
              <w:topLinePunct w:val="0"/>
              <w:autoSpaceDE/>
              <w:autoSpaceDN/>
              <w:bidi w:val="0"/>
              <w:spacing w:line="560" w:lineRule="exact"/>
              <w:jc w:val="left"/>
              <w:textAlignment w:val="auto"/>
              <w:outlineLvl w:val="9"/>
              <w:rPr>
                <w:rFonts w:hint="eastAsia" w:ascii="仿宋_GB2312" w:hAnsi="仿宋_GB2312" w:eastAsia="仿宋_GB2312" w:cs="仿宋_GB2312"/>
                <w:b w:val="0"/>
                <w:bCs w:val="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3460" w:type="dxa"/>
            <w:gridSpan w:val="4"/>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Cs w:val="21"/>
                <w:highlight w:val="none"/>
              </w:rPr>
            </w:pPr>
            <w:r>
              <w:rPr>
                <w:rFonts w:hint="eastAsia" w:ascii="仿宋_GB2312" w:hAnsi="仿宋_GB2312" w:eastAsia="仿宋_GB2312" w:cs="仿宋_GB2312"/>
                <w:b w:val="0"/>
                <w:bCs w:val="0"/>
                <w:color w:val="auto"/>
                <w:szCs w:val="21"/>
                <w:highlight w:val="none"/>
              </w:rPr>
              <w:t>综合实力指标</w:t>
            </w:r>
          </w:p>
        </w:tc>
        <w:tc>
          <w:tcPr>
            <w:tcW w:w="4708"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Cs w:val="21"/>
                <w:highlight w:val="none"/>
                <w:lang w:val="en-US" w:eastAsia="zh-CN"/>
              </w:rPr>
            </w:pPr>
            <w:r>
              <w:rPr>
                <w:rFonts w:hint="eastAsia" w:ascii="仿宋_GB2312" w:hAnsi="仿宋_GB2312" w:eastAsia="仿宋_GB2312" w:cs="仿宋_GB2312"/>
                <w:b w:val="0"/>
                <w:bCs w:val="0"/>
                <w:color w:val="auto"/>
                <w:szCs w:val="21"/>
                <w:highlight w:val="none"/>
                <w:lang w:val="en-US" w:eastAsia="zh-CN"/>
              </w:rPr>
              <w:t>30</w:t>
            </w:r>
          </w:p>
        </w:tc>
        <w:tc>
          <w:tcPr>
            <w:tcW w:w="801"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7"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Cs w:val="21"/>
                <w:highlight w:val="none"/>
              </w:rPr>
            </w:pPr>
            <w:r>
              <w:rPr>
                <w:rFonts w:hint="eastAsia" w:ascii="仿宋_GB2312" w:hAnsi="仿宋_GB2312" w:eastAsia="仿宋_GB2312" w:cs="仿宋_GB2312"/>
                <w:b w:val="0"/>
                <w:bCs w:val="0"/>
                <w:color w:val="auto"/>
                <w:szCs w:val="21"/>
                <w:highlight w:val="none"/>
              </w:rPr>
              <w:t>序号</w:t>
            </w:r>
          </w:p>
        </w:tc>
        <w:tc>
          <w:tcPr>
            <w:tcW w:w="1118"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Cs w:val="21"/>
                <w:highlight w:val="none"/>
              </w:rPr>
            </w:pPr>
            <w:r>
              <w:rPr>
                <w:rFonts w:hint="eastAsia" w:ascii="仿宋_GB2312" w:hAnsi="仿宋_GB2312" w:eastAsia="仿宋_GB2312" w:cs="仿宋_GB2312"/>
                <w:b w:val="0"/>
                <w:bCs w:val="0"/>
                <w:color w:val="auto"/>
                <w:szCs w:val="21"/>
                <w:highlight w:val="none"/>
              </w:rPr>
              <w:t>评分因素</w:t>
            </w:r>
          </w:p>
        </w:tc>
        <w:tc>
          <w:tcPr>
            <w:tcW w:w="641"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Cs w:val="21"/>
                <w:highlight w:val="none"/>
              </w:rPr>
            </w:pPr>
            <w:r>
              <w:rPr>
                <w:rFonts w:hint="eastAsia" w:ascii="仿宋_GB2312" w:hAnsi="仿宋_GB2312" w:eastAsia="仿宋_GB2312" w:cs="仿宋_GB2312"/>
                <w:b w:val="0"/>
                <w:bCs w:val="0"/>
                <w:color w:val="auto"/>
                <w:szCs w:val="21"/>
                <w:highlight w:val="none"/>
              </w:rPr>
              <w:t>权重</w:t>
            </w:r>
          </w:p>
        </w:tc>
        <w:tc>
          <w:tcPr>
            <w:tcW w:w="1064"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Cs w:val="21"/>
                <w:highlight w:val="none"/>
              </w:rPr>
            </w:pPr>
            <w:r>
              <w:rPr>
                <w:rFonts w:hint="eastAsia" w:ascii="仿宋_GB2312" w:hAnsi="仿宋_GB2312" w:eastAsia="仿宋_GB2312" w:cs="仿宋_GB2312"/>
                <w:b w:val="0"/>
                <w:bCs w:val="0"/>
                <w:color w:val="auto"/>
                <w:szCs w:val="21"/>
                <w:highlight w:val="none"/>
              </w:rPr>
              <w:t>评分方式</w:t>
            </w:r>
          </w:p>
        </w:tc>
        <w:tc>
          <w:tcPr>
            <w:tcW w:w="4708"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Cs w:val="21"/>
                <w:highlight w:val="none"/>
              </w:rPr>
            </w:pPr>
            <w:r>
              <w:rPr>
                <w:rFonts w:hint="eastAsia" w:ascii="仿宋_GB2312" w:hAnsi="仿宋_GB2312" w:eastAsia="仿宋_GB2312" w:cs="仿宋_GB2312"/>
                <w:b w:val="0"/>
                <w:bCs w:val="0"/>
                <w:color w:val="auto"/>
                <w:szCs w:val="21"/>
                <w:highlight w:val="none"/>
              </w:rPr>
              <w:t>评分准则</w:t>
            </w:r>
          </w:p>
        </w:tc>
        <w:tc>
          <w:tcPr>
            <w:tcW w:w="801"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637"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Cs w:val="24"/>
                <w:highlight w:val="none"/>
                <w:lang w:eastAsia="zh-CN"/>
              </w:rPr>
            </w:pPr>
            <w:r>
              <w:rPr>
                <w:rFonts w:hint="eastAsia" w:ascii="仿宋_GB2312" w:hAnsi="仿宋_GB2312" w:eastAsia="仿宋_GB2312" w:cs="仿宋_GB2312"/>
                <w:b w:val="0"/>
                <w:bCs w:val="0"/>
                <w:snapToGrid w:val="0"/>
                <w:color w:val="auto"/>
                <w:szCs w:val="20"/>
                <w:highlight w:val="none"/>
                <w:lang w:val="en-US" w:eastAsia="zh-CN"/>
              </w:rPr>
              <w:t>5</w:t>
            </w:r>
          </w:p>
        </w:tc>
        <w:tc>
          <w:tcPr>
            <w:tcW w:w="1118"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snapToGrid w:val="0"/>
                <w:color w:val="auto"/>
                <w:szCs w:val="21"/>
                <w:highlight w:val="none"/>
                <w:lang w:eastAsia="zh-CN"/>
              </w:rPr>
            </w:pPr>
            <w:r>
              <w:rPr>
                <w:rFonts w:hint="eastAsia" w:ascii="仿宋_GB2312" w:hAnsi="仿宋_GB2312" w:eastAsia="仿宋_GB2312" w:cs="仿宋_GB2312"/>
                <w:b w:val="0"/>
                <w:bCs w:val="0"/>
                <w:snapToGrid w:val="0"/>
                <w:color w:val="auto"/>
                <w:szCs w:val="21"/>
                <w:highlight w:val="none"/>
                <w:lang w:val="en-US" w:eastAsia="zh-CN"/>
              </w:rPr>
              <w:t>同类项目业绩</w:t>
            </w:r>
          </w:p>
        </w:tc>
        <w:tc>
          <w:tcPr>
            <w:tcW w:w="641"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snapToGrid w:val="0"/>
                <w:color w:val="auto"/>
                <w:szCs w:val="21"/>
                <w:highlight w:val="none"/>
                <w:lang w:val="en-US" w:eastAsia="zh-CN"/>
              </w:rPr>
            </w:pPr>
            <w:r>
              <w:rPr>
                <w:rFonts w:hint="eastAsia" w:ascii="仿宋_GB2312" w:hAnsi="仿宋_GB2312" w:eastAsia="仿宋_GB2312" w:cs="仿宋_GB2312"/>
                <w:b w:val="0"/>
                <w:bCs w:val="0"/>
                <w:snapToGrid w:val="0"/>
                <w:color w:val="auto"/>
                <w:szCs w:val="21"/>
                <w:highlight w:val="none"/>
                <w:lang w:val="en-US" w:eastAsia="zh-CN"/>
              </w:rPr>
              <w:t>10</w:t>
            </w:r>
          </w:p>
        </w:tc>
        <w:tc>
          <w:tcPr>
            <w:tcW w:w="1064"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snapToGrid w:val="0"/>
                <w:color w:val="auto"/>
                <w:szCs w:val="21"/>
                <w:highlight w:val="none"/>
              </w:rPr>
            </w:pPr>
            <w:r>
              <w:rPr>
                <w:rFonts w:hint="eastAsia" w:ascii="仿宋_GB2312" w:hAnsi="仿宋_GB2312" w:eastAsia="仿宋_GB2312" w:cs="仿宋_GB2312"/>
                <w:b w:val="0"/>
                <w:bCs w:val="0"/>
                <w:snapToGrid w:val="0"/>
                <w:color w:val="auto"/>
                <w:szCs w:val="21"/>
                <w:highlight w:val="none"/>
              </w:rPr>
              <w:t>采购小组打分</w:t>
            </w:r>
          </w:p>
        </w:tc>
        <w:tc>
          <w:tcPr>
            <w:tcW w:w="4708" w:type="dxa"/>
            <w:vAlign w:val="center"/>
          </w:tcPr>
          <w:p>
            <w:pPr>
              <w:keepNext w:val="0"/>
              <w:keepLines w:val="0"/>
              <w:pageBreakBefore w:val="0"/>
              <w:kinsoku/>
              <w:wordWrap/>
              <w:overflowPunct/>
              <w:topLinePunct w:val="0"/>
              <w:autoSpaceDE/>
              <w:autoSpaceDN/>
              <w:bidi w:val="0"/>
              <w:spacing w:line="560" w:lineRule="exact"/>
              <w:jc w:val="left"/>
              <w:textAlignment w:val="auto"/>
              <w:outlineLvl w:val="9"/>
              <w:rPr>
                <w:rFonts w:hint="eastAsia" w:ascii="仿宋_GB2312" w:hAnsi="仿宋_GB2312" w:eastAsia="仿宋_GB2312" w:cs="仿宋_GB2312"/>
                <w:b w:val="0"/>
                <w:bCs w:val="0"/>
                <w:color w:val="auto"/>
                <w:szCs w:val="21"/>
                <w:highlight w:val="none"/>
              </w:rPr>
            </w:pPr>
            <w:r>
              <w:rPr>
                <w:rFonts w:hint="eastAsia" w:ascii="仿宋_GB2312" w:hAnsi="仿宋_GB2312" w:eastAsia="仿宋_GB2312" w:cs="仿宋_GB2312"/>
                <w:b w:val="0"/>
                <w:bCs w:val="0"/>
                <w:color w:val="auto"/>
                <w:szCs w:val="21"/>
                <w:highlight w:val="none"/>
              </w:rPr>
              <w:t>（一）评审标准：</w:t>
            </w:r>
          </w:p>
          <w:p>
            <w:pPr>
              <w:keepNext w:val="0"/>
              <w:keepLines w:val="0"/>
              <w:pageBreakBefore w:val="0"/>
              <w:kinsoku/>
              <w:wordWrap/>
              <w:overflowPunct/>
              <w:topLinePunct w:val="0"/>
              <w:autoSpaceDE/>
              <w:autoSpaceDN/>
              <w:bidi w:val="0"/>
              <w:spacing w:line="560" w:lineRule="exact"/>
              <w:jc w:val="left"/>
              <w:textAlignment w:val="auto"/>
              <w:outlineLvl w:val="9"/>
              <w:rPr>
                <w:rFonts w:hint="eastAsia" w:ascii="仿宋_GB2312" w:hAnsi="仿宋_GB2312" w:eastAsia="仿宋_GB2312" w:cs="仿宋_GB2312"/>
                <w:b w:val="0"/>
                <w:bCs w:val="0"/>
                <w:color w:val="auto"/>
                <w:highlight w:val="none"/>
                <w:lang w:val="en-US" w:eastAsia="zh-CN"/>
              </w:rPr>
            </w:pPr>
            <w:r>
              <w:rPr>
                <w:rFonts w:hint="eastAsia" w:ascii="仿宋_GB2312" w:hAnsi="仿宋_GB2312" w:eastAsia="仿宋_GB2312" w:cs="仿宋_GB2312"/>
                <w:b w:val="0"/>
                <w:bCs w:val="0"/>
                <w:color w:val="auto"/>
                <w:szCs w:val="21"/>
                <w:highlight w:val="none"/>
                <w:lang w:val="en-US" w:eastAsia="zh-CN"/>
              </w:rPr>
              <w:t>近三年（2018年1月截止本项目发布采购公告之日），投标单位参与</w:t>
            </w:r>
            <w:r>
              <w:rPr>
                <w:rFonts w:hint="eastAsia" w:ascii="仿宋_GB2312" w:hAnsi="仿宋_GB2312" w:eastAsia="仿宋_GB2312" w:cs="仿宋_GB2312"/>
                <w:b w:val="0"/>
                <w:bCs w:val="0"/>
                <w:color w:val="auto"/>
                <w:kern w:val="0"/>
                <w:szCs w:val="21"/>
                <w:highlight w:val="none"/>
              </w:rPr>
              <w:t>政府</w:t>
            </w:r>
            <w:r>
              <w:rPr>
                <w:rFonts w:hint="eastAsia" w:ascii="仿宋_GB2312" w:hAnsi="仿宋_GB2312" w:eastAsia="仿宋_GB2312" w:cs="仿宋_GB2312"/>
                <w:b w:val="0"/>
                <w:bCs w:val="0"/>
                <w:color w:val="auto"/>
                <w:kern w:val="0"/>
                <w:szCs w:val="21"/>
                <w:highlight w:val="none"/>
                <w:lang w:val="en-US" w:eastAsia="zh-CN"/>
              </w:rPr>
              <w:t>机关法律顾问服务</w:t>
            </w:r>
            <w:r>
              <w:rPr>
                <w:rFonts w:hint="eastAsia" w:ascii="仿宋_GB2312" w:hAnsi="仿宋_GB2312" w:eastAsia="仿宋_GB2312" w:cs="仿宋_GB2312"/>
                <w:b w:val="0"/>
                <w:bCs w:val="0"/>
                <w:color w:val="auto"/>
                <w:kern w:val="0"/>
                <w:szCs w:val="21"/>
                <w:highlight w:val="none"/>
              </w:rPr>
              <w:t>或专项法律服务项目</w:t>
            </w:r>
            <w:r>
              <w:rPr>
                <w:rFonts w:hint="eastAsia" w:ascii="仿宋_GB2312" w:hAnsi="仿宋_GB2312" w:eastAsia="仿宋_GB2312" w:cs="仿宋_GB2312"/>
                <w:b w:val="0"/>
                <w:bCs w:val="0"/>
                <w:color w:val="auto"/>
                <w:kern w:val="0"/>
                <w:szCs w:val="21"/>
                <w:highlight w:val="none"/>
                <w:lang w:val="en-US" w:eastAsia="zh-CN"/>
              </w:rPr>
              <w:t>的相关工作</w:t>
            </w:r>
            <w:r>
              <w:rPr>
                <w:rFonts w:hint="eastAsia" w:ascii="仿宋_GB2312" w:hAnsi="仿宋_GB2312" w:eastAsia="仿宋_GB2312" w:cs="仿宋_GB2312"/>
                <w:b w:val="0"/>
                <w:bCs w:val="0"/>
                <w:color w:val="auto"/>
                <w:kern w:val="0"/>
                <w:szCs w:val="21"/>
                <w:highlight w:val="none"/>
              </w:rPr>
              <w:t>业绩的</w:t>
            </w:r>
            <w:r>
              <w:rPr>
                <w:rFonts w:hint="eastAsia" w:ascii="仿宋_GB2312" w:hAnsi="仿宋_GB2312" w:eastAsia="仿宋_GB2312" w:cs="仿宋_GB2312"/>
                <w:b w:val="0"/>
                <w:bCs w:val="0"/>
                <w:color w:val="auto"/>
                <w:kern w:val="0"/>
                <w:szCs w:val="21"/>
                <w:highlight w:val="none"/>
                <w:lang w:eastAsia="zh-CN"/>
              </w:rPr>
              <w:t>，</w:t>
            </w:r>
            <w:r>
              <w:rPr>
                <w:rFonts w:hint="eastAsia" w:ascii="仿宋_GB2312" w:hAnsi="仿宋_GB2312" w:eastAsia="仿宋_GB2312" w:cs="仿宋_GB2312"/>
                <w:b w:val="0"/>
                <w:bCs w:val="0"/>
                <w:color w:val="auto"/>
                <w:kern w:val="0"/>
                <w:szCs w:val="21"/>
                <w:highlight w:val="none"/>
                <w:lang w:val="en-US" w:eastAsia="zh-CN"/>
              </w:rPr>
              <w:t>每提供一项得50%；工作业绩中有街道办法律顾问服务工作经验的，每提供一项得50%，</w:t>
            </w:r>
            <w:r>
              <w:rPr>
                <w:rFonts w:hint="eastAsia" w:ascii="仿宋_GB2312" w:hAnsi="仿宋_GB2312" w:eastAsia="仿宋_GB2312" w:cs="仿宋_GB2312"/>
                <w:b w:val="0"/>
                <w:bCs w:val="0"/>
                <w:color w:val="auto"/>
                <w:kern w:val="0"/>
                <w:szCs w:val="21"/>
                <w:highlight w:val="none"/>
              </w:rPr>
              <w:t>没有不得分 。</w:t>
            </w:r>
            <w:r>
              <w:rPr>
                <w:rFonts w:hint="eastAsia" w:ascii="仿宋_GB2312" w:hAnsi="仿宋_GB2312" w:eastAsia="仿宋_GB2312" w:cs="仿宋_GB2312"/>
                <w:b w:val="0"/>
                <w:bCs w:val="0"/>
                <w:color w:val="auto"/>
                <w:kern w:val="0"/>
                <w:szCs w:val="21"/>
                <w:highlight w:val="none"/>
                <w:lang w:val="en-US" w:eastAsia="zh-CN"/>
              </w:rPr>
              <w:t>本项目累计得分100%。</w:t>
            </w:r>
          </w:p>
          <w:p>
            <w:pPr>
              <w:keepNext w:val="0"/>
              <w:keepLines w:val="0"/>
              <w:pageBreakBefore w:val="0"/>
              <w:kinsoku/>
              <w:wordWrap/>
              <w:overflowPunct/>
              <w:topLinePunct w:val="0"/>
              <w:autoSpaceDE/>
              <w:autoSpaceDN/>
              <w:bidi w:val="0"/>
              <w:spacing w:line="560" w:lineRule="exact"/>
              <w:jc w:val="left"/>
              <w:textAlignment w:val="auto"/>
              <w:outlineLvl w:val="9"/>
              <w:rPr>
                <w:rFonts w:hint="eastAsia" w:ascii="仿宋_GB2312" w:hAnsi="仿宋_GB2312" w:eastAsia="仿宋_GB2312" w:cs="仿宋_GB2312"/>
                <w:b w:val="0"/>
                <w:bCs w:val="0"/>
                <w:color w:val="auto"/>
                <w:szCs w:val="21"/>
                <w:highlight w:val="none"/>
              </w:rPr>
            </w:pPr>
            <w:r>
              <w:rPr>
                <w:rFonts w:hint="eastAsia" w:ascii="仿宋_GB2312" w:hAnsi="仿宋_GB2312" w:eastAsia="仿宋_GB2312" w:cs="仿宋_GB2312"/>
                <w:b w:val="0"/>
                <w:bCs w:val="0"/>
                <w:color w:val="auto"/>
                <w:szCs w:val="21"/>
                <w:highlight w:val="none"/>
              </w:rPr>
              <w:t>（二）证明文件：</w:t>
            </w:r>
          </w:p>
          <w:p>
            <w:pPr>
              <w:keepNext w:val="0"/>
              <w:keepLines w:val="0"/>
              <w:pageBreakBefore w:val="0"/>
              <w:kinsoku/>
              <w:wordWrap/>
              <w:overflowPunct/>
              <w:topLinePunct w:val="0"/>
              <w:autoSpaceDE/>
              <w:autoSpaceDN/>
              <w:bidi w:val="0"/>
              <w:spacing w:line="560" w:lineRule="exact"/>
              <w:jc w:val="left"/>
              <w:textAlignment w:val="auto"/>
              <w:outlineLvl w:val="9"/>
              <w:rPr>
                <w:rFonts w:hint="eastAsia" w:ascii="仿宋_GB2312" w:hAnsi="仿宋_GB2312" w:eastAsia="仿宋_GB2312" w:cs="仿宋_GB2312"/>
                <w:b w:val="0"/>
                <w:bCs w:val="0"/>
                <w:color w:val="auto"/>
                <w:szCs w:val="21"/>
                <w:highlight w:val="none"/>
                <w:lang w:val="en-US" w:eastAsia="zh-CN"/>
              </w:rPr>
            </w:pPr>
            <w:r>
              <w:rPr>
                <w:rFonts w:hint="eastAsia" w:ascii="仿宋_GB2312" w:hAnsi="仿宋_GB2312" w:eastAsia="仿宋_GB2312" w:cs="仿宋_GB2312"/>
                <w:b w:val="0"/>
                <w:bCs w:val="0"/>
                <w:color w:val="auto"/>
                <w:kern w:val="0"/>
                <w:szCs w:val="21"/>
                <w:highlight w:val="none"/>
                <w:lang w:val="en-US" w:eastAsia="zh-CN"/>
              </w:rPr>
              <w:t>提供近三年（截止投标之日）同类项目委托书或合同关键页（首页或签章页）作为业绩证明材料并加盖投标单位公章，原件备查。评分中出现无证明材料或采购小组无法凭所提供资料判断是否得分情况的，一律做不得分处理。</w:t>
            </w:r>
          </w:p>
        </w:tc>
        <w:tc>
          <w:tcPr>
            <w:tcW w:w="801" w:type="dxa"/>
            <w:vAlign w:val="center"/>
          </w:tcPr>
          <w:p>
            <w:pPr>
              <w:keepNext w:val="0"/>
              <w:keepLines w:val="0"/>
              <w:pageBreakBefore w:val="0"/>
              <w:kinsoku/>
              <w:wordWrap/>
              <w:overflowPunct/>
              <w:topLinePunct w:val="0"/>
              <w:autoSpaceDE/>
              <w:autoSpaceDN/>
              <w:bidi w:val="0"/>
              <w:spacing w:line="560" w:lineRule="exact"/>
              <w:jc w:val="left"/>
              <w:textAlignment w:val="auto"/>
              <w:outlineLvl w:val="9"/>
              <w:rPr>
                <w:rFonts w:hint="eastAsia" w:ascii="仿宋_GB2312" w:hAnsi="仿宋_GB2312" w:eastAsia="仿宋_GB2312" w:cs="仿宋_GB2312"/>
                <w:b w:val="0"/>
                <w:bCs w:val="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637"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snapToGrid w:val="0"/>
                <w:color w:val="auto"/>
                <w:kern w:val="2"/>
                <w:sz w:val="21"/>
                <w:szCs w:val="21"/>
                <w:highlight w:val="none"/>
                <w:lang w:val="en-US" w:eastAsia="zh-CN" w:bidi="ar-SA"/>
              </w:rPr>
            </w:pPr>
            <w:r>
              <w:rPr>
                <w:rFonts w:hint="eastAsia" w:ascii="仿宋_GB2312" w:hAnsi="仿宋_GB2312" w:eastAsia="仿宋_GB2312" w:cs="仿宋_GB2312"/>
                <w:b w:val="0"/>
                <w:bCs w:val="0"/>
                <w:snapToGrid w:val="0"/>
                <w:color w:val="auto"/>
                <w:szCs w:val="21"/>
                <w:highlight w:val="none"/>
                <w:lang w:val="en-US" w:eastAsia="zh-CN"/>
              </w:rPr>
              <w:t>6</w:t>
            </w:r>
          </w:p>
        </w:tc>
        <w:tc>
          <w:tcPr>
            <w:tcW w:w="1118"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b w:val="0"/>
                <w:bCs w:val="0"/>
                <w:snapToGrid w:val="0"/>
                <w:color w:val="auto"/>
                <w:kern w:val="2"/>
                <w:sz w:val="21"/>
                <w:szCs w:val="21"/>
                <w:highlight w:val="none"/>
                <w:lang w:val="en-US" w:eastAsia="zh-CN" w:bidi="ar-SA"/>
              </w:rPr>
            </w:pPr>
            <w:r>
              <w:rPr>
                <w:rFonts w:hint="eastAsia" w:ascii="仿宋_GB2312" w:hAnsi="仿宋_GB2312" w:eastAsia="仿宋_GB2312" w:cs="仿宋_GB2312"/>
                <w:b w:val="0"/>
                <w:bCs w:val="0"/>
                <w:snapToGrid w:val="0"/>
                <w:color w:val="auto"/>
                <w:szCs w:val="21"/>
                <w:highlight w:val="none"/>
                <w:lang w:val="en-US" w:eastAsia="zh-CN"/>
              </w:rPr>
              <w:t>服务的便利性</w:t>
            </w:r>
          </w:p>
        </w:tc>
        <w:tc>
          <w:tcPr>
            <w:tcW w:w="641"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b w:val="0"/>
                <w:bCs w:val="0"/>
                <w:snapToGrid w:val="0"/>
                <w:color w:val="auto"/>
                <w:kern w:val="2"/>
                <w:sz w:val="21"/>
                <w:szCs w:val="21"/>
                <w:highlight w:val="none"/>
                <w:lang w:val="en-US" w:eastAsia="zh-CN" w:bidi="ar-SA"/>
              </w:rPr>
            </w:pPr>
            <w:r>
              <w:rPr>
                <w:rFonts w:hint="eastAsia" w:ascii="仿宋_GB2312" w:hAnsi="仿宋_GB2312" w:eastAsia="仿宋_GB2312" w:cs="仿宋_GB2312"/>
                <w:b w:val="0"/>
                <w:bCs w:val="0"/>
                <w:snapToGrid w:val="0"/>
                <w:color w:val="auto"/>
                <w:szCs w:val="21"/>
                <w:highlight w:val="none"/>
                <w:lang w:val="en-US" w:eastAsia="zh-CN"/>
              </w:rPr>
              <w:t>10</w:t>
            </w:r>
          </w:p>
        </w:tc>
        <w:tc>
          <w:tcPr>
            <w:tcW w:w="1064"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b w:val="0"/>
                <w:bCs w:val="0"/>
                <w:snapToGrid w:val="0"/>
                <w:color w:val="auto"/>
                <w:kern w:val="2"/>
                <w:sz w:val="21"/>
                <w:szCs w:val="21"/>
                <w:highlight w:val="none"/>
                <w:lang w:val="en-US" w:eastAsia="zh-CN" w:bidi="ar-SA"/>
              </w:rPr>
            </w:pPr>
            <w:r>
              <w:rPr>
                <w:rFonts w:hint="eastAsia" w:ascii="仿宋_GB2312" w:hAnsi="仿宋_GB2312" w:eastAsia="仿宋_GB2312" w:cs="仿宋_GB2312"/>
                <w:b w:val="0"/>
                <w:bCs w:val="0"/>
                <w:snapToGrid w:val="0"/>
                <w:color w:val="auto"/>
                <w:szCs w:val="21"/>
                <w:highlight w:val="none"/>
              </w:rPr>
              <w:t>采购小组打分</w:t>
            </w:r>
          </w:p>
        </w:tc>
        <w:tc>
          <w:tcPr>
            <w:tcW w:w="4708" w:type="dxa"/>
            <w:vAlign w:val="center"/>
          </w:tcPr>
          <w:p>
            <w:pPr>
              <w:keepNext w:val="0"/>
              <w:keepLines w:val="0"/>
              <w:pageBreakBefore w:val="0"/>
              <w:kinsoku/>
              <w:wordWrap/>
              <w:overflowPunct/>
              <w:topLinePunct w:val="0"/>
              <w:autoSpaceDE/>
              <w:autoSpaceDN/>
              <w:bidi w:val="0"/>
              <w:adjustRightInd/>
              <w:snapToGrid/>
              <w:spacing w:line="460" w:lineRule="exact"/>
              <w:jc w:val="left"/>
              <w:textAlignment w:val="auto"/>
              <w:outlineLvl w:val="9"/>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（一）评审标准：</w:t>
            </w:r>
          </w:p>
          <w:p>
            <w:pPr>
              <w:keepNext w:val="0"/>
              <w:keepLines w:val="0"/>
              <w:pageBreakBefore w:val="0"/>
              <w:kinsoku/>
              <w:wordWrap/>
              <w:overflowPunct/>
              <w:topLinePunct w:val="0"/>
              <w:autoSpaceDE/>
              <w:autoSpaceDN/>
              <w:bidi w:val="0"/>
              <w:adjustRightInd/>
              <w:snapToGrid/>
              <w:spacing w:line="460" w:lineRule="exact"/>
              <w:jc w:val="left"/>
              <w:textAlignment w:val="auto"/>
              <w:outlineLvl w:val="9"/>
              <w:rPr>
                <w:rFonts w:hint="eastAsia" w:ascii="仿宋_GB2312" w:hAnsi="仿宋_GB2312" w:eastAsia="仿宋_GB2312" w:cs="仿宋_GB2312"/>
                <w:b w:val="0"/>
                <w:bCs w:val="0"/>
                <w:color w:val="auto"/>
                <w:lang w:val="en-US"/>
              </w:rPr>
            </w:pPr>
            <w:r>
              <w:rPr>
                <w:rFonts w:hint="eastAsia" w:ascii="仿宋_GB2312" w:hAnsi="仿宋_GB2312" w:eastAsia="仿宋_GB2312" w:cs="仿宋_GB2312"/>
                <w:b w:val="0"/>
                <w:bCs w:val="0"/>
                <w:color w:val="auto"/>
                <w:lang w:val="en-US"/>
              </w:rPr>
              <w:t>1.评审内容：</w:t>
            </w:r>
          </w:p>
          <w:p>
            <w:pPr>
              <w:keepNext w:val="0"/>
              <w:keepLines w:val="0"/>
              <w:pageBreakBefore w:val="0"/>
              <w:widowControl/>
              <w:kinsoku/>
              <w:wordWrap/>
              <w:overflowPunct/>
              <w:topLinePunct w:val="0"/>
              <w:autoSpaceDE/>
              <w:autoSpaceDN/>
              <w:bidi w:val="0"/>
              <w:adjustRightInd/>
              <w:snapToGrid/>
              <w:spacing w:line="460" w:lineRule="exact"/>
              <w:jc w:val="left"/>
              <w:textAlignment w:val="auto"/>
              <w:outlineLvl w:val="9"/>
              <w:rPr>
                <w:rFonts w:hint="eastAsia" w:ascii="仿宋_GB2312" w:hAnsi="仿宋_GB2312" w:eastAsia="仿宋_GB2312" w:cs="仿宋_GB2312"/>
                <w:b w:val="0"/>
                <w:bCs w:val="0"/>
                <w:color w:val="auto"/>
                <w:lang w:val="en-US" w:eastAsia="zh-CN"/>
              </w:rPr>
            </w:pPr>
            <w:r>
              <w:rPr>
                <w:rFonts w:hint="eastAsia" w:ascii="仿宋_GB2312" w:hAnsi="仿宋_GB2312" w:eastAsia="仿宋_GB2312" w:cs="仿宋_GB2312"/>
                <w:b w:val="0"/>
                <w:bCs w:val="0"/>
                <w:color w:val="auto"/>
              </w:rPr>
              <w:t>（1）投标人在</w:t>
            </w:r>
            <w:r>
              <w:rPr>
                <w:rFonts w:hint="eastAsia" w:ascii="仿宋_GB2312" w:hAnsi="仿宋_GB2312" w:eastAsia="仿宋_GB2312" w:cs="仿宋_GB2312"/>
                <w:b w:val="0"/>
                <w:bCs w:val="0"/>
                <w:color w:val="auto"/>
                <w:lang w:val="en-US" w:eastAsia="zh-CN"/>
              </w:rPr>
              <w:t>项目地</w:t>
            </w:r>
            <w:r>
              <w:rPr>
                <w:rFonts w:hint="eastAsia" w:ascii="仿宋_GB2312" w:hAnsi="仿宋_GB2312" w:eastAsia="仿宋_GB2312" w:cs="仿宋_GB2312"/>
                <w:b w:val="0"/>
                <w:bCs w:val="0"/>
                <w:color w:val="auto"/>
                <w:lang w:eastAsia="zh-CN"/>
              </w:rPr>
              <w:t>所在</w:t>
            </w:r>
            <w:r>
              <w:rPr>
                <w:rFonts w:hint="eastAsia" w:ascii="仿宋_GB2312" w:hAnsi="仿宋_GB2312" w:eastAsia="仿宋_GB2312" w:cs="仿宋_GB2312"/>
                <w:b w:val="0"/>
                <w:bCs w:val="0"/>
                <w:color w:val="auto"/>
              </w:rPr>
              <w:t>区有经营场所或服务网点的</w:t>
            </w:r>
            <w:r>
              <w:rPr>
                <w:rFonts w:hint="eastAsia" w:ascii="仿宋_GB2312" w:hAnsi="仿宋_GB2312" w:eastAsia="仿宋_GB2312" w:cs="仿宋_GB2312"/>
                <w:b w:val="0"/>
                <w:bCs w:val="0"/>
                <w:color w:val="auto"/>
                <w:lang w:eastAsia="zh-CN"/>
              </w:rPr>
              <w:t>，得</w:t>
            </w:r>
            <w:r>
              <w:rPr>
                <w:rFonts w:hint="eastAsia" w:ascii="仿宋_GB2312" w:hAnsi="仿宋_GB2312" w:eastAsia="仿宋_GB2312" w:cs="仿宋_GB2312"/>
                <w:b w:val="0"/>
                <w:bCs w:val="0"/>
                <w:color w:val="auto"/>
                <w:lang w:val="en-US" w:eastAsia="zh-CN"/>
              </w:rPr>
              <w:t>50%</w:t>
            </w:r>
            <w:r>
              <w:rPr>
                <w:rFonts w:hint="eastAsia" w:ascii="仿宋_GB2312" w:hAnsi="仿宋_GB2312" w:eastAsia="仿宋_GB2312" w:cs="仿宋_GB2312"/>
                <w:b w:val="0"/>
                <w:bCs w:val="0"/>
                <w:color w:val="auto"/>
              </w:rPr>
              <w:t>；</w:t>
            </w:r>
          </w:p>
          <w:p>
            <w:pPr>
              <w:keepNext w:val="0"/>
              <w:keepLines w:val="0"/>
              <w:pageBreakBefore w:val="0"/>
              <w:widowControl/>
              <w:kinsoku/>
              <w:wordWrap/>
              <w:overflowPunct/>
              <w:topLinePunct w:val="0"/>
              <w:autoSpaceDE/>
              <w:autoSpaceDN/>
              <w:bidi w:val="0"/>
              <w:adjustRightInd/>
              <w:snapToGrid/>
              <w:spacing w:line="460" w:lineRule="exact"/>
              <w:jc w:val="left"/>
              <w:textAlignment w:val="auto"/>
              <w:outlineLvl w:val="9"/>
              <w:rPr>
                <w:rFonts w:hint="eastAsia" w:ascii="仿宋_GB2312" w:hAnsi="仿宋_GB2312" w:eastAsia="仿宋_GB2312" w:cs="仿宋_GB2312"/>
                <w:b w:val="0"/>
                <w:bCs w:val="0"/>
                <w:color w:val="auto"/>
                <w:lang w:val="en-US" w:eastAsia="zh-CN"/>
              </w:rPr>
            </w:pPr>
            <w:r>
              <w:rPr>
                <w:rFonts w:hint="eastAsia" w:ascii="仿宋_GB2312" w:hAnsi="仿宋_GB2312" w:eastAsia="仿宋_GB2312" w:cs="仿宋_GB2312"/>
                <w:b w:val="0"/>
                <w:bCs w:val="0"/>
                <w:color w:val="auto"/>
              </w:rPr>
              <w:t>（2）投标人能及时响应采购人临时提出</w:t>
            </w:r>
            <w:r>
              <w:rPr>
                <w:rFonts w:hint="eastAsia" w:ascii="仿宋_GB2312" w:hAnsi="仿宋_GB2312" w:eastAsia="仿宋_GB2312" w:cs="仿宋_GB2312"/>
                <w:b w:val="0"/>
                <w:bCs w:val="0"/>
                <w:color w:val="auto"/>
                <w:lang w:eastAsia="zh-CN"/>
              </w:rPr>
              <w:t>到达现场</w:t>
            </w:r>
            <w:r>
              <w:rPr>
                <w:rFonts w:hint="eastAsia" w:ascii="仿宋_GB2312" w:hAnsi="仿宋_GB2312" w:eastAsia="仿宋_GB2312" w:cs="仿宋_GB2312"/>
                <w:b w:val="0"/>
                <w:bCs w:val="0"/>
                <w:color w:val="auto"/>
              </w:rPr>
              <w:t>的工作需求，以百度地图自驾车最短路程测算，经营场所或服务网点</w:t>
            </w:r>
            <w:r>
              <w:rPr>
                <w:rFonts w:hint="eastAsia" w:ascii="仿宋_GB2312" w:hAnsi="仿宋_GB2312" w:eastAsia="仿宋_GB2312" w:cs="仿宋_GB2312"/>
                <w:b w:val="0"/>
                <w:bCs w:val="0"/>
                <w:color w:val="auto"/>
                <w:lang w:eastAsia="zh-CN"/>
              </w:rPr>
              <w:t>距离采购方</w:t>
            </w:r>
            <w:r>
              <w:rPr>
                <w:rFonts w:hint="eastAsia" w:ascii="仿宋_GB2312" w:hAnsi="仿宋_GB2312" w:eastAsia="仿宋_GB2312" w:cs="仿宋_GB2312"/>
                <w:b w:val="0"/>
                <w:bCs w:val="0"/>
                <w:color w:val="auto"/>
                <w:lang w:val="en-US" w:eastAsia="zh-CN"/>
              </w:rPr>
              <w:t>3公里（含）以内，得50%。</w:t>
            </w:r>
          </w:p>
          <w:p>
            <w:pPr>
              <w:keepNext w:val="0"/>
              <w:keepLines w:val="0"/>
              <w:pageBreakBefore w:val="0"/>
              <w:widowControl/>
              <w:kinsoku/>
              <w:wordWrap/>
              <w:overflowPunct/>
              <w:topLinePunct w:val="0"/>
              <w:autoSpaceDE/>
              <w:autoSpaceDN/>
              <w:bidi w:val="0"/>
              <w:adjustRightInd/>
              <w:snapToGrid/>
              <w:spacing w:line="460" w:lineRule="exact"/>
              <w:jc w:val="left"/>
              <w:textAlignment w:val="auto"/>
              <w:outlineLvl w:val="9"/>
              <w:rPr>
                <w:rFonts w:hint="eastAsia" w:ascii="仿宋_GB2312" w:hAnsi="仿宋_GB2312" w:eastAsia="仿宋_GB2312" w:cs="仿宋_GB2312"/>
                <w:b w:val="0"/>
                <w:bCs w:val="0"/>
                <w:color w:val="auto"/>
                <w:lang w:val="en-US" w:eastAsia="zh-CN"/>
              </w:rPr>
            </w:pPr>
            <w:r>
              <w:rPr>
                <w:rFonts w:hint="eastAsia" w:ascii="仿宋_GB2312" w:hAnsi="仿宋_GB2312" w:eastAsia="仿宋_GB2312" w:cs="仿宋_GB2312"/>
                <w:b w:val="0"/>
                <w:bCs w:val="0"/>
                <w:color w:val="auto"/>
                <w:lang w:val="en-US" w:eastAsia="zh-CN"/>
              </w:rPr>
              <w:t>以上两项累计得分，最高得100%。</w:t>
            </w:r>
          </w:p>
          <w:p>
            <w:pPr>
              <w:keepNext w:val="0"/>
              <w:keepLines w:val="0"/>
              <w:pageBreakBefore w:val="0"/>
              <w:widowControl/>
              <w:kinsoku/>
              <w:wordWrap/>
              <w:overflowPunct/>
              <w:topLinePunct w:val="0"/>
              <w:autoSpaceDE/>
              <w:autoSpaceDN/>
              <w:bidi w:val="0"/>
              <w:adjustRightInd/>
              <w:snapToGrid/>
              <w:spacing w:line="460" w:lineRule="exact"/>
              <w:jc w:val="left"/>
              <w:textAlignment w:val="auto"/>
              <w:outlineLvl w:val="9"/>
              <w:rPr>
                <w:rFonts w:hint="eastAsia" w:ascii="仿宋_GB2312" w:hAnsi="仿宋_GB2312" w:eastAsia="仿宋_GB2312" w:cs="仿宋_GB2312"/>
                <w:b w:val="0"/>
                <w:bCs w:val="0"/>
                <w:color w:val="auto"/>
                <w:lang w:val="en-US" w:eastAsia="zh-CN"/>
              </w:rPr>
            </w:pPr>
            <w:r>
              <w:rPr>
                <w:rFonts w:hint="eastAsia" w:ascii="仿宋_GB2312" w:hAnsi="仿宋_GB2312" w:eastAsia="仿宋_GB2312" w:cs="仿宋_GB2312"/>
                <w:b w:val="0"/>
                <w:bCs w:val="0"/>
                <w:color w:val="auto"/>
                <w:lang w:val="en-US"/>
              </w:rPr>
              <w:t>2.证明文件：</w:t>
            </w:r>
          </w:p>
          <w:p>
            <w:pPr>
              <w:keepNext w:val="0"/>
              <w:keepLines w:val="0"/>
              <w:pageBreakBefore w:val="0"/>
              <w:widowControl/>
              <w:kinsoku/>
              <w:wordWrap/>
              <w:overflowPunct/>
              <w:topLinePunct w:val="0"/>
              <w:autoSpaceDE/>
              <w:autoSpaceDN/>
              <w:bidi w:val="0"/>
              <w:adjustRightInd/>
              <w:snapToGrid/>
              <w:spacing w:line="460" w:lineRule="exact"/>
              <w:jc w:val="left"/>
              <w:textAlignment w:val="auto"/>
              <w:outlineLvl w:val="9"/>
              <w:rPr>
                <w:rFonts w:hint="eastAsia" w:ascii="仿宋_GB2312" w:hAnsi="仿宋_GB2312" w:eastAsia="仿宋_GB2312" w:cs="仿宋_GB2312"/>
                <w:b w:val="0"/>
                <w:bCs w:val="0"/>
                <w:color w:val="auto"/>
                <w:lang w:eastAsia="zh-CN"/>
              </w:rPr>
            </w:pPr>
            <w:r>
              <w:rPr>
                <w:rFonts w:hint="eastAsia" w:ascii="仿宋_GB2312" w:hAnsi="仿宋_GB2312" w:eastAsia="仿宋_GB2312" w:cs="仿宋_GB2312"/>
                <w:b w:val="0"/>
                <w:bCs w:val="0"/>
                <w:color w:val="auto"/>
                <w:lang w:eastAsia="zh-CN"/>
              </w:rPr>
              <w:t>（</w:t>
            </w:r>
            <w:r>
              <w:rPr>
                <w:rFonts w:hint="eastAsia" w:ascii="仿宋_GB2312" w:hAnsi="仿宋_GB2312" w:eastAsia="仿宋_GB2312" w:cs="仿宋_GB2312"/>
                <w:b w:val="0"/>
                <w:bCs w:val="0"/>
                <w:color w:val="auto"/>
                <w:lang w:val="en-US" w:eastAsia="zh-CN"/>
              </w:rPr>
              <w:t>1</w:t>
            </w:r>
            <w:r>
              <w:rPr>
                <w:rFonts w:hint="eastAsia" w:ascii="仿宋_GB2312" w:hAnsi="仿宋_GB2312" w:eastAsia="仿宋_GB2312" w:cs="仿宋_GB2312"/>
                <w:b w:val="0"/>
                <w:bCs w:val="0"/>
                <w:color w:val="auto"/>
                <w:lang w:eastAsia="zh-CN"/>
              </w:rPr>
              <w:t>）</w:t>
            </w:r>
            <w:r>
              <w:rPr>
                <w:rFonts w:hint="eastAsia" w:ascii="仿宋_GB2312" w:hAnsi="仿宋_GB2312" w:eastAsia="仿宋_GB2312" w:cs="仿宋_GB2312"/>
                <w:b w:val="0"/>
                <w:bCs w:val="0"/>
                <w:color w:val="auto"/>
              </w:rPr>
              <w:t>投标人须提供</w:t>
            </w:r>
            <w:r>
              <w:rPr>
                <w:rFonts w:hint="eastAsia" w:ascii="仿宋_GB2312" w:hAnsi="仿宋_GB2312" w:eastAsia="仿宋_GB2312" w:cs="仿宋_GB2312"/>
                <w:b w:val="0"/>
                <w:bCs w:val="0"/>
                <w:color w:val="auto"/>
                <w:lang w:eastAsia="zh-CN"/>
              </w:rPr>
              <w:t>律师执业</w:t>
            </w:r>
            <w:r>
              <w:rPr>
                <w:rFonts w:hint="eastAsia" w:ascii="仿宋_GB2312" w:hAnsi="仿宋_GB2312" w:eastAsia="仿宋_GB2312" w:cs="仿宋_GB2312"/>
                <w:b w:val="0"/>
                <w:bCs w:val="0"/>
                <w:color w:val="auto"/>
                <w:lang w:val="en-US" w:eastAsia="zh-CN"/>
              </w:rPr>
              <w:t>许可证（副本）</w:t>
            </w:r>
            <w:r>
              <w:rPr>
                <w:rFonts w:hint="eastAsia" w:ascii="仿宋_GB2312" w:hAnsi="仿宋_GB2312" w:eastAsia="仿宋_GB2312" w:cs="仿宋_GB2312"/>
                <w:b w:val="0"/>
                <w:bCs w:val="0"/>
                <w:color w:val="auto"/>
                <w:lang w:eastAsia="zh-CN"/>
              </w:rPr>
              <w:t>及房屋</w:t>
            </w:r>
            <w:r>
              <w:rPr>
                <w:rFonts w:hint="eastAsia" w:ascii="仿宋_GB2312" w:hAnsi="仿宋_GB2312" w:eastAsia="仿宋_GB2312" w:cs="仿宋_GB2312"/>
                <w:b w:val="0"/>
                <w:bCs w:val="0"/>
                <w:color w:val="auto"/>
              </w:rPr>
              <w:t>租赁</w:t>
            </w:r>
            <w:r>
              <w:rPr>
                <w:rFonts w:hint="eastAsia" w:ascii="仿宋_GB2312" w:hAnsi="仿宋_GB2312" w:eastAsia="仿宋_GB2312" w:cs="仿宋_GB2312"/>
                <w:b w:val="0"/>
                <w:bCs w:val="0"/>
                <w:color w:val="auto"/>
                <w:lang w:eastAsia="zh-CN"/>
              </w:rPr>
              <w:t>或购买</w:t>
            </w:r>
            <w:r>
              <w:rPr>
                <w:rFonts w:hint="eastAsia" w:ascii="仿宋_GB2312" w:hAnsi="仿宋_GB2312" w:eastAsia="仿宋_GB2312" w:cs="仿宋_GB2312"/>
                <w:b w:val="0"/>
                <w:bCs w:val="0"/>
                <w:color w:val="auto"/>
              </w:rPr>
              <w:t>合同关键页</w:t>
            </w:r>
            <w:r>
              <w:rPr>
                <w:rFonts w:hint="eastAsia" w:ascii="仿宋_GB2312" w:hAnsi="仿宋_GB2312" w:eastAsia="仿宋_GB2312" w:cs="仿宋_GB2312"/>
                <w:b w:val="0"/>
                <w:bCs w:val="0"/>
                <w:color w:val="auto"/>
                <w:lang w:eastAsia="zh-CN"/>
              </w:rPr>
              <w:t>复印件或扫描件并加盖投标人公章；（</w:t>
            </w:r>
            <w:r>
              <w:rPr>
                <w:rFonts w:hint="eastAsia" w:ascii="仿宋_GB2312" w:hAnsi="仿宋_GB2312" w:eastAsia="仿宋_GB2312" w:cs="仿宋_GB2312"/>
                <w:b w:val="0"/>
                <w:bCs w:val="0"/>
                <w:color w:val="auto"/>
                <w:lang w:val="en-US" w:eastAsia="zh-CN"/>
              </w:rPr>
              <w:t>2</w:t>
            </w:r>
            <w:r>
              <w:rPr>
                <w:rFonts w:hint="eastAsia" w:ascii="仿宋_GB2312" w:hAnsi="仿宋_GB2312" w:eastAsia="仿宋_GB2312" w:cs="仿宋_GB2312"/>
                <w:b w:val="0"/>
                <w:bCs w:val="0"/>
                <w:color w:val="auto"/>
                <w:lang w:eastAsia="zh-CN"/>
              </w:rPr>
              <w:t>）</w:t>
            </w:r>
            <w:r>
              <w:rPr>
                <w:rFonts w:hint="eastAsia" w:ascii="仿宋_GB2312" w:hAnsi="仿宋_GB2312" w:eastAsia="仿宋_GB2312" w:cs="仿宋_GB2312"/>
                <w:b w:val="0"/>
                <w:bCs w:val="0"/>
                <w:color w:val="auto"/>
                <w:lang w:val="en-US" w:eastAsia="zh-CN"/>
              </w:rPr>
              <w:t>由投标人</w:t>
            </w:r>
            <w:r>
              <w:rPr>
                <w:rFonts w:hint="eastAsia" w:ascii="仿宋_GB2312" w:hAnsi="仿宋_GB2312" w:eastAsia="仿宋_GB2312" w:cs="仿宋_GB2312"/>
                <w:b w:val="0"/>
                <w:bCs w:val="0"/>
                <w:color w:val="auto"/>
              </w:rPr>
              <w:t>按百度地图自驾车最短路程测算，以</w:t>
            </w:r>
            <w:r>
              <w:rPr>
                <w:rFonts w:hint="eastAsia" w:ascii="仿宋_GB2312" w:hAnsi="仿宋_GB2312" w:eastAsia="仿宋_GB2312" w:cs="仿宋_GB2312"/>
                <w:b w:val="0"/>
                <w:bCs w:val="0"/>
                <w:color w:val="auto"/>
                <w:lang w:val="en-US" w:eastAsia="zh-CN"/>
              </w:rPr>
              <w:t>坪山</w:t>
            </w:r>
            <w:r>
              <w:rPr>
                <w:rFonts w:hint="eastAsia" w:ascii="仿宋_GB2312" w:hAnsi="仿宋_GB2312" w:eastAsia="仿宋_GB2312" w:cs="仿宋_GB2312"/>
                <w:b w:val="0"/>
                <w:bCs w:val="0"/>
                <w:color w:val="auto"/>
                <w:lang w:eastAsia="zh-CN"/>
              </w:rPr>
              <w:t>街道办事处为起点，提供百度地图最短路程截图证明并加盖投标人公章。</w:t>
            </w:r>
          </w:p>
          <w:p>
            <w:pPr>
              <w:keepNext w:val="0"/>
              <w:keepLines w:val="0"/>
              <w:pageBreakBefore w:val="0"/>
              <w:widowControl/>
              <w:kinsoku/>
              <w:wordWrap/>
              <w:overflowPunct/>
              <w:topLinePunct w:val="0"/>
              <w:autoSpaceDE/>
              <w:autoSpaceDN/>
              <w:bidi w:val="0"/>
              <w:adjustRightInd/>
              <w:snapToGrid/>
              <w:spacing w:line="460" w:lineRule="exact"/>
              <w:jc w:val="left"/>
              <w:textAlignment w:val="auto"/>
              <w:outlineLvl w:val="9"/>
              <w:rPr>
                <w:rFonts w:hint="eastAsia" w:ascii="仿宋_GB2312" w:hAnsi="仿宋_GB2312" w:eastAsia="仿宋_GB2312" w:cs="仿宋_GB2312"/>
                <w:b w:val="0"/>
                <w:bCs w:val="0"/>
                <w:color w:val="auto"/>
                <w:lang w:val="en-US" w:eastAsia="zh-CN"/>
              </w:rPr>
            </w:pPr>
            <w:r>
              <w:rPr>
                <w:rFonts w:hint="eastAsia" w:ascii="仿宋_GB2312" w:hAnsi="仿宋_GB2312" w:eastAsia="仿宋_GB2312" w:cs="仿宋_GB2312"/>
                <w:b w:val="0"/>
                <w:bCs w:val="0"/>
                <w:color w:val="auto"/>
                <w:lang w:val="en-US" w:eastAsia="zh-CN"/>
              </w:rPr>
              <w:t>评分中出现无证明资料或采购小组无法凭所提供资料判断是否得分的情况，一律作不得分处理。</w:t>
            </w:r>
          </w:p>
        </w:tc>
        <w:tc>
          <w:tcPr>
            <w:tcW w:w="801" w:type="dxa"/>
            <w:vAlign w:val="center"/>
          </w:tcPr>
          <w:p>
            <w:pPr>
              <w:keepNext w:val="0"/>
              <w:keepLines w:val="0"/>
              <w:pageBreakBefore w:val="0"/>
              <w:kinsoku/>
              <w:wordWrap/>
              <w:overflowPunct/>
              <w:topLinePunct w:val="0"/>
              <w:autoSpaceDE/>
              <w:autoSpaceDN/>
              <w:bidi w:val="0"/>
              <w:adjustRightInd/>
              <w:snapToGrid/>
              <w:spacing w:line="460" w:lineRule="exact"/>
              <w:jc w:val="left"/>
              <w:textAlignment w:val="auto"/>
              <w:outlineLvl w:val="9"/>
              <w:rPr>
                <w:rFonts w:hint="eastAsia" w:ascii="仿宋_GB2312" w:hAnsi="仿宋_GB2312" w:eastAsia="仿宋_GB2312" w:cs="仿宋_GB2312"/>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jc w:val="center"/>
        </w:trPr>
        <w:tc>
          <w:tcPr>
            <w:tcW w:w="637" w:type="dxa"/>
            <w:vAlign w:val="center"/>
          </w:tcPr>
          <w:p>
            <w:pPr>
              <w:keepNext w:val="0"/>
              <w:keepLines w:val="0"/>
              <w:pageBreakBefore w:val="0"/>
              <w:kinsoku/>
              <w:wordWrap/>
              <w:overflowPunct/>
              <w:topLinePunct w:val="0"/>
              <w:autoSpaceDE/>
              <w:autoSpaceDN/>
              <w:bidi w:val="0"/>
              <w:spacing w:line="560" w:lineRule="exact"/>
              <w:ind w:firstLine="210" w:firstLineChars="100"/>
              <w:jc w:val="both"/>
              <w:textAlignment w:val="auto"/>
              <w:outlineLvl w:val="9"/>
              <w:rPr>
                <w:rFonts w:hint="eastAsia" w:ascii="仿宋_GB2312" w:hAnsi="仿宋_GB2312" w:eastAsia="仿宋_GB2312" w:cs="仿宋_GB2312"/>
                <w:b w:val="0"/>
                <w:bCs w:val="0"/>
                <w:snapToGrid w:val="0"/>
                <w:color w:val="auto"/>
                <w:szCs w:val="21"/>
                <w:highlight w:val="none"/>
                <w:lang w:val="en-US" w:eastAsia="zh-CN"/>
              </w:rPr>
            </w:pPr>
            <w:r>
              <w:rPr>
                <w:rFonts w:hint="eastAsia" w:ascii="仿宋_GB2312" w:hAnsi="仿宋_GB2312" w:eastAsia="仿宋_GB2312" w:cs="仿宋_GB2312"/>
                <w:b w:val="0"/>
                <w:bCs w:val="0"/>
                <w:snapToGrid w:val="0"/>
                <w:color w:val="auto"/>
                <w:szCs w:val="21"/>
                <w:highlight w:val="none"/>
                <w:lang w:val="en-US" w:eastAsia="zh-CN"/>
              </w:rPr>
              <w:t>7</w:t>
            </w:r>
          </w:p>
        </w:tc>
        <w:tc>
          <w:tcPr>
            <w:tcW w:w="1118" w:type="dxa"/>
            <w:vAlign w:val="center"/>
          </w:tcPr>
          <w:p>
            <w:pPr>
              <w:keepNext w:val="0"/>
              <w:keepLines w:val="0"/>
              <w:pageBreakBefore w:val="0"/>
              <w:kinsoku/>
              <w:wordWrap/>
              <w:overflowPunct/>
              <w:topLinePunct w:val="0"/>
              <w:autoSpaceDE/>
              <w:autoSpaceDN/>
              <w:bidi w:val="0"/>
              <w:adjustRightInd/>
              <w:snapToGrid/>
              <w:spacing w:line="460" w:lineRule="exact"/>
              <w:textAlignment w:val="auto"/>
              <w:outlineLvl w:val="9"/>
              <w:rPr>
                <w:rFonts w:hint="eastAsia" w:ascii="仿宋_GB2312" w:hAnsi="仿宋_GB2312" w:eastAsia="仿宋_GB2312" w:cs="仿宋_GB2312"/>
                <w:b w:val="0"/>
                <w:bCs w:val="0"/>
                <w:snapToGrid w:val="0"/>
                <w:color w:val="auto"/>
                <w:szCs w:val="21"/>
                <w:highlight w:val="none"/>
              </w:rPr>
            </w:pPr>
            <w:r>
              <w:rPr>
                <w:rFonts w:hint="eastAsia" w:ascii="仿宋_GB2312" w:hAnsi="仿宋_GB2312" w:eastAsia="仿宋_GB2312" w:cs="仿宋_GB2312"/>
                <w:b w:val="0"/>
                <w:bCs w:val="0"/>
                <w:snapToGrid w:val="0"/>
                <w:color w:val="auto"/>
                <w:kern w:val="0"/>
                <w:szCs w:val="21"/>
                <w:highlight w:val="none"/>
              </w:rPr>
              <w:t>项目运营团队配置</w:t>
            </w:r>
          </w:p>
        </w:tc>
        <w:tc>
          <w:tcPr>
            <w:tcW w:w="641" w:type="dxa"/>
            <w:vAlign w:val="center"/>
          </w:tcPr>
          <w:p>
            <w:pPr>
              <w:keepNext w:val="0"/>
              <w:keepLines w:val="0"/>
              <w:pageBreakBefore w:val="0"/>
              <w:kinsoku/>
              <w:wordWrap/>
              <w:overflowPunct/>
              <w:topLinePunct w:val="0"/>
              <w:autoSpaceDE/>
              <w:autoSpaceDN/>
              <w:bidi w:val="0"/>
              <w:adjustRightInd/>
              <w:snapToGrid/>
              <w:spacing w:line="460" w:lineRule="exact"/>
              <w:ind w:firstLine="210" w:firstLineChars="100"/>
              <w:textAlignment w:val="auto"/>
              <w:outlineLvl w:val="9"/>
              <w:rPr>
                <w:rFonts w:hint="eastAsia" w:ascii="仿宋_GB2312" w:hAnsi="仿宋_GB2312" w:eastAsia="仿宋_GB2312" w:cs="仿宋_GB2312"/>
                <w:b w:val="0"/>
                <w:bCs w:val="0"/>
                <w:snapToGrid w:val="0"/>
                <w:color w:val="auto"/>
                <w:szCs w:val="21"/>
                <w:highlight w:val="none"/>
                <w:lang w:val="en-US" w:eastAsia="zh-CN"/>
              </w:rPr>
            </w:pPr>
            <w:r>
              <w:rPr>
                <w:rFonts w:hint="eastAsia" w:ascii="仿宋_GB2312" w:hAnsi="仿宋_GB2312" w:eastAsia="仿宋_GB2312" w:cs="仿宋_GB2312"/>
                <w:b w:val="0"/>
                <w:bCs w:val="0"/>
                <w:snapToGrid w:val="0"/>
                <w:color w:val="auto"/>
                <w:szCs w:val="21"/>
                <w:highlight w:val="none"/>
                <w:lang w:val="en-US" w:eastAsia="zh-CN"/>
              </w:rPr>
              <w:t>10</w:t>
            </w:r>
          </w:p>
        </w:tc>
        <w:tc>
          <w:tcPr>
            <w:tcW w:w="1064"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b w:val="0"/>
                <w:bCs w:val="0"/>
                <w:snapToGrid w:val="0"/>
                <w:color w:val="auto"/>
                <w:szCs w:val="21"/>
                <w:highlight w:val="none"/>
              </w:rPr>
            </w:pPr>
            <w:r>
              <w:rPr>
                <w:rFonts w:hint="eastAsia" w:ascii="仿宋_GB2312" w:hAnsi="仿宋_GB2312" w:eastAsia="仿宋_GB2312" w:cs="仿宋_GB2312"/>
                <w:b w:val="0"/>
                <w:bCs w:val="0"/>
                <w:snapToGrid w:val="0"/>
                <w:color w:val="auto"/>
                <w:szCs w:val="21"/>
                <w:highlight w:val="none"/>
              </w:rPr>
              <w:t>采购小组打分</w:t>
            </w:r>
          </w:p>
        </w:tc>
        <w:tc>
          <w:tcPr>
            <w:tcW w:w="4708" w:type="dxa"/>
            <w:vAlign w:val="center"/>
          </w:tcPr>
          <w:p>
            <w:pPr>
              <w:keepNext w:val="0"/>
              <w:keepLines w:val="0"/>
              <w:pageBreakBefore w:val="0"/>
              <w:kinsoku/>
              <w:wordWrap/>
              <w:overflowPunct/>
              <w:topLinePunct w:val="0"/>
              <w:autoSpaceDE/>
              <w:autoSpaceDN/>
              <w:bidi w:val="0"/>
              <w:adjustRightInd/>
              <w:snapToGrid/>
              <w:spacing w:line="460" w:lineRule="exact"/>
              <w:jc w:val="left"/>
              <w:textAlignment w:val="auto"/>
              <w:outlineLvl w:val="9"/>
              <w:rPr>
                <w:rFonts w:hint="eastAsia" w:ascii="仿宋_GB2312" w:hAnsi="仿宋_GB2312" w:eastAsia="仿宋_GB2312" w:cs="仿宋_GB2312"/>
                <w:b w:val="0"/>
                <w:bCs w:val="0"/>
                <w:color w:val="auto"/>
                <w:szCs w:val="21"/>
                <w:highlight w:val="none"/>
              </w:rPr>
            </w:pPr>
            <w:r>
              <w:rPr>
                <w:rFonts w:hint="eastAsia" w:ascii="仿宋_GB2312" w:hAnsi="仿宋_GB2312" w:eastAsia="仿宋_GB2312" w:cs="仿宋_GB2312"/>
                <w:b w:val="0"/>
                <w:bCs w:val="0"/>
                <w:color w:val="auto"/>
                <w:szCs w:val="21"/>
                <w:highlight w:val="none"/>
                <w:lang w:eastAsia="zh-CN"/>
              </w:rPr>
              <w:t>投标单位</w:t>
            </w:r>
            <w:r>
              <w:rPr>
                <w:rFonts w:hint="eastAsia" w:ascii="仿宋_GB2312" w:hAnsi="仿宋_GB2312" w:eastAsia="仿宋_GB2312" w:cs="仿宋_GB2312"/>
                <w:b w:val="0"/>
                <w:bCs w:val="0"/>
                <w:color w:val="auto"/>
                <w:szCs w:val="21"/>
                <w:highlight w:val="none"/>
              </w:rPr>
              <w:t>拟安排本项目</w:t>
            </w:r>
            <w:r>
              <w:rPr>
                <w:rFonts w:hint="eastAsia" w:ascii="仿宋_GB2312" w:hAnsi="仿宋_GB2312" w:eastAsia="仿宋_GB2312" w:cs="仿宋_GB2312"/>
                <w:b w:val="0"/>
                <w:bCs w:val="0"/>
                <w:color w:val="auto"/>
                <w:szCs w:val="21"/>
                <w:highlight w:val="none"/>
                <w:lang w:val="en-US" w:eastAsia="zh-CN"/>
              </w:rPr>
              <w:t>团队人员</w:t>
            </w:r>
            <w:r>
              <w:rPr>
                <w:rFonts w:hint="eastAsia" w:ascii="仿宋_GB2312" w:hAnsi="仿宋_GB2312" w:eastAsia="仿宋_GB2312" w:cs="仿宋_GB2312"/>
                <w:b w:val="0"/>
                <w:bCs w:val="0"/>
                <w:color w:val="auto"/>
                <w:szCs w:val="21"/>
                <w:highlight w:val="none"/>
              </w:rPr>
              <w:t>资质情况：</w:t>
            </w:r>
          </w:p>
          <w:p>
            <w:pPr>
              <w:keepNext w:val="0"/>
              <w:keepLines w:val="0"/>
              <w:pageBreakBefore w:val="0"/>
              <w:kinsoku/>
              <w:wordWrap/>
              <w:overflowPunct/>
              <w:topLinePunct w:val="0"/>
              <w:autoSpaceDE/>
              <w:autoSpaceDN/>
              <w:bidi w:val="0"/>
              <w:adjustRightInd/>
              <w:snapToGrid/>
              <w:spacing w:line="460" w:lineRule="exact"/>
              <w:jc w:val="left"/>
              <w:textAlignment w:val="auto"/>
              <w:outlineLvl w:val="9"/>
              <w:rPr>
                <w:rFonts w:hint="eastAsia" w:ascii="仿宋_GB2312" w:hAnsi="仿宋_GB2312" w:eastAsia="仿宋_GB2312" w:cs="仿宋_GB2312"/>
                <w:b w:val="0"/>
                <w:bCs w:val="0"/>
                <w:color w:val="auto"/>
                <w:szCs w:val="21"/>
                <w:highlight w:val="none"/>
              </w:rPr>
            </w:pPr>
            <w:r>
              <w:rPr>
                <w:rFonts w:hint="eastAsia" w:ascii="仿宋_GB2312" w:hAnsi="仿宋_GB2312" w:eastAsia="仿宋_GB2312" w:cs="仿宋_GB2312"/>
                <w:b w:val="0"/>
                <w:bCs w:val="0"/>
                <w:color w:val="auto"/>
                <w:szCs w:val="21"/>
                <w:highlight w:val="none"/>
              </w:rPr>
              <w:t>1.具有本科及以上学历的，得</w:t>
            </w:r>
            <w:r>
              <w:rPr>
                <w:rFonts w:hint="eastAsia" w:ascii="仿宋_GB2312" w:hAnsi="仿宋_GB2312" w:eastAsia="仿宋_GB2312" w:cs="仿宋_GB2312"/>
                <w:b w:val="0"/>
                <w:bCs w:val="0"/>
                <w:color w:val="auto"/>
                <w:szCs w:val="21"/>
                <w:highlight w:val="none"/>
                <w:lang w:val="en-US" w:eastAsia="zh-CN"/>
              </w:rPr>
              <w:t>40</w:t>
            </w:r>
            <w:r>
              <w:rPr>
                <w:rFonts w:hint="eastAsia" w:ascii="仿宋_GB2312" w:hAnsi="仿宋_GB2312" w:eastAsia="仿宋_GB2312" w:cs="仿宋_GB2312"/>
                <w:b w:val="0"/>
                <w:bCs w:val="0"/>
                <w:color w:val="auto"/>
                <w:szCs w:val="21"/>
                <w:highlight w:val="none"/>
              </w:rPr>
              <w:t>%；</w:t>
            </w:r>
          </w:p>
          <w:p>
            <w:pPr>
              <w:keepNext w:val="0"/>
              <w:keepLines w:val="0"/>
              <w:pageBreakBefore w:val="0"/>
              <w:kinsoku/>
              <w:wordWrap/>
              <w:overflowPunct/>
              <w:topLinePunct w:val="0"/>
              <w:autoSpaceDE/>
              <w:autoSpaceDN/>
              <w:bidi w:val="0"/>
              <w:adjustRightInd/>
              <w:snapToGrid/>
              <w:spacing w:line="460" w:lineRule="exact"/>
              <w:jc w:val="left"/>
              <w:textAlignment w:val="auto"/>
              <w:outlineLvl w:val="9"/>
              <w:rPr>
                <w:rFonts w:hint="eastAsia" w:ascii="仿宋_GB2312" w:hAnsi="仿宋_GB2312" w:eastAsia="仿宋_GB2312" w:cs="仿宋_GB2312"/>
                <w:b w:val="0"/>
                <w:bCs w:val="0"/>
                <w:color w:val="auto"/>
                <w:szCs w:val="21"/>
                <w:highlight w:val="none"/>
              </w:rPr>
            </w:pPr>
            <w:r>
              <w:rPr>
                <w:rFonts w:hint="eastAsia" w:ascii="仿宋_GB2312" w:hAnsi="仿宋_GB2312" w:eastAsia="仿宋_GB2312" w:cs="仿宋_GB2312"/>
                <w:b w:val="0"/>
                <w:bCs w:val="0"/>
                <w:color w:val="auto"/>
                <w:szCs w:val="21"/>
                <w:highlight w:val="none"/>
              </w:rPr>
              <w:t>2.取得法律职业资格证书，具备实习律师及以上资质，得</w:t>
            </w:r>
            <w:r>
              <w:rPr>
                <w:rFonts w:hint="eastAsia" w:ascii="仿宋_GB2312" w:hAnsi="仿宋_GB2312" w:eastAsia="仿宋_GB2312" w:cs="仿宋_GB2312"/>
                <w:b w:val="0"/>
                <w:bCs w:val="0"/>
                <w:color w:val="auto"/>
                <w:szCs w:val="21"/>
                <w:highlight w:val="none"/>
                <w:lang w:val="en-US" w:eastAsia="zh-CN"/>
              </w:rPr>
              <w:t>30</w:t>
            </w:r>
            <w:r>
              <w:rPr>
                <w:rFonts w:hint="eastAsia" w:ascii="仿宋_GB2312" w:hAnsi="仿宋_GB2312" w:eastAsia="仿宋_GB2312" w:cs="仿宋_GB2312"/>
                <w:b w:val="0"/>
                <w:bCs w:val="0"/>
                <w:color w:val="auto"/>
                <w:szCs w:val="21"/>
                <w:highlight w:val="none"/>
              </w:rPr>
              <w:t>%；</w:t>
            </w:r>
          </w:p>
          <w:p>
            <w:pPr>
              <w:keepNext w:val="0"/>
              <w:keepLines w:val="0"/>
              <w:pageBreakBefore w:val="0"/>
              <w:kinsoku/>
              <w:wordWrap/>
              <w:overflowPunct/>
              <w:topLinePunct w:val="0"/>
              <w:autoSpaceDE/>
              <w:autoSpaceDN/>
              <w:bidi w:val="0"/>
              <w:adjustRightInd/>
              <w:snapToGrid/>
              <w:spacing w:line="460" w:lineRule="exact"/>
              <w:jc w:val="left"/>
              <w:textAlignment w:val="auto"/>
              <w:outlineLvl w:val="9"/>
              <w:rPr>
                <w:rFonts w:hint="eastAsia" w:ascii="仿宋_GB2312" w:hAnsi="仿宋_GB2312" w:eastAsia="仿宋_GB2312" w:cs="仿宋_GB2312"/>
                <w:b w:val="0"/>
                <w:bCs w:val="0"/>
                <w:color w:val="auto"/>
                <w:szCs w:val="21"/>
                <w:highlight w:val="none"/>
              </w:rPr>
            </w:pPr>
            <w:r>
              <w:rPr>
                <w:rFonts w:hint="eastAsia" w:ascii="仿宋_GB2312" w:hAnsi="仿宋_GB2312" w:eastAsia="仿宋_GB2312" w:cs="仿宋_GB2312"/>
                <w:b w:val="0"/>
                <w:bCs w:val="0"/>
                <w:color w:val="auto"/>
                <w:szCs w:val="21"/>
                <w:highlight w:val="none"/>
              </w:rPr>
              <w:t>3.具有</w:t>
            </w:r>
            <w:r>
              <w:rPr>
                <w:rFonts w:hint="eastAsia" w:ascii="仿宋_GB2312" w:hAnsi="仿宋_GB2312" w:eastAsia="仿宋_GB2312" w:cs="仿宋_GB2312"/>
                <w:b w:val="0"/>
                <w:bCs w:val="0"/>
                <w:color w:val="auto"/>
                <w:szCs w:val="21"/>
                <w:highlight w:val="none"/>
                <w:lang w:val="en-US" w:eastAsia="zh-CN"/>
              </w:rPr>
              <w:t>法律工作相关经验的</w:t>
            </w:r>
            <w:r>
              <w:rPr>
                <w:rFonts w:hint="eastAsia" w:ascii="仿宋_GB2312" w:hAnsi="仿宋_GB2312" w:eastAsia="仿宋_GB2312" w:cs="仿宋_GB2312"/>
                <w:b w:val="0"/>
                <w:bCs w:val="0"/>
                <w:color w:val="auto"/>
                <w:szCs w:val="21"/>
                <w:highlight w:val="none"/>
              </w:rPr>
              <w:t>，得</w:t>
            </w:r>
            <w:r>
              <w:rPr>
                <w:rFonts w:hint="eastAsia" w:ascii="仿宋_GB2312" w:hAnsi="仿宋_GB2312" w:eastAsia="仿宋_GB2312" w:cs="仿宋_GB2312"/>
                <w:b w:val="0"/>
                <w:bCs w:val="0"/>
                <w:color w:val="auto"/>
                <w:szCs w:val="21"/>
                <w:highlight w:val="none"/>
                <w:lang w:val="en-US" w:eastAsia="zh-CN"/>
              </w:rPr>
              <w:t>30</w:t>
            </w:r>
            <w:r>
              <w:rPr>
                <w:rFonts w:hint="eastAsia" w:ascii="仿宋_GB2312" w:hAnsi="仿宋_GB2312" w:eastAsia="仿宋_GB2312" w:cs="仿宋_GB2312"/>
                <w:b w:val="0"/>
                <w:bCs w:val="0"/>
                <w:color w:val="auto"/>
                <w:szCs w:val="21"/>
                <w:highlight w:val="none"/>
              </w:rPr>
              <w:t>%；</w:t>
            </w:r>
          </w:p>
          <w:p>
            <w:pPr>
              <w:keepNext w:val="0"/>
              <w:keepLines w:val="0"/>
              <w:pageBreakBefore w:val="0"/>
              <w:kinsoku/>
              <w:wordWrap/>
              <w:overflowPunct/>
              <w:topLinePunct w:val="0"/>
              <w:autoSpaceDE/>
              <w:autoSpaceDN/>
              <w:bidi w:val="0"/>
              <w:adjustRightInd/>
              <w:snapToGrid/>
              <w:spacing w:line="460" w:lineRule="exact"/>
              <w:jc w:val="left"/>
              <w:textAlignment w:val="auto"/>
              <w:outlineLvl w:val="9"/>
              <w:rPr>
                <w:rFonts w:hint="eastAsia" w:ascii="仿宋_GB2312" w:hAnsi="仿宋_GB2312" w:eastAsia="仿宋_GB2312" w:cs="仿宋_GB2312"/>
                <w:b w:val="0"/>
                <w:bCs w:val="0"/>
                <w:color w:val="auto"/>
                <w:szCs w:val="21"/>
                <w:highlight w:val="none"/>
              </w:rPr>
            </w:pPr>
            <w:r>
              <w:rPr>
                <w:rFonts w:hint="eastAsia" w:ascii="仿宋_GB2312" w:hAnsi="仿宋_GB2312" w:eastAsia="仿宋_GB2312" w:cs="仿宋_GB2312"/>
                <w:b w:val="0"/>
                <w:bCs w:val="0"/>
                <w:color w:val="auto"/>
                <w:szCs w:val="21"/>
                <w:highlight w:val="none"/>
              </w:rPr>
              <w:t>（二）评审标准：</w:t>
            </w:r>
          </w:p>
          <w:p>
            <w:pPr>
              <w:keepNext w:val="0"/>
              <w:keepLines w:val="0"/>
              <w:pageBreakBefore w:val="0"/>
              <w:kinsoku/>
              <w:wordWrap/>
              <w:overflowPunct/>
              <w:topLinePunct w:val="0"/>
              <w:autoSpaceDE/>
              <w:autoSpaceDN/>
              <w:bidi w:val="0"/>
              <w:adjustRightInd/>
              <w:snapToGrid/>
              <w:spacing w:after="120" w:line="460" w:lineRule="exact"/>
              <w:textAlignment w:val="auto"/>
              <w:outlineLvl w:val="9"/>
              <w:rPr>
                <w:rFonts w:hint="eastAsia" w:ascii="仿宋_GB2312" w:hAnsi="仿宋_GB2312" w:eastAsia="仿宋_GB2312" w:cs="仿宋_GB2312"/>
                <w:b w:val="0"/>
                <w:bCs w:val="0"/>
                <w:color w:val="auto"/>
                <w:szCs w:val="24"/>
                <w:highlight w:val="none"/>
              </w:rPr>
            </w:pPr>
            <w:r>
              <w:rPr>
                <w:rFonts w:hint="eastAsia" w:ascii="仿宋_GB2312" w:hAnsi="仿宋_GB2312" w:eastAsia="仿宋_GB2312" w:cs="仿宋_GB2312"/>
                <w:b w:val="0"/>
                <w:bCs w:val="0"/>
                <w:color w:val="auto"/>
                <w:szCs w:val="21"/>
                <w:highlight w:val="none"/>
              </w:rPr>
              <w:t>提供上述人员相关证书、学历</w:t>
            </w:r>
            <w:r>
              <w:rPr>
                <w:rFonts w:hint="eastAsia" w:ascii="仿宋_GB2312" w:hAnsi="仿宋_GB2312" w:eastAsia="仿宋_GB2312" w:cs="仿宋_GB2312"/>
                <w:b w:val="0"/>
                <w:bCs w:val="0"/>
                <w:color w:val="auto"/>
                <w:szCs w:val="21"/>
                <w:highlight w:val="none"/>
                <w:lang w:val="en-US" w:eastAsia="zh-CN"/>
              </w:rPr>
              <w:t>证明及工作经历证明材料等，</w:t>
            </w:r>
            <w:r>
              <w:rPr>
                <w:rFonts w:hint="eastAsia" w:ascii="仿宋_GB2312" w:hAnsi="仿宋_GB2312" w:eastAsia="仿宋_GB2312" w:cs="仿宋_GB2312"/>
                <w:b w:val="0"/>
                <w:bCs w:val="0"/>
                <w:color w:val="auto"/>
                <w:szCs w:val="21"/>
                <w:highlight w:val="none"/>
              </w:rPr>
              <w:t>如未按要求提供完整证明资料的不得分。</w:t>
            </w:r>
          </w:p>
        </w:tc>
        <w:tc>
          <w:tcPr>
            <w:tcW w:w="801" w:type="dxa"/>
            <w:vAlign w:val="center"/>
          </w:tcPr>
          <w:p>
            <w:pPr>
              <w:keepNext w:val="0"/>
              <w:keepLines w:val="0"/>
              <w:pageBreakBefore w:val="0"/>
              <w:kinsoku/>
              <w:wordWrap/>
              <w:overflowPunct/>
              <w:topLinePunct w:val="0"/>
              <w:autoSpaceDE/>
              <w:autoSpaceDN/>
              <w:bidi w:val="0"/>
              <w:adjustRightInd/>
              <w:snapToGrid/>
              <w:spacing w:after="120" w:line="460" w:lineRule="exact"/>
              <w:textAlignment w:val="auto"/>
              <w:outlineLvl w:val="9"/>
              <w:rPr>
                <w:rFonts w:hint="eastAsia" w:ascii="仿宋_GB2312" w:hAnsi="仿宋_GB2312" w:eastAsia="仿宋_GB2312" w:cs="仿宋_GB2312"/>
                <w:b w:val="0"/>
                <w:bCs w:val="0"/>
                <w:color w:val="auto"/>
                <w:szCs w:val="21"/>
                <w:highlight w:val="none"/>
              </w:rPr>
            </w:pPr>
          </w:p>
        </w:tc>
      </w:tr>
    </w:tbl>
    <w:p>
      <w:pPr>
        <w:widowControl/>
        <w:ind w:firstLine="560" w:firstLineChars="200"/>
        <w:jc w:val="left"/>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本项目划分及</w:t>
      </w:r>
      <w:r>
        <w:rPr>
          <w:rFonts w:hint="eastAsia" w:ascii="仿宋_GB2312" w:hAnsi="仿宋_GB2312" w:eastAsia="仿宋_GB2312" w:cs="仿宋_GB2312"/>
          <w:b w:val="0"/>
          <w:bCs w:val="0"/>
          <w:color w:val="auto"/>
          <w:sz w:val="28"/>
          <w:szCs w:val="28"/>
          <w:highlight w:val="none"/>
          <w:lang w:val="en-US" w:eastAsia="zh-CN"/>
        </w:rPr>
        <w:t>供应商</w:t>
      </w:r>
      <w:r>
        <w:rPr>
          <w:rFonts w:hint="eastAsia" w:ascii="仿宋_GB2312" w:hAnsi="仿宋_GB2312" w:eastAsia="仿宋_GB2312" w:cs="仿宋_GB2312"/>
          <w:b w:val="0"/>
          <w:bCs w:val="0"/>
          <w:color w:val="auto"/>
          <w:sz w:val="28"/>
          <w:szCs w:val="28"/>
          <w:highlight w:val="none"/>
        </w:rPr>
        <w:t>投标要求：项目共分为A、B</w:t>
      </w:r>
      <w:r>
        <w:rPr>
          <w:rFonts w:hint="eastAsia" w:ascii="仿宋_GB2312" w:hAnsi="仿宋_GB2312" w:eastAsia="仿宋_GB2312" w:cs="仿宋_GB2312"/>
          <w:b w:val="0"/>
          <w:bCs w:val="0"/>
          <w:color w:val="auto"/>
          <w:sz w:val="28"/>
          <w:szCs w:val="28"/>
          <w:highlight w:val="none"/>
          <w:lang w:val="en-US" w:eastAsia="zh-CN"/>
        </w:rPr>
        <w:t>、C三</w:t>
      </w:r>
      <w:r>
        <w:rPr>
          <w:rFonts w:hint="eastAsia" w:ascii="仿宋_GB2312" w:hAnsi="仿宋_GB2312" w:eastAsia="仿宋_GB2312" w:cs="仿宋_GB2312"/>
          <w:b w:val="0"/>
          <w:bCs w:val="0"/>
          <w:color w:val="auto"/>
          <w:sz w:val="28"/>
          <w:szCs w:val="28"/>
          <w:highlight w:val="none"/>
        </w:rPr>
        <w:t>个包组</w:t>
      </w:r>
      <w:r>
        <w:rPr>
          <w:rFonts w:hint="eastAsia" w:ascii="仿宋_GB2312" w:hAnsi="仿宋_GB2312" w:eastAsia="仿宋_GB2312" w:cs="仿宋_GB2312"/>
          <w:b w:val="0"/>
          <w:bCs w:val="0"/>
          <w:color w:val="auto"/>
          <w:sz w:val="28"/>
          <w:szCs w:val="28"/>
          <w:highlight w:val="none"/>
          <w:lang w:eastAsia="zh-CN"/>
        </w:rPr>
        <w:t>，</w:t>
      </w:r>
      <w:r>
        <w:rPr>
          <w:rFonts w:hint="eastAsia" w:ascii="仿宋_GB2312" w:hAnsi="仿宋_GB2312" w:eastAsia="仿宋_GB2312" w:cs="仿宋_GB2312"/>
          <w:b w:val="0"/>
          <w:bCs w:val="0"/>
          <w:color w:val="auto"/>
          <w:sz w:val="28"/>
          <w:szCs w:val="28"/>
          <w:highlight w:val="none"/>
        </w:rPr>
        <w:t>投标</w:t>
      </w:r>
      <w:r>
        <w:rPr>
          <w:rFonts w:hint="eastAsia" w:ascii="仿宋_GB2312" w:hAnsi="仿宋_GB2312" w:eastAsia="仿宋_GB2312" w:cs="仿宋_GB2312"/>
          <w:b w:val="0"/>
          <w:bCs w:val="0"/>
          <w:color w:val="auto"/>
          <w:sz w:val="28"/>
          <w:szCs w:val="28"/>
          <w:highlight w:val="none"/>
          <w:lang w:val="en-US" w:eastAsia="zh-CN"/>
        </w:rPr>
        <w:t>单位</w:t>
      </w:r>
      <w:r>
        <w:rPr>
          <w:rFonts w:hint="eastAsia" w:ascii="仿宋_GB2312" w:hAnsi="仿宋_GB2312" w:eastAsia="仿宋_GB2312" w:cs="仿宋_GB2312"/>
          <w:b w:val="0"/>
          <w:bCs w:val="0"/>
          <w:color w:val="auto"/>
          <w:sz w:val="28"/>
          <w:szCs w:val="28"/>
          <w:highlight w:val="none"/>
        </w:rPr>
        <w:t>可以选择投</w:t>
      </w:r>
      <w:r>
        <w:rPr>
          <w:rFonts w:hint="eastAsia" w:ascii="仿宋_GB2312" w:hAnsi="仿宋_GB2312" w:eastAsia="仿宋_GB2312" w:cs="仿宋_GB2312"/>
          <w:b w:val="0"/>
          <w:bCs w:val="0"/>
          <w:color w:val="auto"/>
          <w:sz w:val="28"/>
          <w:szCs w:val="28"/>
          <w:highlight w:val="none"/>
          <w:lang w:val="en-US" w:eastAsia="zh-CN"/>
        </w:rPr>
        <w:t>标</w:t>
      </w:r>
      <w:r>
        <w:rPr>
          <w:rFonts w:hint="eastAsia" w:ascii="仿宋_GB2312" w:hAnsi="仿宋_GB2312" w:eastAsia="仿宋_GB2312" w:cs="仿宋_GB2312"/>
          <w:b w:val="0"/>
          <w:bCs w:val="0"/>
          <w:color w:val="auto"/>
          <w:sz w:val="28"/>
          <w:szCs w:val="28"/>
          <w:highlight w:val="none"/>
        </w:rPr>
        <w:t>任意包组，1个包组需要独立制作1份投标文件，并按所投包组</w:t>
      </w:r>
      <w:r>
        <w:rPr>
          <w:rFonts w:hint="eastAsia" w:ascii="仿宋_GB2312" w:hAnsi="仿宋_GB2312" w:eastAsia="仿宋_GB2312" w:cs="仿宋_GB2312"/>
          <w:b w:val="0"/>
          <w:bCs w:val="0"/>
          <w:color w:val="auto"/>
          <w:sz w:val="28"/>
          <w:szCs w:val="28"/>
          <w:highlight w:val="none"/>
          <w:lang w:val="en-US" w:eastAsia="zh-CN"/>
        </w:rPr>
        <w:t>提交</w:t>
      </w:r>
      <w:r>
        <w:rPr>
          <w:rFonts w:hint="eastAsia" w:ascii="仿宋_GB2312" w:hAnsi="仿宋_GB2312" w:eastAsia="仿宋_GB2312" w:cs="仿宋_GB2312"/>
          <w:b w:val="0"/>
          <w:bCs w:val="0"/>
          <w:color w:val="auto"/>
          <w:sz w:val="28"/>
          <w:szCs w:val="28"/>
          <w:highlight w:val="none"/>
        </w:rPr>
        <w:t>投标文件，但每</w:t>
      </w:r>
      <w:r>
        <w:rPr>
          <w:rFonts w:hint="eastAsia" w:ascii="仿宋_GB2312" w:hAnsi="仿宋_GB2312" w:eastAsia="仿宋_GB2312" w:cs="仿宋_GB2312"/>
          <w:b w:val="0"/>
          <w:bCs w:val="0"/>
          <w:color w:val="auto"/>
          <w:sz w:val="28"/>
          <w:szCs w:val="28"/>
          <w:highlight w:val="none"/>
          <w:lang w:val="en-US" w:eastAsia="zh-CN"/>
        </w:rPr>
        <w:t>个</w:t>
      </w:r>
      <w:r>
        <w:rPr>
          <w:rFonts w:hint="eastAsia" w:ascii="仿宋_GB2312" w:hAnsi="仿宋_GB2312" w:eastAsia="仿宋_GB2312" w:cs="仿宋_GB2312"/>
          <w:b w:val="0"/>
          <w:bCs w:val="0"/>
          <w:color w:val="auto"/>
          <w:sz w:val="28"/>
          <w:szCs w:val="28"/>
          <w:highlight w:val="none"/>
        </w:rPr>
        <w:t>供应商最多中</w:t>
      </w:r>
      <w:r>
        <w:rPr>
          <w:rFonts w:hint="eastAsia" w:ascii="仿宋_GB2312" w:hAnsi="仿宋_GB2312" w:eastAsia="仿宋_GB2312" w:cs="仿宋_GB2312"/>
          <w:b w:val="0"/>
          <w:bCs w:val="0"/>
          <w:color w:val="auto"/>
          <w:sz w:val="28"/>
          <w:szCs w:val="28"/>
          <w:highlight w:val="none"/>
          <w:lang w:val="en-US" w:eastAsia="zh-CN"/>
        </w:rPr>
        <w:t>标</w:t>
      </w:r>
      <w:r>
        <w:rPr>
          <w:rFonts w:hint="eastAsia" w:ascii="仿宋_GB2312" w:hAnsi="仿宋_GB2312" w:eastAsia="仿宋_GB2312" w:cs="仿宋_GB2312"/>
          <w:b w:val="0"/>
          <w:bCs w:val="0"/>
          <w:color w:val="auto"/>
          <w:sz w:val="28"/>
          <w:szCs w:val="28"/>
          <w:highlight w:val="none"/>
        </w:rPr>
        <w:t>一个包组。</w:t>
      </w:r>
    </w:p>
    <w:p>
      <w:pPr>
        <w:keepNext w:val="0"/>
        <w:keepLines w:val="0"/>
        <w:pageBreakBefore w:val="0"/>
        <w:kinsoku/>
        <w:wordWrap/>
        <w:overflowPunct/>
        <w:topLinePunct w:val="0"/>
        <w:autoSpaceDE/>
        <w:autoSpaceDN/>
        <w:bidi w:val="0"/>
        <w:spacing w:line="560" w:lineRule="exact"/>
        <w:ind w:firstLine="640"/>
        <w:textAlignment w:val="auto"/>
        <w:outlineLvl w:val="9"/>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评标流程：本项目按A包、B包</w:t>
      </w:r>
      <w:r>
        <w:rPr>
          <w:rFonts w:hint="eastAsia" w:ascii="仿宋_GB2312" w:hAnsi="仿宋_GB2312" w:eastAsia="仿宋_GB2312" w:cs="仿宋_GB2312"/>
          <w:b w:val="0"/>
          <w:bCs w:val="0"/>
          <w:color w:val="auto"/>
          <w:sz w:val="28"/>
          <w:szCs w:val="28"/>
          <w:highlight w:val="none"/>
          <w:lang w:eastAsia="zh-CN"/>
        </w:rPr>
        <w:t>、</w:t>
      </w:r>
      <w:r>
        <w:rPr>
          <w:rFonts w:hint="eastAsia" w:ascii="仿宋_GB2312" w:hAnsi="仿宋_GB2312" w:eastAsia="仿宋_GB2312" w:cs="仿宋_GB2312"/>
          <w:b w:val="0"/>
          <w:bCs w:val="0"/>
          <w:color w:val="auto"/>
          <w:sz w:val="28"/>
          <w:szCs w:val="28"/>
          <w:highlight w:val="none"/>
          <w:lang w:val="en-US" w:eastAsia="zh-CN"/>
        </w:rPr>
        <w:t>C包</w:t>
      </w:r>
      <w:r>
        <w:rPr>
          <w:rFonts w:hint="eastAsia" w:ascii="仿宋_GB2312" w:hAnsi="仿宋_GB2312" w:eastAsia="仿宋_GB2312" w:cs="仿宋_GB2312"/>
          <w:b w:val="0"/>
          <w:bCs w:val="0"/>
          <w:color w:val="auto"/>
          <w:sz w:val="28"/>
          <w:szCs w:val="28"/>
          <w:highlight w:val="none"/>
        </w:rPr>
        <w:t>的顺序分别逐一进行评标，即A包评审结束后，再进行B包的评审</w:t>
      </w:r>
      <w:r>
        <w:rPr>
          <w:rFonts w:hint="eastAsia" w:ascii="仿宋_GB2312" w:hAnsi="仿宋_GB2312" w:eastAsia="仿宋_GB2312" w:cs="仿宋_GB2312"/>
          <w:b w:val="0"/>
          <w:bCs w:val="0"/>
          <w:color w:val="auto"/>
          <w:sz w:val="28"/>
          <w:szCs w:val="28"/>
          <w:highlight w:val="none"/>
          <w:lang w:eastAsia="zh-CN"/>
        </w:rPr>
        <w:t>，</w:t>
      </w:r>
      <w:r>
        <w:rPr>
          <w:rFonts w:hint="eastAsia" w:ascii="仿宋_GB2312" w:hAnsi="仿宋_GB2312" w:eastAsia="仿宋_GB2312" w:cs="仿宋_GB2312"/>
          <w:b w:val="0"/>
          <w:bCs w:val="0"/>
          <w:color w:val="auto"/>
          <w:sz w:val="28"/>
          <w:szCs w:val="28"/>
          <w:highlight w:val="none"/>
          <w:lang w:val="en-US" w:eastAsia="zh-CN"/>
        </w:rPr>
        <w:t>最后进行C包的评审</w:t>
      </w:r>
      <w:r>
        <w:rPr>
          <w:rFonts w:hint="eastAsia" w:ascii="仿宋_GB2312" w:hAnsi="仿宋_GB2312" w:eastAsia="仿宋_GB2312" w:cs="仿宋_GB2312"/>
          <w:b w:val="0"/>
          <w:bCs w:val="0"/>
          <w:color w:val="auto"/>
          <w:sz w:val="28"/>
          <w:szCs w:val="28"/>
          <w:highlight w:val="none"/>
        </w:rPr>
        <w:t>。</w:t>
      </w:r>
    </w:p>
    <w:p>
      <w:pPr>
        <w:pStyle w:val="2"/>
        <w:ind w:firstLine="640"/>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中标原则：本项目</w:t>
      </w:r>
      <w:r>
        <w:rPr>
          <w:rFonts w:hint="eastAsia" w:ascii="仿宋_GB2312" w:hAnsi="仿宋_GB2312" w:eastAsia="仿宋_GB2312" w:cs="仿宋_GB2312"/>
          <w:b w:val="0"/>
          <w:bCs w:val="0"/>
          <w:color w:val="auto"/>
          <w:sz w:val="28"/>
          <w:szCs w:val="28"/>
          <w:highlight w:val="none"/>
          <w:lang w:val="en-US" w:eastAsia="zh-CN"/>
        </w:rPr>
        <w:t>三</w:t>
      </w:r>
      <w:r>
        <w:rPr>
          <w:rFonts w:hint="eastAsia" w:ascii="仿宋_GB2312" w:hAnsi="仿宋_GB2312" w:eastAsia="仿宋_GB2312" w:cs="仿宋_GB2312"/>
          <w:b w:val="0"/>
          <w:bCs w:val="0"/>
          <w:color w:val="auto"/>
          <w:sz w:val="28"/>
          <w:szCs w:val="28"/>
          <w:highlight w:val="none"/>
        </w:rPr>
        <w:t>个包</w:t>
      </w:r>
      <w:r>
        <w:rPr>
          <w:rFonts w:hint="eastAsia" w:ascii="仿宋_GB2312" w:hAnsi="仿宋_GB2312" w:eastAsia="仿宋_GB2312" w:cs="仿宋_GB2312"/>
          <w:b w:val="0"/>
          <w:bCs w:val="0"/>
          <w:color w:val="auto"/>
          <w:sz w:val="28"/>
          <w:szCs w:val="28"/>
          <w:highlight w:val="none"/>
          <w:lang w:val="en-US" w:eastAsia="zh-CN"/>
        </w:rPr>
        <w:t>组</w:t>
      </w:r>
      <w:r>
        <w:rPr>
          <w:rFonts w:hint="eastAsia" w:ascii="仿宋_GB2312" w:hAnsi="仿宋_GB2312" w:eastAsia="仿宋_GB2312" w:cs="仿宋_GB2312"/>
          <w:b w:val="0"/>
          <w:bCs w:val="0"/>
          <w:color w:val="auto"/>
          <w:sz w:val="28"/>
          <w:szCs w:val="28"/>
          <w:highlight w:val="none"/>
        </w:rPr>
        <w:t>，每个包</w:t>
      </w:r>
      <w:r>
        <w:rPr>
          <w:rFonts w:hint="eastAsia" w:ascii="仿宋_GB2312" w:hAnsi="仿宋_GB2312" w:eastAsia="仿宋_GB2312" w:cs="仿宋_GB2312"/>
          <w:b w:val="0"/>
          <w:bCs w:val="0"/>
          <w:color w:val="auto"/>
          <w:sz w:val="28"/>
          <w:szCs w:val="28"/>
          <w:highlight w:val="none"/>
          <w:lang w:val="en-US" w:eastAsia="zh-CN"/>
        </w:rPr>
        <w:t>组</w:t>
      </w:r>
      <w:r>
        <w:rPr>
          <w:rFonts w:hint="eastAsia" w:ascii="仿宋_GB2312" w:hAnsi="仿宋_GB2312" w:eastAsia="仿宋_GB2312" w:cs="仿宋_GB2312"/>
          <w:b w:val="0"/>
          <w:bCs w:val="0"/>
          <w:color w:val="auto"/>
          <w:sz w:val="28"/>
          <w:szCs w:val="28"/>
          <w:highlight w:val="none"/>
        </w:rPr>
        <w:t>取排名第一的供应商为该包的中标</w:t>
      </w:r>
      <w:r>
        <w:rPr>
          <w:rFonts w:hint="eastAsia" w:ascii="仿宋_GB2312" w:hAnsi="仿宋_GB2312" w:eastAsia="仿宋_GB2312" w:cs="仿宋_GB2312"/>
          <w:b w:val="0"/>
          <w:bCs w:val="0"/>
          <w:color w:val="auto"/>
          <w:sz w:val="28"/>
          <w:szCs w:val="28"/>
          <w:highlight w:val="none"/>
          <w:lang w:val="en-US" w:eastAsia="zh-CN"/>
        </w:rPr>
        <w:t>单位</w:t>
      </w:r>
      <w:r>
        <w:rPr>
          <w:rFonts w:hint="eastAsia" w:ascii="仿宋_GB2312" w:hAnsi="仿宋_GB2312" w:eastAsia="仿宋_GB2312" w:cs="仿宋_GB2312"/>
          <w:b w:val="0"/>
          <w:bCs w:val="0"/>
          <w:color w:val="auto"/>
          <w:sz w:val="28"/>
          <w:szCs w:val="28"/>
          <w:highlight w:val="none"/>
        </w:rPr>
        <w:t>。所有包组有效供应商必须达到法定数量（三家或以上），有效供应商未达到法定数量的，该包组作废标处理。</w:t>
      </w:r>
    </w:p>
    <w:p>
      <w:pPr>
        <w:widowControl/>
        <w:ind w:firstLine="560" w:firstLineChars="200"/>
        <w:jc w:val="left"/>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本项目采用“兼投不兼中”的方式确定中标</w:t>
      </w:r>
      <w:r>
        <w:rPr>
          <w:rFonts w:hint="eastAsia" w:ascii="仿宋_GB2312" w:hAnsi="仿宋_GB2312" w:eastAsia="仿宋_GB2312" w:cs="仿宋_GB2312"/>
          <w:b w:val="0"/>
          <w:bCs w:val="0"/>
          <w:color w:val="auto"/>
          <w:sz w:val="28"/>
          <w:szCs w:val="28"/>
          <w:highlight w:val="none"/>
          <w:lang w:val="en-US" w:eastAsia="zh-CN"/>
        </w:rPr>
        <w:t>单位</w:t>
      </w:r>
      <w:r>
        <w:rPr>
          <w:rFonts w:hint="eastAsia" w:ascii="仿宋_GB2312" w:hAnsi="仿宋_GB2312" w:eastAsia="仿宋_GB2312" w:cs="仿宋_GB2312"/>
          <w:b w:val="0"/>
          <w:bCs w:val="0"/>
          <w:color w:val="auto"/>
          <w:sz w:val="28"/>
          <w:szCs w:val="28"/>
          <w:highlight w:val="none"/>
          <w:lang w:eastAsia="zh-CN"/>
        </w:rPr>
        <w:t>：</w:t>
      </w:r>
      <w:r>
        <w:rPr>
          <w:rFonts w:hint="eastAsia" w:ascii="仿宋_GB2312" w:hAnsi="仿宋_GB2312" w:eastAsia="仿宋_GB2312" w:cs="仿宋_GB2312"/>
          <w:b w:val="0"/>
          <w:bCs w:val="0"/>
          <w:color w:val="auto"/>
          <w:sz w:val="28"/>
          <w:szCs w:val="28"/>
          <w:highlight w:val="none"/>
        </w:rPr>
        <w:t>即各投标</w:t>
      </w:r>
      <w:r>
        <w:rPr>
          <w:rFonts w:hint="eastAsia" w:ascii="仿宋_GB2312" w:hAnsi="仿宋_GB2312" w:eastAsia="仿宋_GB2312" w:cs="仿宋_GB2312"/>
          <w:b w:val="0"/>
          <w:bCs w:val="0"/>
          <w:color w:val="auto"/>
          <w:sz w:val="28"/>
          <w:szCs w:val="28"/>
          <w:highlight w:val="none"/>
          <w:lang w:val="en-US" w:eastAsia="zh-CN"/>
        </w:rPr>
        <w:t>单位</w:t>
      </w:r>
      <w:r>
        <w:rPr>
          <w:rFonts w:hint="eastAsia" w:ascii="仿宋_GB2312" w:hAnsi="仿宋_GB2312" w:eastAsia="仿宋_GB2312" w:cs="仿宋_GB2312"/>
          <w:b w:val="0"/>
          <w:bCs w:val="0"/>
          <w:color w:val="auto"/>
          <w:sz w:val="28"/>
          <w:szCs w:val="28"/>
          <w:highlight w:val="none"/>
        </w:rPr>
        <w:t>可同时对多个包组进行投标，但最多中</w:t>
      </w:r>
      <w:r>
        <w:rPr>
          <w:rFonts w:hint="eastAsia" w:ascii="仿宋_GB2312" w:hAnsi="仿宋_GB2312" w:eastAsia="仿宋_GB2312" w:cs="仿宋_GB2312"/>
          <w:b w:val="0"/>
          <w:bCs w:val="0"/>
          <w:color w:val="auto"/>
          <w:sz w:val="28"/>
          <w:szCs w:val="28"/>
          <w:highlight w:val="none"/>
          <w:lang w:val="en-US" w:eastAsia="zh-CN"/>
        </w:rPr>
        <w:t>标</w:t>
      </w:r>
      <w:r>
        <w:rPr>
          <w:rFonts w:hint="eastAsia" w:ascii="仿宋_GB2312" w:hAnsi="仿宋_GB2312" w:eastAsia="仿宋_GB2312" w:cs="仿宋_GB2312"/>
          <w:b w:val="0"/>
          <w:bCs w:val="0"/>
          <w:color w:val="auto"/>
          <w:sz w:val="28"/>
          <w:szCs w:val="28"/>
          <w:highlight w:val="none"/>
        </w:rPr>
        <w:t>一个包</w:t>
      </w:r>
      <w:r>
        <w:rPr>
          <w:rFonts w:hint="eastAsia" w:ascii="仿宋_GB2312" w:hAnsi="仿宋_GB2312" w:eastAsia="仿宋_GB2312" w:cs="仿宋_GB2312"/>
          <w:b w:val="0"/>
          <w:bCs w:val="0"/>
          <w:color w:val="auto"/>
          <w:sz w:val="28"/>
          <w:szCs w:val="28"/>
          <w:highlight w:val="none"/>
          <w:lang w:val="en-US" w:eastAsia="zh-CN"/>
        </w:rPr>
        <w:t>组</w:t>
      </w:r>
      <w:r>
        <w:rPr>
          <w:rFonts w:hint="eastAsia" w:ascii="仿宋_GB2312" w:hAnsi="仿宋_GB2312" w:eastAsia="仿宋_GB2312" w:cs="仿宋_GB2312"/>
          <w:b w:val="0"/>
          <w:bCs w:val="0"/>
          <w:color w:val="auto"/>
          <w:sz w:val="28"/>
          <w:szCs w:val="28"/>
          <w:highlight w:val="none"/>
        </w:rPr>
        <w:t>：例如甲供应商同时投标</w:t>
      </w:r>
      <w:r>
        <w:rPr>
          <w:rFonts w:hint="eastAsia" w:ascii="仿宋_GB2312" w:hAnsi="仿宋_GB2312" w:eastAsia="仿宋_GB2312" w:cs="仿宋_GB2312"/>
          <w:b w:val="0"/>
          <w:bCs w:val="0"/>
          <w:color w:val="auto"/>
          <w:sz w:val="28"/>
          <w:szCs w:val="28"/>
          <w:highlight w:val="none"/>
          <w:lang w:val="en-US" w:eastAsia="zh-CN"/>
        </w:rPr>
        <w:t>三</w:t>
      </w:r>
      <w:r>
        <w:rPr>
          <w:rFonts w:hint="eastAsia" w:ascii="仿宋_GB2312" w:hAnsi="仿宋_GB2312" w:eastAsia="仿宋_GB2312" w:cs="仿宋_GB2312"/>
          <w:b w:val="0"/>
          <w:bCs w:val="0"/>
          <w:color w:val="auto"/>
          <w:sz w:val="28"/>
          <w:szCs w:val="28"/>
          <w:highlight w:val="none"/>
        </w:rPr>
        <w:t>个包</w:t>
      </w:r>
      <w:r>
        <w:rPr>
          <w:rFonts w:hint="eastAsia" w:ascii="仿宋_GB2312" w:hAnsi="仿宋_GB2312" w:eastAsia="仿宋_GB2312" w:cs="仿宋_GB2312"/>
          <w:b w:val="0"/>
          <w:bCs w:val="0"/>
          <w:color w:val="auto"/>
          <w:sz w:val="28"/>
          <w:szCs w:val="28"/>
          <w:highlight w:val="none"/>
          <w:lang w:val="en-US" w:eastAsia="zh-CN"/>
        </w:rPr>
        <w:t>组</w:t>
      </w:r>
      <w:r>
        <w:rPr>
          <w:rFonts w:hint="eastAsia" w:ascii="仿宋_GB2312" w:hAnsi="仿宋_GB2312" w:eastAsia="仿宋_GB2312" w:cs="仿宋_GB2312"/>
          <w:b w:val="0"/>
          <w:bCs w:val="0"/>
          <w:color w:val="auto"/>
          <w:sz w:val="28"/>
          <w:szCs w:val="28"/>
          <w:highlight w:val="none"/>
        </w:rPr>
        <w:t>，通过综合评分，甲供应商在A包评审中综合得分排名第一，则甲供应商为A包中标</w:t>
      </w:r>
      <w:r>
        <w:rPr>
          <w:rFonts w:hint="eastAsia" w:ascii="仿宋_GB2312" w:hAnsi="仿宋_GB2312" w:eastAsia="仿宋_GB2312" w:cs="仿宋_GB2312"/>
          <w:b w:val="0"/>
          <w:bCs w:val="0"/>
          <w:color w:val="auto"/>
          <w:sz w:val="28"/>
          <w:szCs w:val="28"/>
          <w:highlight w:val="none"/>
          <w:lang w:val="en-US" w:eastAsia="zh-CN"/>
        </w:rPr>
        <w:t>单位</w:t>
      </w:r>
      <w:r>
        <w:rPr>
          <w:rFonts w:hint="eastAsia" w:ascii="仿宋_GB2312" w:hAnsi="仿宋_GB2312" w:eastAsia="仿宋_GB2312" w:cs="仿宋_GB2312"/>
          <w:b w:val="0"/>
          <w:bCs w:val="0"/>
          <w:color w:val="auto"/>
          <w:sz w:val="28"/>
          <w:szCs w:val="28"/>
          <w:highlight w:val="none"/>
        </w:rPr>
        <w:t>。那么，根据兼投不兼中的原则，甲供应商不得参与B包</w:t>
      </w:r>
      <w:r>
        <w:rPr>
          <w:rFonts w:hint="eastAsia" w:ascii="仿宋_GB2312" w:hAnsi="仿宋_GB2312" w:eastAsia="仿宋_GB2312" w:cs="仿宋_GB2312"/>
          <w:b w:val="0"/>
          <w:bCs w:val="0"/>
          <w:color w:val="auto"/>
          <w:sz w:val="28"/>
          <w:szCs w:val="28"/>
          <w:highlight w:val="none"/>
          <w:lang w:val="en-US" w:eastAsia="zh-CN"/>
        </w:rPr>
        <w:t>和C包</w:t>
      </w:r>
      <w:r>
        <w:rPr>
          <w:rFonts w:hint="eastAsia" w:ascii="仿宋_GB2312" w:hAnsi="仿宋_GB2312" w:eastAsia="仿宋_GB2312" w:cs="仿宋_GB2312"/>
          <w:b w:val="0"/>
          <w:bCs w:val="0"/>
          <w:color w:val="auto"/>
          <w:sz w:val="28"/>
          <w:szCs w:val="28"/>
          <w:highlight w:val="none"/>
        </w:rPr>
        <w:t>的评审，将甲供应商投标文件作投标无效处理。</w:t>
      </w:r>
    </w:p>
    <w:p>
      <w:pPr>
        <w:widowControl/>
        <w:spacing w:afterAutospacing="0"/>
        <w:ind w:firstLine="560" w:firstLineChars="200"/>
        <w:jc w:val="left"/>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某个包因质疑等事项改变中标结果的，不影响其他包的中标结果。即本项目评审结果公示期间，如果A包因质疑事项取消了甲供应商的中标资格，则该包根据兼投不兼中的原则，依法按照综合评分由高到低的顺序，从其它合格供应商中确定中标</w:t>
      </w:r>
      <w:r>
        <w:rPr>
          <w:rFonts w:hint="eastAsia" w:ascii="仿宋_GB2312" w:hAnsi="仿宋_GB2312" w:eastAsia="仿宋_GB2312" w:cs="仿宋_GB2312"/>
          <w:b w:val="0"/>
          <w:bCs w:val="0"/>
          <w:color w:val="auto"/>
          <w:sz w:val="28"/>
          <w:szCs w:val="28"/>
          <w:highlight w:val="none"/>
          <w:lang w:val="en-US" w:eastAsia="zh-CN"/>
        </w:rPr>
        <w:t>单位</w:t>
      </w:r>
      <w:r>
        <w:rPr>
          <w:rFonts w:hint="eastAsia" w:ascii="仿宋_GB2312" w:hAnsi="仿宋_GB2312" w:eastAsia="仿宋_GB2312" w:cs="仿宋_GB2312"/>
          <w:b w:val="0"/>
          <w:bCs w:val="0"/>
          <w:color w:val="auto"/>
          <w:sz w:val="28"/>
          <w:szCs w:val="28"/>
          <w:highlight w:val="none"/>
        </w:rPr>
        <w:t>。A包中标结果的改变不影响其它包的中标结果。</w:t>
      </w:r>
    </w:p>
    <w:p>
      <w:pPr>
        <w:keepNext w:val="0"/>
        <w:keepLines w:val="0"/>
        <w:pageBreakBefore w:val="0"/>
        <w:kinsoku/>
        <w:wordWrap/>
        <w:overflowPunct/>
        <w:topLinePunct w:val="0"/>
        <w:autoSpaceDE/>
        <w:autoSpaceDN/>
        <w:bidi w:val="0"/>
        <w:spacing w:line="560" w:lineRule="exact"/>
        <w:textAlignment w:val="auto"/>
        <w:outlineLvl w:val="9"/>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lang w:eastAsia="zh-CN"/>
        </w:rPr>
        <w:t>六</w:t>
      </w:r>
      <w:r>
        <w:rPr>
          <w:rFonts w:hint="eastAsia" w:ascii="仿宋_GB2312" w:hAnsi="仿宋_GB2312" w:eastAsia="仿宋_GB2312" w:cs="仿宋_GB2312"/>
          <w:b w:val="0"/>
          <w:bCs w:val="0"/>
          <w:color w:val="auto"/>
          <w:sz w:val="28"/>
          <w:szCs w:val="28"/>
          <w:highlight w:val="none"/>
        </w:rPr>
        <w:t>、商务需求</w:t>
      </w:r>
    </w:p>
    <w:p>
      <w:pPr>
        <w:keepNext w:val="0"/>
        <w:keepLines w:val="0"/>
        <w:pageBreakBefore w:val="0"/>
        <w:kinsoku/>
        <w:wordWrap/>
        <w:overflowPunct/>
        <w:topLinePunct w:val="0"/>
        <w:autoSpaceDE/>
        <w:autoSpaceDN/>
        <w:bidi w:val="0"/>
        <w:spacing w:line="560" w:lineRule="exact"/>
        <w:ind w:firstLine="560" w:firstLineChars="200"/>
        <w:textAlignment w:val="auto"/>
        <w:outlineLvl w:val="9"/>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（一）服务期</w:t>
      </w:r>
    </w:p>
    <w:p>
      <w:pPr>
        <w:keepNext w:val="0"/>
        <w:keepLines w:val="0"/>
        <w:pageBreakBefore w:val="0"/>
        <w:widowControl/>
        <w:kinsoku/>
        <w:wordWrap/>
        <w:overflowPunct/>
        <w:topLinePunct w:val="0"/>
        <w:autoSpaceDE/>
        <w:autoSpaceDN/>
        <w:bidi w:val="0"/>
        <w:spacing w:line="560" w:lineRule="exact"/>
        <w:ind w:firstLine="560" w:firstLineChars="200"/>
        <w:jc w:val="left"/>
        <w:textAlignment w:val="auto"/>
        <w:outlineLvl w:val="9"/>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lang w:val="en-US" w:eastAsia="zh-CN"/>
        </w:rPr>
        <w:t>服务期限为1年，</w:t>
      </w:r>
      <w:r>
        <w:rPr>
          <w:rFonts w:hint="eastAsia" w:ascii="仿宋_GB2312" w:hAnsi="仿宋_GB2312" w:eastAsia="仿宋_GB2312" w:cs="仿宋_GB2312"/>
          <w:b w:val="0"/>
          <w:bCs w:val="0"/>
          <w:color w:val="auto"/>
          <w:sz w:val="28"/>
          <w:szCs w:val="28"/>
          <w:highlight w:val="none"/>
          <w:lang w:eastAsia="zh-CN"/>
        </w:rPr>
        <w:t>以合同签订时间为准</w:t>
      </w:r>
      <w:r>
        <w:rPr>
          <w:rFonts w:hint="eastAsia" w:ascii="仿宋_GB2312" w:hAnsi="仿宋_GB2312" w:eastAsia="仿宋_GB2312" w:cs="仿宋_GB2312"/>
          <w:b w:val="0"/>
          <w:bCs w:val="0"/>
          <w:color w:val="auto"/>
          <w:sz w:val="28"/>
          <w:szCs w:val="28"/>
          <w:highlight w:val="none"/>
        </w:rPr>
        <w:t>。</w:t>
      </w:r>
    </w:p>
    <w:p>
      <w:pPr>
        <w:keepNext w:val="0"/>
        <w:keepLines w:val="0"/>
        <w:pageBreakBefore w:val="0"/>
        <w:kinsoku/>
        <w:wordWrap/>
        <w:overflowPunct/>
        <w:topLinePunct w:val="0"/>
        <w:autoSpaceDE/>
        <w:autoSpaceDN/>
        <w:bidi w:val="0"/>
        <w:spacing w:line="560" w:lineRule="exact"/>
        <w:ind w:firstLine="560" w:firstLineChars="200"/>
        <w:textAlignment w:val="auto"/>
        <w:outlineLvl w:val="9"/>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（二）服务地点</w:t>
      </w:r>
    </w:p>
    <w:p>
      <w:pPr>
        <w:keepNext w:val="0"/>
        <w:keepLines w:val="0"/>
        <w:pageBreakBefore w:val="0"/>
        <w:widowControl/>
        <w:kinsoku/>
        <w:wordWrap/>
        <w:overflowPunct/>
        <w:topLinePunct w:val="0"/>
        <w:autoSpaceDE/>
        <w:autoSpaceDN/>
        <w:bidi w:val="0"/>
        <w:spacing w:line="560" w:lineRule="exact"/>
        <w:ind w:firstLine="560" w:firstLineChars="200"/>
        <w:jc w:val="left"/>
        <w:textAlignment w:val="auto"/>
        <w:outlineLvl w:val="9"/>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深圳市坪山区坪山街道办事处。</w:t>
      </w:r>
    </w:p>
    <w:p>
      <w:pPr>
        <w:keepNext w:val="0"/>
        <w:keepLines w:val="0"/>
        <w:pageBreakBefore w:val="0"/>
        <w:numPr>
          <w:ilvl w:val="0"/>
          <w:numId w:val="1"/>
        </w:numPr>
        <w:kinsoku/>
        <w:wordWrap/>
        <w:overflowPunct/>
        <w:topLinePunct w:val="0"/>
        <w:autoSpaceDE/>
        <w:autoSpaceDN/>
        <w:bidi w:val="0"/>
        <w:spacing w:line="560" w:lineRule="exact"/>
        <w:ind w:firstLine="560" w:firstLineChars="200"/>
        <w:textAlignment w:val="auto"/>
        <w:outlineLvl w:val="9"/>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报价要求</w:t>
      </w:r>
    </w:p>
    <w:p>
      <w:pPr>
        <w:pStyle w:val="22"/>
        <w:keepNext w:val="0"/>
        <w:keepLines w:val="0"/>
        <w:pageBreakBefore w:val="0"/>
        <w:numPr>
          <w:ilvl w:val="255"/>
          <w:numId w:val="0"/>
        </w:numPr>
        <w:kinsoku/>
        <w:wordWrap/>
        <w:overflowPunct/>
        <w:topLinePunct w:val="0"/>
        <w:autoSpaceDE/>
        <w:autoSpaceDN/>
        <w:bidi w:val="0"/>
        <w:spacing w:line="560" w:lineRule="exact"/>
        <w:ind w:firstLine="560" w:firstLineChars="200"/>
        <w:textAlignment w:val="auto"/>
        <w:outlineLvl w:val="9"/>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1.A包综合</w:t>
      </w:r>
      <w:r>
        <w:rPr>
          <w:rFonts w:hint="eastAsia" w:ascii="仿宋_GB2312" w:hAnsi="仿宋_GB2312" w:eastAsia="仿宋_GB2312" w:cs="仿宋_GB2312"/>
          <w:b w:val="0"/>
          <w:bCs w:val="0"/>
          <w:color w:val="auto"/>
          <w:sz w:val="28"/>
          <w:szCs w:val="28"/>
          <w:highlight w:val="none"/>
          <w:lang w:val="en-US" w:eastAsia="zh-CN"/>
        </w:rPr>
        <w:t>行政执法办公室预算金额：45.8万元；B包应急管理办公室预算金额为：8万元；C包综合治理办公室预算金额为：45.8万元。</w:t>
      </w:r>
    </w:p>
    <w:p>
      <w:pPr>
        <w:keepNext w:val="0"/>
        <w:keepLines w:val="0"/>
        <w:pageBreakBefore w:val="0"/>
        <w:kinsoku/>
        <w:wordWrap/>
        <w:overflowPunct/>
        <w:topLinePunct w:val="0"/>
        <w:autoSpaceDE/>
        <w:autoSpaceDN/>
        <w:bidi w:val="0"/>
        <w:spacing w:line="560" w:lineRule="exact"/>
        <w:ind w:firstLine="560" w:firstLineChars="200"/>
        <w:textAlignment w:val="auto"/>
        <w:outlineLvl w:val="9"/>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2.本项目服务费采用包干制，应包括服务成本、法定税费和企业的利润。由投标单位根据采购文件所提供的资料自行测算投标报价；一经中标，报价总价作为中标单位与采购单位签定的合同金额，合同期限内不做调整。</w:t>
      </w:r>
    </w:p>
    <w:p>
      <w:pPr>
        <w:keepNext w:val="0"/>
        <w:keepLines w:val="0"/>
        <w:pageBreakBefore w:val="0"/>
        <w:kinsoku/>
        <w:wordWrap/>
        <w:overflowPunct/>
        <w:topLinePunct w:val="0"/>
        <w:autoSpaceDE/>
        <w:autoSpaceDN/>
        <w:bidi w:val="0"/>
        <w:spacing w:line="560" w:lineRule="exact"/>
        <w:ind w:firstLine="560" w:firstLineChars="200"/>
        <w:textAlignment w:val="auto"/>
        <w:outlineLvl w:val="9"/>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3.投标单位应当根据本企业的成本自行决定报价，但不得以低于其企业成本的报价投标。</w:t>
      </w:r>
    </w:p>
    <w:p>
      <w:pPr>
        <w:keepNext w:val="0"/>
        <w:keepLines w:val="0"/>
        <w:pageBreakBefore w:val="0"/>
        <w:kinsoku/>
        <w:wordWrap/>
        <w:overflowPunct/>
        <w:topLinePunct w:val="0"/>
        <w:autoSpaceDE/>
        <w:autoSpaceDN/>
        <w:bidi w:val="0"/>
        <w:spacing w:line="560" w:lineRule="exact"/>
        <w:ind w:firstLine="560" w:firstLineChars="200"/>
        <w:textAlignment w:val="auto"/>
        <w:outlineLvl w:val="9"/>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4.投标单位的报价不得超过项目预算金额。</w:t>
      </w:r>
    </w:p>
    <w:p>
      <w:pPr>
        <w:keepNext w:val="0"/>
        <w:keepLines w:val="0"/>
        <w:pageBreakBefore w:val="0"/>
        <w:kinsoku/>
        <w:wordWrap/>
        <w:overflowPunct/>
        <w:topLinePunct w:val="0"/>
        <w:autoSpaceDE/>
        <w:autoSpaceDN/>
        <w:bidi w:val="0"/>
        <w:spacing w:line="560" w:lineRule="exact"/>
        <w:ind w:firstLine="560" w:firstLineChars="200"/>
        <w:textAlignment w:val="auto"/>
        <w:outlineLvl w:val="9"/>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5.投标单位的报价，应当是本项目采购范围和采购文件上所列的各项内容中所述的全部，不得以任何理由予以重复。</w:t>
      </w:r>
    </w:p>
    <w:p>
      <w:pPr>
        <w:keepNext w:val="0"/>
        <w:keepLines w:val="0"/>
        <w:pageBreakBefore w:val="0"/>
        <w:kinsoku/>
        <w:wordWrap/>
        <w:overflowPunct/>
        <w:topLinePunct w:val="0"/>
        <w:autoSpaceDE/>
        <w:autoSpaceDN/>
        <w:bidi w:val="0"/>
        <w:spacing w:line="560" w:lineRule="exact"/>
        <w:ind w:firstLine="560" w:firstLineChars="200"/>
        <w:textAlignment w:val="auto"/>
        <w:outlineLvl w:val="9"/>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6.除非采购单位通过修改采购文件予以更正，否则，投标单位应毫无例外地按响应文件所列的清单中项目和数量填报综合单价和合价。投标单位未填综合单价或合价的项目，在实施后，将不得以支付，并视作该项费用已包括在其它有价款的综合单价或合价内。</w:t>
      </w:r>
    </w:p>
    <w:p>
      <w:pPr>
        <w:keepNext w:val="0"/>
        <w:keepLines w:val="0"/>
        <w:pageBreakBefore w:val="0"/>
        <w:widowControl/>
        <w:kinsoku/>
        <w:wordWrap/>
        <w:overflowPunct/>
        <w:topLinePunct w:val="0"/>
        <w:autoSpaceDE/>
        <w:autoSpaceDN/>
        <w:bidi w:val="0"/>
        <w:spacing w:line="560" w:lineRule="exact"/>
        <w:ind w:firstLine="560" w:firstLineChars="200"/>
        <w:jc w:val="left"/>
        <w:textAlignment w:val="auto"/>
        <w:outlineLvl w:val="9"/>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lang w:val="en-US" w:eastAsia="zh-CN"/>
        </w:rPr>
        <w:t>7</w:t>
      </w:r>
      <w:r>
        <w:rPr>
          <w:rFonts w:hint="eastAsia" w:ascii="仿宋_GB2312" w:hAnsi="仿宋_GB2312" w:eastAsia="仿宋_GB2312" w:cs="仿宋_GB2312"/>
          <w:b w:val="0"/>
          <w:bCs w:val="0"/>
          <w:color w:val="auto"/>
          <w:sz w:val="28"/>
          <w:szCs w:val="28"/>
          <w:highlight w:val="none"/>
        </w:rPr>
        <w:t>.投标</w:t>
      </w:r>
      <w:r>
        <w:rPr>
          <w:rFonts w:hint="eastAsia" w:ascii="仿宋_GB2312" w:hAnsi="仿宋_GB2312" w:eastAsia="仿宋_GB2312" w:cs="仿宋_GB2312"/>
          <w:b w:val="0"/>
          <w:bCs w:val="0"/>
          <w:color w:val="auto"/>
          <w:sz w:val="28"/>
          <w:szCs w:val="28"/>
          <w:highlight w:val="none"/>
          <w:lang w:val="en-US" w:eastAsia="zh-CN"/>
        </w:rPr>
        <w:t>单位</w:t>
      </w:r>
      <w:r>
        <w:rPr>
          <w:rFonts w:hint="eastAsia" w:ascii="仿宋_GB2312" w:hAnsi="仿宋_GB2312" w:eastAsia="仿宋_GB2312" w:cs="仿宋_GB2312"/>
          <w:b w:val="0"/>
          <w:bCs w:val="0"/>
          <w:color w:val="auto"/>
          <w:sz w:val="28"/>
          <w:szCs w:val="28"/>
          <w:highlight w:val="none"/>
        </w:rPr>
        <w:t>不得期望通过索赔等方式获取补偿，否则，除可能遭到拒绝外，还可能将被作为不良行为记录在案，并可能影响其以后参加政府采购的项目投标。各投标</w:t>
      </w:r>
      <w:r>
        <w:rPr>
          <w:rFonts w:hint="eastAsia" w:ascii="仿宋_GB2312" w:hAnsi="仿宋_GB2312" w:eastAsia="仿宋_GB2312" w:cs="仿宋_GB2312"/>
          <w:b w:val="0"/>
          <w:bCs w:val="0"/>
          <w:color w:val="auto"/>
          <w:sz w:val="28"/>
          <w:szCs w:val="28"/>
          <w:highlight w:val="none"/>
          <w:lang w:val="en-US" w:eastAsia="zh-CN"/>
        </w:rPr>
        <w:t>单位</w:t>
      </w:r>
      <w:r>
        <w:rPr>
          <w:rFonts w:hint="eastAsia" w:ascii="仿宋_GB2312" w:hAnsi="仿宋_GB2312" w:eastAsia="仿宋_GB2312" w:cs="仿宋_GB2312"/>
          <w:b w:val="0"/>
          <w:bCs w:val="0"/>
          <w:color w:val="auto"/>
          <w:sz w:val="28"/>
          <w:szCs w:val="28"/>
          <w:highlight w:val="none"/>
        </w:rPr>
        <w:t>在报价时，应充分考虑报价的风险。</w:t>
      </w:r>
    </w:p>
    <w:p>
      <w:pPr>
        <w:keepNext w:val="0"/>
        <w:keepLines w:val="0"/>
        <w:pageBreakBefore w:val="0"/>
        <w:kinsoku/>
        <w:wordWrap/>
        <w:overflowPunct/>
        <w:topLinePunct w:val="0"/>
        <w:autoSpaceDE/>
        <w:autoSpaceDN/>
        <w:bidi w:val="0"/>
        <w:spacing w:line="560" w:lineRule="exact"/>
        <w:ind w:firstLine="560" w:firstLineChars="200"/>
        <w:textAlignment w:val="auto"/>
        <w:outlineLvl w:val="9"/>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（四）付款方式</w:t>
      </w:r>
    </w:p>
    <w:p>
      <w:pPr>
        <w:pStyle w:val="35"/>
        <w:keepNext w:val="0"/>
        <w:keepLines w:val="0"/>
        <w:pageBreakBefore w:val="0"/>
        <w:framePr w:wrap="auto" w:vAnchor="margin" w:hAnchor="text" w:yAlign="inline"/>
        <w:kinsoku/>
        <w:wordWrap/>
        <w:overflowPunct/>
        <w:topLinePunct w:val="0"/>
        <w:autoSpaceDE/>
        <w:autoSpaceDN/>
        <w:bidi w:val="0"/>
        <w:spacing w:line="560" w:lineRule="exact"/>
        <w:ind w:firstLine="560" w:firstLineChars="200"/>
        <w:textAlignment w:val="auto"/>
        <w:outlineLvl w:val="9"/>
        <w:rPr>
          <w:rFonts w:hint="eastAsia" w:ascii="仿宋_GB2312" w:hAnsi="仿宋_GB2312" w:eastAsia="仿宋_GB2312" w:cs="仿宋_GB2312"/>
          <w:b w:val="0"/>
          <w:bCs w:val="0"/>
          <w:color w:val="auto"/>
          <w:kern w:val="2"/>
          <w:sz w:val="28"/>
          <w:szCs w:val="28"/>
          <w:highlight w:val="none"/>
          <w:lang w:val="zh-TW" w:eastAsia="zh-TW" w:bidi="ar-SA"/>
        </w:rPr>
      </w:pPr>
      <w:r>
        <w:rPr>
          <w:rFonts w:hint="eastAsia" w:ascii="仿宋_GB2312" w:hAnsi="仿宋_GB2312" w:eastAsia="仿宋_GB2312" w:cs="仿宋_GB2312"/>
          <w:b w:val="0"/>
          <w:bCs w:val="0"/>
          <w:color w:val="auto"/>
          <w:kern w:val="2"/>
          <w:sz w:val="28"/>
          <w:szCs w:val="28"/>
          <w:highlight w:val="none"/>
          <w:lang w:val="zh-TW" w:eastAsia="zh-CN" w:bidi="ar-SA"/>
        </w:rPr>
        <w:t>合同签订时进行具体约定。</w:t>
      </w:r>
      <w:r>
        <w:rPr>
          <w:rFonts w:hint="eastAsia" w:ascii="仿宋_GB2312" w:hAnsi="仿宋_GB2312" w:eastAsia="仿宋_GB2312" w:cs="仿宋_GB2312"/>
          <w:b w:val="0"/>
          <w:bCs w:val="0"/>
          <w:color w:val="auto"/>
          <w:kern w:val="2"/>
          <w:sz w:val="28"/>
          <w:szCs w:val="28"/>
          <w:highlight w:val="none"/>
          <w:lang w:val="zh-TW" w:eastAsia="zh-TW" w:bidi="ar-SA"/>
        </w:rPr>
        <w:t xml:space="preserve"> </w:t>
      </w:r>
    </w:p>
    <w:p>
      <w:pPr>
        <w:keepNext w:val="0"/>
        <w:keepLines w:val="0"/>
        <w:pageBreakBefore w:val="0"/>
        <w:kinsoku/>
        <w:wordWrap/>
        <w:overflowPunct/>
        <w:topLinePunct w:val="0"/>
        <w:autoSpaceDE/>
        <w:autoSpaceDN/>
        <w:bidi w:val="0"/>
        <w:spacing w:line="560" w:lineRule="exact"/>
        <w:ind w:firstLine="560" w:firstLineChars="200"/>
        <w:textAlignment w:val="auto"/>
        <w:outlineLvl w:val="9"/>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w:t>
      </w:r>
      <w:r>
        <w:rPr>
          <w:rFonts w:hint="eastAsia" w:ascii="仿宋_GB2312" w:hAnsi="仿宋_GB2312" w:eastAsia="仿宋_GB2312" w:cs="仿宋_GB2312"/>
          <w:b w:val="0"/>
          <w:bCs w:val="0"/>
          <w:color w:val="auto"/>
          <w:sz w:val="28"/>
          <w:szCs w:val="28"/>
          <w:highlight w:val="none"/>
          <w:lang w:val="en-US" w:eastAsia="zh-CN"/>
        </w:rPr>
        <w:t>五</w:t>
      </w:r>
      <w:r>
        <w:rPr>
          <w:rFonts w:hint="eastAsia" w:ascii="仿宋_GB2312" w:hAnsi="仿宋_GB2312" w:eastAsia="仿宋_GB2312" w:cs="仿宋_GB2312"/>
          <w:b w:val="0"/>
          <w:bCs w:val="0"/>
          <w:color w:val="auto"/>
          <w:sz w:val="28"/>
          <w:szCs w:val="28"/>
          <w:highlight w:val="none"/>
        </w:rPr>
        <w:t>）违约责任</w:t>
      </w:r>
    </w:p>
    <w:p>
      <w:pPr>
        <w:keepNext w:val="0"/>
        <w:keepLines w:val="0"/>
        <w:pageBreakBefore w:val="0"/>
        <w:kinsoku/>
        <w:overflowPunct/>
        <w:topLinePunct w:val="0"/>
        <w:bidi w:val="0"/>
        <w:adjustRightInd/>
        <w:spacing w:line="460" w:lineRule="exact"/>
        <w:ind w:left="0" w:firstLine="560" w:firstLineChars="200"/>
        <w:textAlignment w:val="auto"/>
        <w:outlineLvl w:val="9"/>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1</w:t>
      </w:r>
      <w:r>
        <w:rPr>
          <w:rFonts w:hint="eastAsia" w:ascii="仿宋_GB2312" w:hAnsi="仿宋_GB2312" w:eastAsia="仿宋_GB2312" w:cs="仿宋_GB2312"/>
          <w:b w:val="0"/>
          <w:bCs w:val="0"/>
          <w:color w:val="auto"/>
          <w:sz w:val="28"/>
          <w:szCs w:val="28"/>
          <w:highlight w:val="none"/>
          <w:lang w:eastAsia="zh-CN"/>
        </w:rPr>
        <w:t>.</w:t>
      </w:r>
      <w:r>
        <w:rPr>
          <w:rFonts w:hint="eastAsia" w:ascii="仿宋_GB2312" w:hAnsi="仿宋_GB2312" w:eastAsia="仿宋_GB2312" w:cs="仿宋_GB2312"/>
          <w:b w:val="0"/>
          <w:bCs w:val="0"/>
          <w:color w:val="auto"/>
          <w:sz w:val="28"/>
          <w:szCs w:val="28"/>
          <w:highlight w:val="none"/>
          <w:lang w:val="en-US" w:eastAsia="zh-CN"/>
        </w:rPr>
        <w:t>采购单位</w:t>
      </w:r>
      <w:r>
        <w:rPr>
          <w:rFonts w:hint="eastAsia" w:ascii="仿宋_GB2312" w:hAnsi="仿宋_GB2312" w:eastAsia="仿宋_GB2312" w:cs="仿宋_GB2312"/>
          <w:b w:val="0"/>
          <w:bCs w:val="0"/>
          <w:color w:val="auto"/>
          <w:sz w:val="28"/>
          <w:szCs w:val="28"/>
          <w:highlight w:val="none"/>
        </w:rPr>
        <w:t>非因本</w:t>
      </w:r>
      <w:r>
        <w:rPr>
          <w:rFonts w:hint="eastAsia" w:ascii="仿宋_GB2312" w:hAnsi="仿宋_GB2312" w:eastAsia="仿宋_GB2312" w:cs="仿宋_GB2312"/>
          <w:b w:val="0"/>
          <w:bCs w:val="0"/>
          <w:color w:val="auto"/>
          <w:sz w:val="28"/>
          <w:szCs w:val="28"/>
          <w:highlight w:val="none"/>
          <w:lang w:val="en-US" w:eastAsia="zh-CN"/>
        </w:rPr>
        <w:t>项目</w:t>
      </w:r>
      <w:r>
        <w:rPr>
          <w:rFonts w:hint="eastAsia" w:ascii="仿宋_GB2312" w:hAnsi="仿宋_GB2312" w:eastAsia="仿宋_GB2312" w:cs="仿宋_GB2312"/>
          <w:b w:val="0"/>
          <w:bCs w:val="0"/>
          <w:color w:val="auto"/>
          <w:sz w:val="28"/>
          <w:szCs w:val="28"/>
          <w:highlight w:val="none"/>
        </w:rPr>
        <w:t>合同约定情形解除本合同的，</w:t>
      </w:r>
      <w:r>
        <w:rPr>
          <w:rFonts w:hint="eastAsia" w:ascii="仿宋_GB2312" w:hAnsi="仿宋_GB2312" w:eastAsia="仿宋_GB2312" w:cs="仿宋_GB2312"/>
          <w:b w:val="0"/>
          <w:bCs w:val="0"/>
          <w:color w:val="auto"/>
          <w:sz w:val="28"/>
          <w:szCs w:val="28"/>
          <w:highlight w:val="none"/>
          <w:lang w:val="en-US" w:eastAsia="zh-CN"/>
        </w:rPr>
        <w:t>中标单位</w:t>
      </w:r>
      <w:r>
        <w:rPr>
          <w:rFonts w:hint="eastAsia" w:ascii="仿宋_GB2312" w:hAnsi="仿宋_GB2312" w:eastAsia="仿宋_GB2312" w:cs="仿宋_GB2312"/>
          <w:b w:val="0"/>
          <w:bCs w:val="0"/>
          <w:color w:val="auto"/>
          <w:sz w:val="28"/>
          <w:szCs w:val="28"/>
          <w:highlight w:val="none"/>
        </w:rPr>
        <w:t>已收取的法律服务费用不予退还。</w:t>
      </w:r>
    </w:p>
    <w:p>
      <w:pPr>
        <w:keepNext w:val="0"/>
        <w:keepLines w:val="0"/>
        <w:pageBreakBefore w:val="0"/>
        <w:kinsoku/>
        <w:overflowPunct/>
        <w:topLinePunct w:val="0"/>
        <w:bidi w:val="0"/>
        <w:adjustRightInd/>
        <w:spacing w:line="460" w:lineRule="exact"/>
        <w:ind w:left="0" w:firstLine="560" w:firstLineChars="200"/>
        <w:textAlignment w:val="auto"/>
        <w:outlineLvl w:val="9"/>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2</w:t>
      </w:r>
      <w:r>
        <w:rPr>
          <w:rFonts w:hint="eastAsia" w:ascii="仿宋_GB2312" w:hAnsi="仿宋_GB2312" w:eastAsia="仿宋_GB2312" w:cs="仿宋_GB2312"/>
          <w:b w:val="0"/>
          <w:bCs w:val="0"/>
          <w:color w:val="auto"/>
          <w:sz w:val="28"/>
          <w:szCs w:val="28"/>
          <w:highlight w:val="none"/>
          <w:lang w:eastAsia="zh-CN"/>
        </w:rPr>
        <w:t>.</w:t>
      </w:r>
      <w:r>
        <w:rPr>
          <w:rFonts w:hint="eastAsia" w:ascii="仿宋_GB2312" w:hAnsi="仿宋_GB2312" w:eastAsia="仿宋_GB2312" w:cs="仿宋_GB2312"/>
          <w:b w:val="0"/>
          <w:bCs w:val="0"/>
          <w:color w:val="auto"/>
          <w:sz w:val="28"/>
          <w:szCs w:val="28"/>
          <w:highlight w:val="none"/>
          <w:lang w:val="en-US" w:eastAsia="zh-CN"/>
        </w:rPr>
        <w:t>采购单位</w:t>
      </w:r>
      <w:r>
        <w:rPr>
          <w:rFonts w:hint="eastAsia" w:ascii="仿宋_GB2312" w:hAnsi="仿宋_GB2312" w:eastAsia="仿宋_GB2312" w:cs="仿宋_GB2312"/>
          <w:b w:val="0"/>
          <w:bCs w:val="0"/>
          <w:color w:val="auto"/>
          <w:sz w:val="28"/>
          <w:szCs w:val="28"/>
          <w:highlight w:val="none"/>
        </w:rPr>
        <w:t>因本</w:t>
      </w:r>
      <w:r>
        <w:rPr>
          <w:rFonts w:hint="eastAsia" w:ascii="仿宋_GB2312" w:hAnsi="仿宋_GB2312" w:eastAsia="仿宋_GB2312" w:cs="仿宋_GB2312"/>
          <w:b w:val="0"/>
          <w:bCs w:val="0"/>
          <w:color w:val="auto"/>
          <w:sz w:val="28"/>
          <w:szCs w:val="28"/>
          <w:highlight w:val="none"/>
          <w:lang w:val="en-US" w:eastAsia="zh-CN"/>
        </w:rPr>
        <w:t>项目</w:t>
      </w:r>
      <w:r>
        <w:rPr>
          <w:rFonts w:hint="eastAsia" w:ascii="仿宋_GB2312" w:hAnsi="仿宋_GB2312" w:eastAsia="仿宋_GB2312" w:cs="仿宋_GB2312"/>
          <w:b w:val="0"/>
          <w:bCs w:val="0"/>
          <w:color w:val="auto"/>
          <w:sz w:val="28"/>
          <w:szCs w:val="28"/>
          <w:highlight w:val="none"/>
        </w:rPr>
        <w:t>合同约定情形解除本合同的，</w:t>
      </w:r>
      <w:r>
        <w:rPr>
          <w:rFonts w:hint="eastAsia" w:ascii="仿宋_GB2312" w:hAnsi="仿宋_GB2312" w:eastAsia="仿宋_GB2312" w:cs="仿宋_GB2312"/>
          <w:b w:val="0"/>
          <w:bCs w:val="0"/>
          <w:color w:val="auto"/>
          <w:sz w:val="28"/>
          <w:szCs w:val="28"/>
          <w:highlight w:val="none"/>
          <w:lang w:val="en-US" w:eastAsia="zh-CN"/>
        </w:rPr>
        <w:t>中标单位</w:t>
      </w:r>
      <w:r>
        <w:rPr>
          <w:rFonts w:hint="eastAsia" w:ascii="仿宋_GB2312" w:hAnsi="仿宋_GB2312" w:eastAsia="仿宋_GB2312" w:cs="仿宋_GB2312"/>
          <w:b w:val="0"/>
          <w:bCs w:val="0"/>
          <w:color w:val="auto"/>
          <w:sz w:val="28"/>
          <w:szCs w:val="28"/>
          <w:highlight w:val="none"/>
        </w:rPr>
        <w:t>应向</w:t>
      </w:r>
      <w:r>
        <w:rPr>
          <w:rFonts w:hint="eastAsia" w:ascii="仿宋_GB2312" w:hAnsi="仿宋_GB2312" w:eastAsia="仿宋_GB2312" w:cs="仿宋_GB2312"/>
          <w:b w:val="0"/>
          <w:bCs w:val="0"/>
          <w:color w:val="auto"/>
          <w:sz w:val="28"/>
          <w:szCs w:val="28"/>
          <w:highlight w:val="none"/>
          <w:lang w:val="en-US" w:eastAsia="zh-CN"/>
        </w:rPr>
        <w:t>采购单位</w:t>
      </w:r>
      <w:r>
        <w:rPr>
          <w:rFonts w:hint="eastAsia" w:ascii="仿宋_GB2312" w:hAnsi="仿宋_GB2312" w:eastAsia="仿宋_GB2312" w:cs="仿宋_GB2312"/>
          <w:b w:val="0"/>
          <w:bCs w:val="0"/>
          <w:color w:val="auto"/>
          <w:sz w:val="28"/>
          <w:szCs w:val="28"/>
          <w:highlight w:val="none"/>
        </w:rPr>
        <w:t>退还未完成服务期的费用。</w:t>
      </w:r>
    </w:p>
    <w:p>
      <w:pPr>
        <w:keepNext w:val="0"/>
        <w:keepLines w:val="0"/>
        <w:pageBreakBefore w:val="0"/>
        <w:kinsoku/>
        <w:overflowPunct/>
        <w:topLinePunct w:val="0"/>
        <w:bidi w:val="0"/>
        <w:adjustRightInd/>
        <w:spacing w:line="460" w:lineRule="exact"/>
        <w:ind w:left="0" w:firstLine="560" w:firstLineChars="200"/>
        <w:textAlignment w:val="auto"/>
        <w:outlineLvl w:val="9"/>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3、</w:t>
      </w:r>
      <w:r>
        <w:rPr>
          <w:rFonts w:hint="eastAsia" w:ascii="仿宋_GB2312" w:hAnsi="仿宋_GB2312" w:eastAsia="仿宋_GB2312" w:cs="仿宋_GB2312"/>
          <w:b w:val="0"/>
          <w:bCs w:val="0"/>
          <w:color w:val="auto"/>
          <w:sz w:val="28"/>
          <w:szCs w:val="28"/>
          <w:highlight w:val="none"/>
          <w:lang w:val="en-US" w:eastAsia="zh-CN"/>
        </w:rPr>
        <w:t>中标单位</w:t>
      </w:r>
      <w:r>
        <w:rPr>
          <w:rFonts w:hint="eastAsia" w:ascii="仿宋_GB2312" w:hAnsi="仿宋_GB2312" w:eastAsia="仿宋_GB2312" w:cs="仿宋_GB2312"/>
          <w:b w:val="0"/>
          <w:bCs w:val="0"/>
          <w:color w:val="auto"/>
          <w:sz w:val="28"/>
          <w:szCs w:val="28"/>
          <w:highlight w:val="none"/>
        </w:rPr>
        <w:t>在提供法律服务期间，因</w:t>
      </w:r>
      <w:r>
        <w:rPr>
          <w:rFonts w:hint="eastAsia" w:ascii="仿宋_GB2312" w:hAnsi="仿宋_GB2312" w:eastAsia="仿宋_GB2312" w:cs="仿宋_GB2312"/>
          <w:b w:val="0"/>
          <w:bCs w:val="0"/>
          <w:color w:val="auto"/>
          <w:sz w:val="28"/>
          <w:szCs w:val="28"/>
          <w:highlight w:val="none"/>
          <w:lang w:val="en-US" w:eastAsia="zh-CN"/>
        </w:rPr>
        <w:t>中标单位</w:t>
      </w:r>
      <w:r>
        <w:rPr>
          <w:rFonts w:hint="eastAsia" w:ascii="仿宋_GB2312" w:hAnsi="仿宋_GB2312" w:eastAsia="仿宋_GB2312" w:cs="仿宋_GB2312"/>
          <w:b w:val="0"/>
          <w:bCs w:val="0"/>
          <w:color w:val="auto"/>
          <w:sz w:val="28"/>
          <w:szCs w:val="28"/>
          <w:highlight w:val="none"/>
        </w:rPr>
        <w:t>过错给</w:t>
      </w:r>
      <w:r>
        <w:rPr>
          <w:rFonts w:hint="eastAsia" w:ascii="仿宋_GB2312" w:hAnsi="仿宋_GB2312" w:eastAsia="仿宋_GB2312" w:cs="仿宋_GB2312"/>
          <w:b w:val="0"/>
          <w:bCs w:val="0"/>
          <w:color w:val="auto"/>
          <w:sz w:val="28"/>
          <w:szCs w:val="28"/>
          <w:highlight w:val="none"/>
          <w:lang w:val="en-US" w:eastAsia="zh-CN"/>
        </w:rPr>
        <w:t>采购单位</w:t>
      </w:r>
      <w:r>
        <w:rPr>
          <w:rFonts w:hint="eastAsia" w:ascii="仿宋_GB2312" w:hAnsi="仿宋_GB2312" w:eastAsia="仿宋_GB2312" w:cs="仿宋_GB2312"/>
          <w:b w:val="0"/>
          <w:bCs w:val="0"/>
          <w:color w:val="auto"/>
          <w:sz w:val="28"/>
          <w:szCs w:val="28"/>
          <w:highlight w:val="none"/>
        </w:rPr>
        <w:t>造成损失的，</w:t>
      </w:r>
      <w:r>
        <w:rPr>
          <w:rFonts w:hint="eastAsia" w:ascii="仿宋_GB2312" w:hAnsi="仿宋_GB2312" w:eastAsia="仿宋_GB2312" w:cs="仿宋_GB2312"/>
          <w:b w:val="0"/>
          <w:bCs w:val="0"/>
          <w:color w:val="auto"/>
          <w:sz w:val="28"/>
          <w:szCs w:val="28"/>
          <w:highlight w:val="none"/>
          <w:lang w:val="en-US" w:eastAsia="zh-CN"/>
        </w:rPr>
        <w:t>中标单位</w:t>
      </w:r>
      <w:r>
        <w:rPr>
          <w:rFonts w:hint="eastAsia" w:ascii="仿宋_GB2312" w:hAnsi="仿宋_GB2312" w:eastAsia="仿宋_GB2312" w:cs="仿宋_GB2312"/>
          <w:b w:val="0"/>
          <w:bCs w:val="0"/>
          <w:color w:val="auto"/>
          <w:sz w:val="28"/>
          <w:szCs w:val="28"/>
          <w:highlight w:val="none"/>
        </w:rPr>
        <w:t>应赔偿</w:t>
      </w:r>
      <w:r>
        <w:rPr>
          <w:rFonts w:hint="eastAsia" w:ascii="仿宋_GB2312" w:hAnsi="仿宋_GB2312" w:eastAsia="仿宋_GB2312" w:cs="仿宋_GB2312"/>
          <w:b w:val="0"/>
          <w:bCs w:val="0"/>
          <w:color w:val="auto"/>
          <w:sz w:val="28"/>
          <w:szCs w:val="28"/>
          <w:highlight w:val="none"/>
          <w:lang w:val="en-US" w:eastAsia="zh-CN"/>
        </w:rPr>
        <w:t>采购单位</w:t>
      </w:r>
      <w:r>
        <w:rPr>
          <w:rFonts w:hint="eastAsia" w:ascii="仿宋_GB2312" w:hAnsi="仿宋_GB2312" w:eastAsia="仿宋_GB2312" w:cs="仿宋_GB2312"/>
          <w:b w:val="0"/>
          <w:bCs w:val="0"/>
          <w:color w:val="auto"/>
          <w:sz w:val="28"/>
          <w:szCs w:val="28"/>
          <w:highlight w:val="none"/>
        </w:rPr>
        <w:t>的实际损失，但以本年度已收取</w:t>
      </w:r>
      <w:r>
        <w:rPr>
          <w:rFonts w:hint="eastAsia" w:ascii="仿宋_GB2312" w:hAnsi="仿宋_GB2312" w:eastAsia="仿宋_GB2312" w:cs="仿宋_GB2312"/>
          <w:b w:val="0"/>
          <w:bCs w:val="0"/>
          <w:color w:val="auto"/>
          <w:sz w:val="28"/>
          <w:szCs w:val="28"/>
          <w:highlight w:val="none"/>
          <w:lang w:eastAsia="zh-CN"/>
        </w:rPr>
        <w:t>法律</w:t>
      </w:r>
      <w:r>
        <w:rPr>
          <w:rFonts w:hint="eastAsia" w:ascii="仿宋_GB2312" w:hAnsi="仿宋_GB2312" w:eastAsia="仿宋_GB2312" w:cs="仿宋_GB2312"/>
          <w:b w:val="0"/>
          <w:bCs w:val="0"/>
          <w:color w:val="auto"/>
          <w:sz w:val="28"/>
          <w:szCs w:val="28"/>
          <w:highlight w:val="none"/>
        </w:rPr>
        <w:t>顾问</w:t>
      </w:r>
      <w:r>
        <w:rPr>
          <w:rFonts w:hint="eastAsia" w:ascii="仿宋_GB2312" w:hAnsi="仿宋_GB2312" w:eastAsia="仿宋_GB2312" w:cs="仿宋_GB2312"/>
          <w:b w:val="0"/>
          <w:bCs w:val="0"/>
          <w:color w:val="auto"/>
          <w:sz w:val="28"/>
          <w:szCs w:val="28"/>
          <w:highlight w:val="none"/>
          <w:lang w:eastAsia="zh-CN"/>
        </w:rPr>
        <w:t>服务</w:t>
      </w:r>
      <w:r>
        <w:rPr>
          <w:rFonts w:hint="eastAsia" w:ascii="仿宋_GB2312" w:hAnsi="仿宋_GB2312" w:eastAsia="仿宋_GB2312" w:cs="仿宋_GB2312"/>
          <w:b w:val="0"/>
          <w:bCs w:val="0"/>
          <w:color w:val="auto"/>
          <w:sz w:val="28"/>
          <w:szCs w:val="28"/>
          <w:highlight w:val="none"/>
        </w:rPr>
        <w:t>费用为限。</w:t>
      </w:r>
    </w:p>
    <w:p>
      <w:pPr>
        <w:keepNext w:val="0"/>
        <w:keepLines w:val="0"/>
        <w:pageBreakBefore w:val="0"/>
        <w:numPr>
          <w:ilvl w:val="0"/>
          <w:numId w:val="0"/>
        </w:numPr>
        <w:kinsoku/>
        <w:wordWrap/>
        <w:overflowPunct/>
        <w:topLinePunct w:val="0"/>
        <w:autoSpaceDE/>
        <w:autoSpaceDN/>
        <w:bidi w:val="0"/>
        <w:spacing w:line="560" w:lineRule="exact"/>
        <w:textAlignment w:val="auto"/>
        <w:outlineLvl w:val="9"/>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lang w:eastAsia="zh-CN"/>
        </w:rPr>
        <w:t>七、</w:t>
      </w:r>
      <w:r>
        <w:rPr>
          <w:rFonts w:hint="eastAsia" w:ascii="仿宋_GB2312" w:hAnsi="仿宋_GB2312" w:eastAsia="仿宋_GB2312" w:cs="仿宋_GB2312"/>
          <w:b w:val="0"/>
          <w:bCs w:val="0"/>
          <w:color w:val="auto"/>
          <w:sz w:val="28"/>
          <w:szCs w:val="28"/>
          <w:highlight w:val="none"/>
        </w:rPr>
        <w:t>供应商情况介绍</w:t>
      </w:r>
    </w:p>
    <w:tbl>
      <w:tblPr>
        <w:tblStyle w:val="17"/>
        <w:tblW w:w="9231"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2333"/>
        <w:gridCol w:w="4514"/>
        <w:gridCol w:w="170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78"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序号</w:t>
            </w:r>
          </w:p>
        </w:tc>
        <w:tc>
          <w:tcPr>
            <w:tcW w:w="2333" w:type="dxa"/>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项目</w:t>
            </w:r>
          </w:p>
        </w:tc>
        <w:tc>
          <w:tcPr>
            <w:tcW w:w="4514"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内容及说明</w:t>
            </w:r>
          </w:p>
        </w:tc>
        <w:tc>
          <w:tcPr>
            <w:tcW w:w="1706"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78"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 w:val="24"/>
                <w:highlight w:val="none"/>
              </w:rPr>
            </w:pPr>
            <w:r>
              <w:rPr>
                <w:rFonts w:hint="eastAsia" w:ascii="仿宋_GB2312" w:hAnsi="仿宋_GB2312" w:eastAsia="仿宋_GB2312" w:cs="仿宋_GB2312"/>
                <w:b w:val="0"/>
                <w:bCs w:val="0"/>
                <w:color w:val="auto"/>
                <w:sz w:val="24"/>
                <w:highlight w:val="none"/>
              </w:rPr>
              <w:t>一</w:t>
            </w:r>
          </w:p>
        </w:tc>
        <w:tc>
          <w:tcPr>
            <w:tcW w:w="6847" w:type="dxa"/>
            <w:gridSpan w:val="2"/>
          </w:tcPr>
          <w:p>
            <w:pPr>
              <w:keepNext w:val="0"/>
              <w:keepLines w:val="0"/>
              <w:pageBreakBefore w:val="0"/>
              <w:kinsoku/>
              <w:wordWrap/>
              <w:overflowPunct/>
              <w:topLinePunct w:val="0"/>
              <w:autoSpaceDE/>
              <w:autoSpaceDN/>
              <w:bidi w:val="0"/>
              <w:spacing w:line="560" w:lineRule="exact"/>
              <w:textAlignment w:val="auto"/>
              <w:outlineLvl w:val="9"/>
              <w:rPr>
                <w:rFonts w:hint="eastAsia" w:ascii="仿宋_GB2312" w:hAnsi="仿宋_GB2312" w:eastAsia="仿宋_GB2312" w:cs="仿宋_GB2312"/>
                <w:b w:val="0"/>
                <w:bCs w:val="0"/>
                <w:color w:val="auto"/>
                <w:sz w:val="24"/>
                <w:highlight w:val="none"/>
              </w:rPr>
            </w:pPr>
            <w:r>
              <w:rPr>
                <w:rFonts w:hint="eastAsia" w:ascii="仿宋_GB2312" w:hAnsi="仿宋_GB2312" w:eastAsia="仿宋_GB2312" w:cs="仿宋_GB2312"/>
                <w:b w:val="0"/>
                <w:bCs w:val="0"/>
                <w:color w:val="auto"/>
                <w:sz w:val="24"/>
                <w:highlight w:val="none"/>
              </w:rPr>
              <w:t>营业执照</w:t>
            </w:r>
          </w:p>
        </w:tc>
        <w:tc>
          <w:tcPr>
            <w:tcW w:w="1706"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 w:val="24"/>
                <w:highlight w:val="none"/>
              </w:rPr>
            </w:pPr>
            <w:r>
              <w:rPr>
                <w:rFonts w:hint="eastAsia" w:ascii="仿宋_GB2312" w:hAnsi="仿宋_GB2312" w:eastAsia="仿宋_GB2312" w:cs="仿宋_GB2312"/>
                <w:b w:val="0"/>
                <w:bCs w:val="0"/>
                <w:color w:val="auto"/>
                <w:sz w:val="24"/>
                <w:highlight w:val="none"/>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78"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 w:val="24"/>
                <w:highlight w:val="none"/>
              </w:rPr>
            </w:pPr>
            <w:r>
              <w:rPr>
                <w:rFonts w:hint="eastAsia" w:ascii="仿宋_GB2312" w:hAnsi="仿宋_GB2312" w:eastAsia="仿宋_GB2312" w:cs="仿宋_GB2312"/>
                <w:b w:val="0"/>
                <w:bCs w:val="0"/>
                <w:color w:val="auto"/>
                <w:sz w:val="24"/>
                <w:highlight w:val="none"/>
              </w:rPr>
              <w:t>1</w:t>
            </w:r>
          </w:p>
        </w:tc>
        <w:tc>
          <w:tcPr>
            <w:tcW w:w="2333"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 w:val="24"/>
                <w:highlight w:val="none"/>
              </w:rPr>
            </w:pPr>
            <w:r>
              <w:rPr>
                <w:rFonts w:hint="eastAsia" w:ascii="仿宋_GB2312" w:hAnsi="仿宋_GB2312" w:eastAsia="仿宋_GB2312" w:cs="仿宋_GB2312"/>
                <w:b w:val="0"/>
                <w:bCs w:val="0"/>
                <w:color w:val="auto"/>
                <w:sz w:val="24"/>
                <w:highlight w:val="none"/>
              </w:rPr>
              <w:t>成立日期及注册号</w:t>
            </w:r>
          </w:p>
        </w:tc>
        <w:tc>
          <w:tcPr>
            <w:tcW w:w="4514" w:type="dxa"/>
            <w:vAlign w:val="center"/>
          </w:tcPr>
          <w:p>
            <w:pPr>
              <w:keepNext w:val="0"/>
              <w:keepLines w:val="0"/>
              <w:pageBreakBefore w:val="0"/>
              <w:kinsoku/>
              <w:wordWrap/>
              <w:overflowPunct/>
              <w:topLinePunct w:val="0"/>
              <w:autoSpaceDE/>
              <w:autoSpaceDN/>
              <w:bidi w:val="0"/>
              <w:spacing w:line="560" w:lineRule="exact"/>
              <w:textAlignment w:val="auto"/>
              <w:outlineLvl w:val="9"/>
              <w:rPr>
                <w:rFonts w:hint="eastAsia" w:ascii="仿宋_GB2312" w:hAnsi="仿宋_GB2312" w:eastAsia="仿宋_GB2312" w:cs="仿宋_GB2312"/>
                <w:b w:val="0"/>
                <w:bCs w:val="0"/>
                <w:color w:val="auto"/>
                <w:sz w:val="24"/>
                <w:highlight w:val="none"/>
              </w:rPr>
            </w:pPr>
          </w:p>
        </w:tc>
        <w:tc>
          <w:tcPr>
            <w:tcW w:w="1706"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78"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 w:val="24"/>
                <w:highlight w:val="none"/>
              </w:rPr>
            </w:pPr>
            <w:r>
              <w:rPr>
                <w:rFonts w:hint="eastAsia" w:ascii="仿宋_GB2312" w:hAnsi="仿宋_GB2312" w:eastAsia="仿宋_GB2312" w:cs="仿宋_GB2312"/>
                <w:b w:val="0"/>
                <w:bCs w:val="0"/>
                <w:color w:val="auto"/>
                <w:sz w:val="24"/>
                <w:highlight w:val="none"/>
              </w:rPr>
              <w:t>2</w:t>
            </w:r>
          </w:p>
        </w:tc>
        <w:tc>
          <w:tcPr>
            <w:tcW w:w="2333"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 w:val="24"/>
                <w:highlight w:val="none"/>
              </w:rPr>
            </w:pPr>
            <w:r>
              <w:rPr>
                <w:rFonts w:hint="eastAsia" w:ascii="仿宋_GB2312" w:hAnsi="仿宋_GB2312" w:eastAsia="仿宋_GB2312" w:cs="仿宋_GB2312"/>
                <w:b w:val="0"/>
                <w:bCs w:val="0"/>
                <w:color w:val="auto"/>
                <w:sz w:val="24"/>
                <w:highlight w:val="none"/>
              </w:rPr>
              <w:t>注册资本（万元）</w:t>
            </w:r>
          </w:p>
        </w:tc>
        <w:tc>
          <w:tcPr>
            <w:tcW w:w="4514" w:type="dxa"/>
            <w:vAlign w:val="center"/>
          </w:tcPr>
          <w:p>
            <w:pPr>
              <w:keepNext w:val="0"/>
              <w:keepLines w:val="0"/>
              <w:pageBreakBefore w:val="0"/>
              <w:kinsoku/>
              <w:wordWrap/>
              <w:overflowPunct/>
              <w:topLinePunct w:val="0"/>
              <w:autoSpaceDE/>
              <w:autoSpaceDN/>
              <w:bidi w:val="0"/>
              <w:spacing w:line="560" w:lineRule="exact"/>
              <w:textAlignment w:val="auto"/>
              <w:outlineLvl w:val="9"/>
              <w:rPr>
                <w:rFonts w:hint="eastAsia" w:ascii="仿宋_GB2312" w:hAnsi="仿宋_GB2312" w:eastAsia="仿宋_GB2312" w:cs="仿宋_GB2312"/>
                <w:b w:val="0"/>
                <w:bCs w:val="0"/>
                <w:color w:val="auto"/>
                <w:sz w:val="24"/>
                <w:highlight w:val="none"/>
              </w:rPr>
            </w:pPr>
          </w:p>
        </w:tc>
        <w:tc>
          <w:tcPr>
            <w:tcW w:w="1706"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78"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 w:val="24"/>
                <w:highlight w:val="none"/>
              </w:rPr>
            </w:pPr>
            <w:r>
              <w:rPr>
                <w:rFonts w:hint="eastAsia" w:ascii="仿宋_GB2312" w:hAnsi="仿宋_GB2312" w:eastAsia="仿宋_GB2312" w:cs="仿宋_GB2312"/>
                <w:b w:val="0"/>
                <w:bCs w:val="0"/>
                <w:color w:val="auto"/>
                <w:sz w:val="24"/>
                <w:highlight w:val="none"/>
              </w:rPr>
              <w:t>3</w:t>
            </w:r>
          </w:p>
        </w:tc>
        <w:tc>
          <w:tcPr>
            <w:tcW w:w="2333"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 w:val="24"/>
                <w:highlight w:val="none"/>
              </w:rPr>
            </w:pPr>
            <w:r>
              <w:rPr>
                <w:rFonts w:hint="eastAsia" w:ascii="仿宋_GB2312" w:hAnsi="仿宋_GB2312" w:eastAsia="仿宋_GB2312" w:cs="仿宋_GB2312"/>
                <w:b w:val="0"/>
                <w:bCs w:val="0"/>
                <w:color w:val="auto"/>
                <w:sz w:val="24"/>
                <w:highlight w:val="none"/>
              </w:rPr>
              <w:t>注册地址</w:t>
            </w:r>
          </w:p>
        </w:tc>
        <w:tc>
          <w:tcPr>
            <w:tcW w:w="4514" w:type="dxa"/>
            <w:vAlign w:val="center"/>
          </w:tcPr>
          <w:p>
            <w:pPr>
              <w:keepNext w:val="0"/>
              <w:keepLines w:val="0"/>
              <w:pageBreakBefore w:val="0"/>
              <w:kinsoku/>
              <w:wordWrap/>
              <w:overflowPunct/>
              <w:topLinePunct w:val="0"/>
              <w:autoSpaceDE/>
              <w:autoSpaceDN/>
              <w:bidi w:val="0"/>
              <w:spacing w:line="560" w:lineRule="exact"/>
              <w:textAlignment w:val="auto"/>
              <w:outlineLvl w:val="9"/>
              <w:rPr>
                <w:rFonts w:hint="eastAsia" w:ascii="仿宋_GB2312" w:hAnsi="仿宋_GB2312" w:eastAsia="仿宋_GB2312" w:cs="仿宋_GB2312"/>
                <w:b w:val="0"/>
                <w:bCs w:val="0"/>
                <w:color w:val="auto"/>
                <w:sz w:val="24"/>
                <w:highlight w:val="none"/>
              </w:rPr>
            </w:pPr>
          </w:p>
        </w:tc>
        <w:tc>
          <w:tcPr>
            <w:tcW w:w="1706"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78"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 w:val="24"/>
                <w:highlight w:val="none"/>
              </w:rPr>
            </w:pPr>
            <w:r>
              <w:rPr>
                <w:rFonts w:hint="eastAsia" w:ascii="仿宋_GB2312" w:hAnsi="仿宋_GB2312" w:eastAsia="仿宋_GB2312" w:cs="仿宋_GB2312"/>
                <w:b w:val="0"/>
                <w:bCs w:val="0"/>
                <w:color w:val="auto"/>
                <w:sz w:val="24"/>
                <w:highlight w:val="none"/>
              </w:rPr>
              <w:t>4</w:t>
            </w:r>
          </w:p>
        </w:tc>
        <w:tc>
          <w:tcPr>
            <w:tcW w:w="2333"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 w:val="24"/>
                <w:highlight w:val="none"/>
              </w:rPr>
            </w:pPr>
            <w:r>
              <w:rPr>
                <w:rFonts w:hint="eastAsia" w:ascii="仿宋_GB2312" w:hAnsi="仿宋_GB2312" w:eastAsia="仿宋_GB2312" w:cs="仿宋_GB2312"/>
                <w:b w:val="0"/>
                <w:bCs w:val="0"/>
                <w:color w:val="auto"/>
                <w:sz w:val="24"/>
                <w:highlight w:val="none"/>
              </w:rPr>
              <w:t>有效期</w:t>
            </w:r>
          </w:p>
        </w:tc>
        <w:tc>
          <w:tcPr>
            <w:tcW w:w="4514" w:type="dxa"/>
            <w:vAlign w:val="center"/>
          </w:tcPr>
          <w:p>
            <w:pPr>
              <w:keepNext w:val="0"/>
              <w:keepLines w:val="0"/>
              <w:pageBreakBefore w:val="0"/>
              <w:kinsoku/>
              <w:wordWrap/>
              <w:overflowPunct/>
              <w:topLinePunct w:val="0"/>
              <w:autoSpaceDE/>
              <w:autoSpaceDN/>
              <w:bidi w:val="0"/>
              <w:spacing w:line="560" w:lineRule="exact"/>
              <w:textAlignment w:val="auto"/>
              <w:outlineLvl w:val="9"/>
              <w:rPr>
                <w:rFonts w:hint="eastAsia" w:ascii="仿宋_GB2312" w:hAnsi="仿宋_GB2312" w:eastAsia="仿宋_GB2312" w:cs="仿宋_GB2312"/>
                <w:b w:val="0"/>
                <w:bCs w:val="0"/>
                <w:color w:val="auto"/>
                <w:sz w:val="24"/>
                <w:highlight w:val="none"/>
              </w:rPr>
            </w:pPr>
          </w:p>
        </w:tc>
        <w:tc>
          <w:tcPr>
            <w:tcW w:w="1706"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78"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 w:val="24"/>
                <w:highlight w:val="none"/>
              </w:rPr>
            </w:pPr>
            <w:r>
              <w:rPr>
                <w:rFonts w:hint="eastAsia" w:ascii="仿宋_GB2312" w:hAnsi="仿宋_GB2312" w:eastAsia="仿宋_GB2312" w:cs="仿宋_GB2312"/>
                <w:b w:val="0"/>
                <w:bCs w:val="0"/>
                <w:color w:val="auto"/>
                <w:sz w:val="24"/>
                <w:highlight w:val="none"/>
              </w:rPr>
              <w:t>二</w:t>
            </w:r>
          </w:p>
        </w:tc>
        <w:tc>
          <w:tcPr>
            <w:tcW w:w="6847" w:type="dxa"/>
            <w:gridSpan w:val="2"/>
            <w:vAlign w:val="center"/>
          </w:tcPr>
          <w:p>
            <w:pPr>
              <w:keepNext w:val="0"/>
              <w:keepLines w:val="0"/>
              <w:pageBreakBefore w:val="0"/>
              <w:kinsoku/>
              <w:wordWrap/>
              <w:overflowPunct/>
              <w:topLinePunct w:val="0"/>
              <w:autoSpaceDE/>
              <w:autoSpaceDN/>
              <w:bidi w:val="0"/>
              <w:spacing w:line="560" w:lineRule="exact"/>
              <w:textAlignment w:val="auto"/>
              <w:outlineLvl w:val="9"/>
              <w:rPr>
                <w:rFonts w:hint="eastAsia" w:ascii="仿宋_GB2312" w:hAnsi="仿宋_GB2312" w:eastAsia="仿宋_GB2312" w:cs="仿宋_GB2312"/>
                <w:b w:val="0"/>
                <w:bCs w:val="0"/>
                <w:color w:val="auto"/>
                <w:sz w:val="24"/>
                <w:highlight w:val="none"/>
              </w:rPr>
            </w:pPr>
            <w:r>
              <w:rPr>
                <w:rFonts w:hint="eastAsia" w:ascii="仿宋_GB2312" w:hAnsi="仿宋_GB2312" w:eastAsia="仿宋_GB2312" w:cs="仿宋_GB2312"/>
                <w:b w:val="0"/>
                <w:bCs w:val="0"/>
                <w:color w:val="auto"/>
                <w:sz w:val="24"/>
                <w:highlight w:val="none"/>
              </w:rPr>
              <w:t>税务登记证</w:t>
            </w:r>
          </w:p>
        </w:tc>
        <w:tc>
          <w:tcPr>
            <w:tcW w:w="1706"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 w:val="24"/>
                <w:highlight w:val="none"/>
              </w:rPr>
            </w:pPr>
            <w:r>
              <w:rPr>
                <w:rFonts w:hint="eastAsia" w:ascii="仿宋_GB2312" w:hAnsi="仿宋_GB2312" w:eastAsia="仿宋_GB2312" w:cs="仿宋_GB2312"/>
                <w:b w:val="0"/>
                <w:bCs w:val="0"/>
                <w:color w:val="auto"/>
                <w:sz w:val="24"/>
                <w:highlight w:val="none"/>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78"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 w:val="24"/>
                <w:highlight w:val="none"/>
              </w:rPr>
            </w:pPr>
            <w:r>
              <w:rPr>
                <w:rFonts w:hint="eastAsia" w:ascii="仿宋_GB2312" w:hAnsi="仿宋_GB2312" w:eastAsia="仿宋_GB2312" w:cs="仿宋_GB2312"/>
                <w:b w:val="0"/>
                <w:bCs w:val="0"/>
                <w:color w:val="auto"/>
                <w:sz w:val="24"/>
                <w:highlight w:val="none"/>
              </w:rPr>
              <w:t>1</w:t>
            </w:r>
          </w:p>
        </w:tc>
        <w:tc>
          <w:tcPr>
            <w:tcW w:w="2333"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 w:val="24"/>
                <w:highlight w:val="none"/>
              </w:rPr>
            </w:pPr>
            <w:r>
              <w:rPr>
                <w:rFonts w:hint="eastAsia" w:ascii="仿宋_GB2312" w:hAnsi="仿宋_GB2312" w:eastAsia="仿宋_GB2312" w:cs="仿宋_GB2312"/>
                <w:b w:val="0"/>
                <w:bCs w:val="0"/>
                <w:color w:val="auto"/>
                <w:sz w:val="24"/>
                <w:highlight w:val="none"/>
              </w:rPr>
              <w:t>税务登记证编号</w:t>
            </w:r>
          </w:p>
        </w:tc>
        <w:tc>
          <w:tcPr>
            <w:tcW w:w="4514" w:type="dxa"/>
            <w:vAlign w:val="center"/>
          </w:tcPr>
          <w:p>
            <w:pPr>
              <w:keepNext w:val="0"/>
              <w:keepLines w:val="0"/>
              <w:pageBreakBefore w:val="0"/>
              <w:kinsoku/>
              <w:wordWrap/>
              <w:overflowPunct/>
              <w:topLinePunct w:val="0"/>
              <w:autoSpaceDE/>
              <w:autoSpaceDN/>
              <w:bidi w:val="0"/>
              <w:spacing w:line="560" w:lineRule="exact"/>
              <w:textAlignment w:val="auto"/>
              <w:outlineLvl w:val="9"/>
              <w:rPr>
                <w:rFonts w:hint="eastAsia" w:ascii="仿宋_GB2312" w:hAnsi="仿宋_GB2312" w:eastAsia="仿宋_GB2312" w:cs="仿宋_GB2312"/>
                <w:b w:val="0"/>
                <w:bCs w:val="0"/>
                <w:color w:val="auto"/>
                <w:sz w:val="24"/>
                <w:highlight w:val="none"/>
              </w:rPr>
            </w:pPr>
          </w:p>
        </w:tc>
        <w:tc>
          <w:tcPr>
            <w:tcW w:w="1706"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78"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 w:val="24"/>
                <w:highlight w:val="none"/>
              </w:rPr>
            </w:pPr>
            <w:r>
              <w:rPr>
                <w:rFonts w:hint="eastAsia" w:ascii="仿宋_GB2312" w:hAnsi="仿宋_GB2312" w:eastAsia="仿宋_GB2312" w:cs="仿宋_GB2312"/>
                <w:b w:val="0"/>
                <w:bCs w:val="0"/>
                <w:color w:val="auto"/>
                <w:sz w:val="24"/>
                <w:highlight w:val="none"/>
              </w:rPr>
              <w:t>三</w:t>
            </w:r>
          </w:p>
        </w:tc>
        <w:tc>
          <w:tcPr>
            <w:tcW w:w="6847" w:type="dxa"/>
            <w:gridSpan w:val="2"/>
            <w:vAlign w:val="center"/>
          </w:tcPr>
          <w:p>
            <w:pPr>
              <w:keepNext w:val="0"/>
              <w:keepLines w:val="0"/>
              <w:pageBreakBefore w:val="0"/>
              <w:kinsoku/>
              <w:wordWrap/>
              <w:overflowPunct/>
              <w:topLinePunct w:val="0"/>
              <w:autoSpaceDE/>
              <w:autoSpaceDN/>
              <w:bidi w:val="0"/>
              <w:spacing w:line="560" w:lineRule="exact"/>
              <w:textAlignment w:val="auto"/>
              <w:outlineLvl w:val="9"/>
              <w:rPr>
                <w:rFonts w:hint="eastAsia" w:ascii="仿宋_GB2312" w:hAnsi="仿宋_GB2312" w:eastAsia="仿宋_GB2312" w:cs="仿宋_GB2312"/>
                <w:b w:val="0"/>
                <w:bCs w:val="0"/>
                <w:color w:val="auto"/>
                <w:sz w:val="24"/>
                <w:highlight w:val="none"/>
              </w:rPr>
            </w:pPr>
            <w:r>
              <w:rPr>
                <w:rFonts w:hint="eastAsia" w:ascii="仿宋_GB2312" w:hAnsi="仿宋_GB2312" w:eastAsia="仿宋_GB2312" w:cs="仿宋_GB2312"/>
                <w:b w:val="0"/>
                <w:bCs w:val="0"/>
                <w:color w:val="auto"/>
                <w:sz w:val="24"/>
                <w:highlight w:val="none"/>
              </w:rPr>
              <w:t>资格（质）证书（若有其他资质证书，可按表格格式扩展）</w:t>
            </w:r>
          </w:p>
        </w:tc>
        <w:tc>
          <w:tcPr>
            <w:tcW w:w="1706"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 w:val="24"/>
                <w:highlight w:val="none"/>
              </w:rPr>
            </w:pPr>
            <w:r>
              <w:rPr>
                <w:rFonts w:hint="eastAsia" w:ascii="仿宋_GB2312" w:hAnsi="仿宋_GB2312" w:eastAsia="仿宋_GB2312" w:cs="仿宋_GB2312"/>
                <w:b w:val="0"/>
                <w:bCs w:val="0"/>
                <w:color w:val="auto"/>
                <w:sz w:val="24"/>
                <w:highlight w:val="none"/>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78"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 w:val="24"/>
                <w:highlight w:val="none"/>
              </w:rPr>
            </w:pPr>
            <w:r>
              <w:rPr>
                <w:rFonts w:hint="eastAsia" w:ascii="仿宋_GB2312" w:hAnsi="仿宋_GB2312" w:eastAsia="仿宋_GB2312" w:cs="仿宋_GB2312"/>
                <w:b w:val="0"/>
                <w:bCs w:val="0"/>
                <w:color w:val="auto"/>
                <w:sz w:val="24"/>
                <w:highlight w:val="none"/>
              </w:rPr>
              <w:t>1</w:t>
            </w:r>
          </w:p>
        </w:tc>
        <w:tc>
          <w:tcPr>
            <w:tcW w:w="2333"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 w:val="24"/>
                <w:highlight w:val="none"/>
              </w:rPr>
            </w:pPr>
            <w:r>
              <w:rPr>
                <w:rFonts w:hint="eastAsia" w:ascii="仿宋_GB2312" w:hAnsi="仿宋_GB2312" w:eastAsia="仿宋_GB2312" w:cs="仿宋_GB2312"/>
                <w:b w:val="0"/>
                <w:bCs w:val="0"/>
                <w:color w:val="auto"/>
                <w:sz w:val="24"/>
                <w:highlight w:val="none"/>
              </w:rPr>
              <w:t>证书名称</w:t>
            </w:r>
          </w:p>
        </w:tc>
        <w:tc>
          <w:tcPr>
            <w:tcW w:w="4514"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 w:val="24"/>
                <w:highlight w:val="none"/>
              </w:rPr>
            </w:pPr>
          </w:p>
        </w:tc>
        <w:tc>
          <w:tcPr>
            <w:tcW w:w="1706"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78"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 w:val="24"/>
                <w:highlight w:val="none"/>
              </w:rPr>
            </w:pPr>
            <w:r>
              <w:rPr>
                <w:rFonts w:hint="eastAsia" w:ascii="仿宋_GB2312" w:hAnsi="仿宋_GB2312" w:eastAsia="仿宋_GB2312" w:cs="仿宋_GB2312"/>
                <w:b w:val="0"/>
                <w:bCs w:val="0"/>
                <w:color w:val="auto"/>
                <w:sz w:val="24"/>
                <w:highlight w:val="none"/>
              </w:rPr>
              <w:t>2</w:t>
            </w:r>
          </w:p>
        </w:tc>
        <w:tc>
          <w:tcPr>
            <w:tcW w:w="2333"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 w:val="24"/>
                <w:highlight w:val="none"/>
              </w:rPr>
            </w:pPr>
            <w:r>
              <w:rPr>
                <w:rFonts w:hint="eastAsia" w:ascii="仿宋_GB2312" w:hAnsi="仿宋_GB2312" w:eastAsia="仿宋_GB2312" w:cs="仿宋_GB2312"/>
                <w:b w:val="0"/>
                <w:bCs w:val="0"/>
                <w:color w:val="auto"/>
                <w:sz w:val="24"/>
                <w:highlight w:val="none"/>
              </w:rPr>
              <w:t>发证机关</w:t>
            </w:r>
          </w:p>
        </w:tc>
        <w:tc>
          <w:tcPr>
            <w:tcW w:w="4514"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 w:val="24"/>
                <w:highlight w:val="none"/>
              </w:rPr>
            </w:pPr>
          </w:p>
        </w:tc>
        <w:tc>
          <w:tcPr>
            <w:tcW w:w="1706"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78"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 w:val="24"/>
                <w:highlight w:val="none"/>
              </w:rPr>
            </w:pPr>
            <w:r>
              <w:rPr>
                <w:rFonts w:hint="eastAsia" w:ascii="仿宋_GB2312" w:hAnsi="仿宋_GB2312" w:eastAsia="仿宋_GB2312" w:cs="仿宋_GB2312"/>
                <w:b w:val="0"/>
                <w:bCs w:val="0"/>
                <w:color w:val="auto"/>
                <w:sz w:val="24"/>
                <w:highlight w:val="none"/>
              </w:rPr>
              <w:t>3</w:t>
            </w:r>
          </w:p>
        </w:tc>
        <w:tc>
          <w:tcPr>
            <w:tcW w:w="2333"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 w:val="24"/>
                <w:highlight w:val="none"/>
              </w:rPr>
            </w:pPr>
            <w:r>
              <w:rPr>
                <w:rFonts w:hint="eastAsia" w:ascii="仿宋_GB2312" w:hAnsi="仿宋_GB2312" w:eastAsia="仿宋_GB2312" w:cs="仿宋_GB2312"/>
                <w:b w:val="0"/>
                <w:bCs w:val="0"/>
                <w:color w:val="auto"/>
                <w:sz w:val="24"/>
                <w:highlight w:val="none"/>
              </w:rPr>
              <w:t>等级</w:t>
            </w:r>
          </w:p>
        </w:tc>
        <w:tc>
          <w:tcPr>
            <w:tcW w:w="4514"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 w:val="24"/>
                <w:highlight w:val="none"/>
              </w:rPr>
            </w:pPr>
          </w:p>
        </w:tc>
        <w:tc>
          <w:tcPr>
            <w:tcW w:w="1706"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78"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 w:val="24"/>
                <w:highlight w:val="none"/>
              </w:rPr>
            </w:pPr>
            <w:r>
              <w:rPr>
                <w:rFonts w:hint="eastAsia" w:ascii="仿宋_GB2312" w:hAnsi="仿宋_GB2312" w:eastAsia="仿宋_GB2312" w:cs="仿宋_GB2312"/>
                <w:b w:val="0"/>
                <w:bCs w:val="0"/>
                <w:color w:val="auto"/>
                <w:sz w:val="24"/>
                <w:highlight w:val="none"/>
              </w:rPr>
              <w:t>4</w:t>
            </w:r>
          </w:p>
        </w:tc>
        <w:tc>
          <w:tcPr>
            <w:tcW w:w="2333"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 w:val="24"/>
                <w:highlight w:val="none"/>
              </w:rPr>
            </w:pPr>
            <w:r>
              <w:rPr>
                <w:rFonts w:hint="eastAsia" w:ascii="仿宋_GB2312" w:hAnsi="仿宋_GB2312" w:eastAsia="仿宋_GB2312" w:cs="仿宋_GB2312"/>
                <w:b w:val="0"/>
                <w:bCs w:val="0"/>
                <w:color w:val="auto"/>
                <w:sz w:val="24"/>
                <w:highlight w:val="none"/>
              </w:rPr>
              <w:t>发证日期及编号</w:t>
            </w:r>
          </w:p>
        </w:tc>
        <w:tc>
          <w:tcPr>
            <w:tcW w:w="4514"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 w:val="24"/>
                <w:highlight w:val="none"/>
              </w:rPr>
            </w:pPr>
          </w:p>
        </w:tc>
        <w:tc>
          <w:tcPr>
            <w:tcW w:w="1706"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jc w:val="center"/>
        </w:trPr>
        <w:tc>
          <w:tcPr>
            <w:tcW w:w="678"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 w:val="24"/>
                <w:highlight w:val="none"/>
              </w:rPr>
            </w:pPr>
            <w:r>
              <w:rPr>
                <w:rFonts w:hint="eastAsia" w:ascii="仿宋_GB2312" w:hAnsi="仿宋_GB2312" w:eastAsia="仿宋_GB2312" w:cs="仿宋_GB2312"/>
                <w:b w:val="0"/>
                <w:bCs w:val="0"/>
                <w:color w:val="auto"/>
                <w:sz w:val="24"/>
                <w:highlight w:val="none"/>
              </w:rPr>
              <w:t>5</w:t>
            </w:r>
          </w:p>
        </w:tc>
        <w:tc>
          <w:tcPr>
            <w:tcW w:w="2333"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 w:val="24"/>
                <w:highlight w:val="none"/>
              </w:rPr>
            </w:pPr>
            <w:r>
              <w:rPr>
                <w:rFonts w:hint="eastAsia" w:ascii="仿宋_GB2312" w:hAnsi="仿宋_GB2312" w:eastAsia="仿宋_GB2312" w:cs="仿宋_GB2312"/>
                <w:b w:val="0"/>
                <w:bCs w:val="0"/>
                <w:color w:val="auto"/>
                <w:sz w:val="24"/>
                <w:highlight w:val="none"/>
              </w:rPr>
              <w:t>有效期</w:t>
            </w:r>
          </w:p>
        </w:tc>
        <w:tc>
          <w:tcPr>
            <w:tcW w:w="4514"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 w:val="24"/>
                <w:highlight w:val="none"/>
              </w:rPr>
            </w:pPr>
          </w:p>
        </w:tc>
        <w:tc>
          <w:tcPr>
            <w:tcW w:w="1706"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78"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 w:val="24"/>
                <w:highlight w:val="none"/>
              </w:rPr>
            </w:pPr>
            <w:r>
              <w:rPr>
                <w:rFonts w:hint="eastAsia" w:ascii="仿宋_GB2312" w:hAnsi="仿宋_GB2312" w:eastAsia="仿宋_GB2312" w:cs="仿宋_GB2312"/>
                <w:b w:val="0"/>
                <w:bCs w:val="0"/>
                <w:color w:val="auto"/>
                <w:sz w:val="24"/>
                <w:highlight w:val="none"/>
              </w:rPr>
              <w:t>四</w:t>
            </w:r>
          </w:p>
        </w:tc>
        <w:tc>
          <w:tcPr>
            <w:tcW w:w="6847" w:type="dxa"/>
            <w:gridSpan w:val="2"/>
            <w:vAlign w:val="center"/>
          </w:tcPr>
          <w:p>
            <w:pPr>
              <w:keepNext w:val="0"/>
              <w:keepLines w:val="0"/>
              <w:pageBreakBefore w:val="0"/>
              <w:kinsoku/>
              <w:wordWrap/>
              <w:overflowPunct/>
              <w:topLinePunct w:val="0"/>
              <w:autoSpaceDE/>
              <w:autoSpaceDN/>
              <w:bidi w:val="0"/>
              <w:spacing w:line="560" w:lineRule="exact"/>
              <w:textAlignment w:val="auto"/>
              <w:outlineLvl w:val="9"/>
              <w:rPr>
                <w:rFonts w:hint="eastAsia" w:ascii="仿宋_GB2312" w:hAnsi="仿宋_GB2312" w:eastAsia="仿宋_GB2312" w:cs="仿宋_GB2312"/>
                <w:b w:val="0"/>
                <w:bCs w:val="0"/>
                <w:color w:val="auto"/>
                <w:sz w:val="24"/>
                <w:highlight w:val="none"/>
              </w:rPr>
            </w:pPr>
            <w:r>
              <w:rPr>
                <w:rFonts w:hint="eastAsia" w:ascii="仿宋_GB2312" w:hAnsi="仿宋_GB2312" w:eastAsia="仿宋_GB2312" w:cs="仿宋_GB2312"/>
                <w:b w:val="0"/>
                <w:bCs w:val="0"/>
                <w:color w:val="auto"/>
                <w:sz w:val="24"/>
                <w:highlight w:val="none"/>
              </w:rPr>
              <w:t>其他（</w:t>
            </w:r>
            <w:r>
              <w:rPr>
                <w:rFonts w:hint="eastAsia" w:ascii="仿宋_GB2312" w:hAnsi="仿宋_GB2312" w:eastAsia="仿宋_GB2312" w:cs="仿宋_GB2312"/>
                <w:b w:val="0"/>
                <w:bCs w:val="0"/>
                <w:color w:val="auto"/>
                <w:sz w:val="24"/>
                <w:highlight w:val="none"/>
                <w:lang w:eastAsia="zh-CN"/>
              </w:rPr>
              <w:t>投标单位</w:t>
            </w:r>
            <w:r>
              <w:rPr>
                <w:rFonts w:hint="eastAsia" w:ascii="仿宋_GB2312" w:hAnsi="仿宋_GB2312" w:eastAsia="仿宋_GB2312" w:cs="仿宋_GB2312"/>
                <w:b w:val="0"/>
                <w:bCs w:val="0"/>
                <w:color w:val="auto"/>
                <w:sz w:val="24"/>
                <w:highlight w:val="none"/>
              </w:rPr>
              <w:t>认为需补充的其他说明）</w:t>
            </w:r>
          </w:p>
        </w:tc>
        <w:tc>
          <w:tcPr>
            <w:tcW w:w="1706"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78"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 w:val="24"/>
                <w:highlight w:val="none"/>
              </w:rPr>
            </w:pPr>
            <w:r>
              <w:rPr>
                <w:rFonts w:hint="eastAsia" w:ascii="仿宋_GB2312" w:hAnsi="仿宋_GB2312" w:eastAsia="仿宋_GB2312" w:cs="仿宋_GB2312"/>
                <w:b w:val="0"/>
                <w:bCs w:val="0"/>
                <w:color w:val="auto"/>
                <w:sz w:val="24"/>
                <w:highlight w:val="none"/>
              </w:rPr>
              <w:t>1</w:t>
            </w:r>
          </w:p>
        </w:tc>
        <w:tc>
          <w:tcPr>
            <w:tcW w:w="2333"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 w:val="24"/>
                <w:highlight w:val="none"/>
              </w:rPr>
            </w:pPr>
          </w:p>
        </w:tc>
        <w:tc>
          <w:tcPr>
            <w:tcW w:w="4514"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 w:val="24"/>
                <w:highlight w:val="none"/>
              </w:rPr>
            </w:pPr>
          </w:p>
        </w:tc>
        <w:tc>
          <w:tcPr>
            <w:tcW w:w="1706"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b w:val="0"/>
                <w:bCs w:val="0"/>
                <w:color w:val="auto"/>
                <w:sz w:val="24"/>
                <w:highlight w:val="none"/>
              </w:rPr>
            </w:pPr>
          </w:p>
        </w:tc>
      </w:tr>
    </w:tbl>
    <w:p>
      <w:pPr>
        <w:keepNext w:val="0"/>
        <w:keepLines w:val="0"/>
        <w:pageBreakBefore w:val="0"/>
        <w:kinsoku/>
        <w:wordWrap/>
        <w:overflowPunct/>
        <w:topLinePunct w:val="0"/>
        <w:autoSpaceDE/>
        <w:autoSpaceDN/>
        <w:bidi w:val="0"/>
        <w:spacing w:line="360" w:lineRule="exact"/>
        <w:jc w:val="left"/>
        <w:textAlignment w:val="auto"/>
        <w:outlineLvl w:val="9"/>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注：1、在按要求填写好此表格后，各</w:t>
      </w:r>
      <w:r>
        <w:rPr>
          <w:rFonts w:hint="eastAsia" w:ascii="仿宋_GB2312" w:hAnsi="仿宋_GB2312" w:eastAsia="仿宋_GB2312" w:cs="仿宋_GB2312"/>
          <w:b w:val="0"/>
          <w:bCs w:val="0"/>
          <w:color w:val="auto"/>
          <w:sz w:val="28"/>
          <w:szCs w:val="28"/>
          <w:highlight w:val="none"/>
          <w:lang w:eastAsia="zh-CN"/>
        </w:rPr>
        <w:t>投标单位</w:t>
      </w:r>
      <w:r>
        <w:rPr>
          <w:rFonts w:hint="eastAsia" w:ascii="仿宋_GB2312" w:hAnsi="仿宋_GB2312" w:eastAsia="仿宋_GB2312" w:cs="仿宋_GB2312"/>
          <w:b w:val="0"/>
          <w:bCs w:val="0"/>
          <w:color w:val="auto"/>
          <w:sz w:val="28"/>
          <w:szCs w:val="28"/>
          <w:highlight w:val="none"/>
        </w:rPr>
        <w:t>可以用其它的方式，就公司整体情况作出详细的介绍。</w:t>
      </w:r>
    </w:p>
    <w:p>
      <w:pPr>
        <w:pStyle w:val="22"/>
        <w:keepNext w:val="0"/>
        <w:keepLines w:val="0"/>
        <w:pageBreakBefore w:val="0"/>
        <w:numPr>
          <w:ilvl w:val="0"/>
          <w:numId w:val="0"/>
        </w:numPr>
        <w:kinsoku/>
        <w:wordWrap/>
        <w:overflowPunct/>
        <w:topLinePunct w:val="0"/>
        <w:autoSpaceDE/>
        <w:autoSpaceDN/>
        <w:bidi w:val="0"/>
        <w:spacing w:line="360" w:lineRule="exact"/>
        <w:jc w:val="left"/>
        <w:textAlignment w:val="auto"/>
        <w:outlineLvl w:val="9"/>
        <w:rPr>
          <w:rFonts w:hint="eastAsia" w:ascii="仿宋_GB2312" w:hAnsi="仿宋_GB2312" w:eastAsia="仿宋_GB2312" w:cs="仿宋_GB2312"/>
          <w:b w:val="0"/>
          <w:bCs w:val="0"/>
          <w:color w:val="auto"/>
          <w:sz w:val="28"/>
          <w:szCs w:val="28"/>
          <w:highlight w:val="none"/>
          <w:lang w:eastAsia="zh-CN"/>
        </w:rPr>
      </w:pPr>
    </w:p>
    <w:p>
      <w:pPr>
        <w:pStyle w:val="22"/>
        <w:keepNext w:val="0"/>
        <w:keepLines w:val="0"/>
        <w:pageBreakBefore w:val="0"/>
        <w:numPr>
          <w:ilvl w:val="0"/>
          <w:numId w:val="0"/>
        </w:numPr>
        <w:kinsoku/>
        <w:wordWrap/>
        <w:overflowPunct/>
        <w:topLinePunct w:val="0"/>
        <w:autoSpaceDE/>
        <w:autoSpaceDN/>
        <w:bidi w:val="0"/>
        <w:spacing w:line="380" w:lineRule="exact"/>
        <w:jc w:val="left"/>
        <w:textAlignment w:val="auto"/>
        <w:outlineLvl w:val="9"/>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eastAsia="zh-CN"/>
        </w:rPr>
        <w:t>八、</w:t>
      </w:r>
      <w:r>
        <w:rPr>
          <w:rFonts w:hint="eastAsia" w:ascii="仿宋_GB2312" w:hAnsi="仿宋_GB2312" w:eastAsia="仿宋_GB2312" w:cs="仿宋_GB2312"/>
          <w:b w:val="0"/>
          <w:bCs w:val="0"/>
          <w:color w:val="auto"/>
          <w:sz w:val="28"/>
          <w:szCs w:val="28"/>
          <w:highlight w:val="none"/>
        </w:rPr>
        <w:t>分项报价清单</w:t>
      </w:r>
    </w:p>
    <w:p>
      <w:pPr>
        <w:pStyle w:val="22"/>
        <w:keepNext w:val="0"/>
        <w:keepLines w:val="0"/>
        <w:pageBreakBefore w:val="0"/>
        <w:numPr>
          <w:ilvl w:val="0"/>
          <w:numId w:val="0"/>
        </w:numPr>
        <w:kinsoku/>
        <w:wordWrap/>
        <w:overflowPunct/>
        <w:topLinePunct w:val="0"/>
        <w:autoSpaceDE/>
        <w:autoSpaceDN/>
        <w:bidi w:val="0"/>
        <w:spacing w:line="380" w:lineRule="exact"/>
        <w:jc w:val="left"/>
        <w:textAlignment w:val="auto"/>
        <w:outlineLvl w:val="9"/>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1、综合行政执法办公室</w:t>
      </w:r>
    </w:p>
    <w:p>
      <w:pPr>
        <w:keepNext w:val="0"/>
        <w:keepLines w:val="0"/>
        <w:pageBreakBefore w:val="0"/>
        <w:numPr>
          <w:ilvl w:val="255"/>
          <w:numId w:val="0"/>
        </w:numPr>
        <w:kinsoku/>
        <w:wordWrap/>
        <w:overflowPunct/>
        <w:topLinePunct w:val="0"/>
        <w:autoSpaceDE/>
        <w:autoSpaceDN/>
        <w:bidi w:val="0"/>
        <w:adjustRightInd w:val="0"/>
        <w:snapToGrid w:val="0"/>
        <w:spacing w:line="380" w:lineRule="exact"/>
        <w:ind w:firstLine="560" w:firstLineChars="200"/>
        <w:jc w:val="left"/>
        <w:textAlignment w:val="auto"/>
        <w:outlineLvl w:val="9"/>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投标</w:t>
      </w:r>
      <w:r>
        <w:rPr>
          <w:rFonts w:hint="eastAsia" w:ascii="仿宋_GB2312" w:hAnsi="仿宋_GB2312" w:eastAsia="仿宋_GB2312" w:cs="仿宋_GB2312"/>
          <w:b w:val="0"/>
          <w:bCs w:val="0"/>
          <w:color w:val="auto"/>
          <w:sz w:val="28"/>
          <w:szCs w:val="28"/>
          <w:highlight w:val="none"/>
          <w:lang w:val="en-US" w:eastAsia="zh-CN"/>
        </w:rPr>
        <w:t>单位</w:t>
      </w:r>
      <w:r>
        <w:rPr>
          <w:rFonts w:hint="eastAsia" w:ascii="仿宋_GB2312" w:hAnsi="仿宋_GB2312" w:eastAsia="仿宋_GB2312" w:cs="仿宋_GB2312"/>
          <w:b w:val="0"/>
          <w:bCs w:val="0"/>
          <w:color w:val="auto"/>
          <w:sz w:val="28"/>
          <w:szCs w:val="28"/>
          <w:highlight w:val="none"/>
        </w:rPr>
        <w:t>名称：</w:t>
      </w:r>
      <w:r>
        <w:rPr>
          <w:rFonts w:hint="eastAsia" w:ascii="仿宋_GB2312" w:hAnsi="仿宋_GB2312" w:eastAsia="仿宋_GB2312" w:cs="仿宋_GB2312"/>
          <w:b w:val="0"/>
          <w:bCs w:val="0"/>
          <w:color w:val="auto"/>
          <w:sz w:val="28"/>
          <w:szCs w:val="28"/>
          <w:highlight w:val="none"/>
          <w:u w:val="single"/>
        </w:rPr>
        <w:t xml:space="preserve">                      </w:t>
      </w:r>
      <w:r>
        <w:rPr>
          <w:rFonts w:hint="eastAsia" w:ascii="仿宋_GB2312" w:hAnsi="仿宋_GB2312" w:eastAsia="仿宋_GB2312" w:cs="仿宋_GB2312"/>
          <w:b w:val="0"/>
          <w:bCs w:val="0"/>
          <w:color w:val="auto"/>
          <w:sz w:val="28"/>
          <w:szCs w:val="28"/>
          <w:highlight w:val="none"/>
        </w:rPr>
        <w:t xml:space="preserve">                   </w:t>
      </w:r>
    </w:p>
    <w:p>
      <w:pPr>
        <w:keepNext w:val="0"/>
        <w:keepLines w:val="0"/>
        <w:pageBreakBefore w:val="0"/>
        <w:numPr>
          <w:ilvl w:val="255"/>
          <w:numId w:val="0"/>
        </w:numPr>
        <w:kinsoku/>
        <w:wordWrap/>
        <w:overflowPunct/>
        <w:topLinePunct w:val="0"/>
        <w:autoSpaceDE/>
        <w:autoSpaceDN/>
        <w:bidi w:val="0"/>
        <w:adjustRightInd w:val="0"/>
        <w:snapToGrid w:val="0"/>
        <w:spacing w:line="380" w:lineRule="exact"/>
        <w:ind w:firstLine="560" w:firstLineChars="200"/>
        <w:jc w:val="left"/>
        <w:textAlignment w:val="auto"/>
        <w:outlineLvl w:val="9"/>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投标</w:t>
      </w:r>
      <w:r>
        <w:rPr>
          <w:rFonts w:hint="eastAsia" w:ascii="仿宋_GB2312" w:hAnsi="仿宋_GB2312" w:eastAsia="仿宋_GB2312" w:cs="仿宋_GB2312"/>
          <w:b w:val="0"/>
          <w:bCs w:val="0"/>
          <w:color w:val="auto"/>
          <w:sz w:val="28"/>
          <w:szCs w:val="28"/>
          <w:highlight w:val="none"/>
          <w:lang w:val="en-US" w:eastAsia="zh-CN"/>
        </w:rPr>
        <w:t>单位</w:t>
      </w:r>
      <w:r>
        <w:rPr>
          <w:rFonts w:hint="eastAsia" w:ascii="仿宋_GB2312" w:hAnsi="仿宋_GB2312" w:eastAsia="仿宋_GB2312" w:cs="仿宋_GB2312"/>
          <w:b w:val="0"/>
          <w:bCs w:val="0"/>
          <w:color w:val="auto"/>
          <w:sz w:val="28"/>
          <w:szCs w:val="28"/>
          <w:highlight w:val="none"/>
        </w:rPr>
        <w:t>代表姓名：</w:t>
      </w:r>
      <w:r>
        <w:rPr>
          <w:rFonts w:hint="eastAsia" w:ascii="仿宋_GB2312" w:hAnsi="仿宋_GB2312" w:eastAsia="仿宋_GB2312" w:cs="仿宋_GB2312"/>
          <w:b w:val="0"/>
          <w:bCs w:val="0"/>
          <w:color w:val="auto"/>
          <w:sz w:val="28"/>
          <w:szCs w:val="28"/>
          <w:highlight w:val="none"/>
          <w:u w:val="single"/>
        </w:rPr>
        <w:t xml:space="preserve">                   </w:t>
      </w:r>
      <w:r>
        <w:rPr>
          <w:rFonts w:hint="eastAsia" w:ascii="仿宋_GB2312" w:hAnsi="仿宋_GB2312" w:eastAsia="仿宋_GB2312" w:cs="仿宋_GB2312"/>
          <w:b w:val="0"/>
          <w:bCs w:val="0"/>
          <w:color w:val="auto"/>
          <w:sz w:val="28"/>
          <w:szCs w:val="28"/>
          <w:highlight w:val="none"/>
        </w:rPr>
        <w:t xml:space="preserve">    </w:t>
      </w:r>
    </w:p>
    <w:tbl>
      <w:tblPr>
        <w:tblStyle w:val="18"/>
        <w:tblpPr w:leftFromText="180" w:rightFromText="180" w:vertAnchor="text" w:horzAnchor="page" w:tblpXSpec="center" w:tblpY="598"/>
        <w:tblOverlap w:val="never"/>
        <w:tblW w:w="97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3"/>
        <w:gridCol w:w="885"/>
        <w:gridCol w:w="990"/>
        <w:gridCol w:w="885"/>
        <w:gridCol w:w="1170"/>
        <w:gridCol w:w="5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3" w:type="dxa"/>
            <w:vAlign w:val="center"/>
          </w:tcPr>
          <w:p>
            <w:pPr>
              <w:keepNext w:val="0"/>
              <w:keepLines w:val="0"/>
              <w:pageBreakBefore w:val="0"/>
              <w:widowControl/>
              <w:numPr>
                <w:ilvl w:val="255"/>
                <w:numId w:val="0"/>
              </w:numPr>
              <w:kinsoku/>
              <w:wordWrap/>
              <w:overflowPunct/>
              <w:topLinePunct w:val="0"/>
              <w:autoSpaceDE/>
              <w:autoSpaceDN/>
              <w:bidi w:val="0"/>
              <w:adjustRightInd/>
              <w:snapToGrid/>
              <w:spacing w:line="380" w:lineRule="exact"/>
              <w:jc w:val="center"/>
              <w:textAlignment w:val="auto"/>
              <w:outlineLvl w:val="9"/>
              <w:rPr>
                <w:rFonts w:hint="eastAsia" w:ascii="仿宋_GB2312" w:hAnsi="仿宋_GB2312" w:eastAsia="仿宋_GB2312" w:cs="仿宋_GB2312"/>
                <w:b w:val="0"/>
                <w:bCs w:val="0"/>
                <w:color w:val="auto"/>
                <w:sz w:val="18"/>
                <w:szCs w:val="18"/>
                <w:highlight w:val="none"/>
                <w:vertAlign w:val="baseline"/>
                <w:lang w:val="en-US" w:eastAsia="zh-CN"/>
              </w:rPr>
            </w:pPr>
            <w:r>
              <w:rPr>
                <w:rFonts w:hint="eastAsia" w:ascii="仿宋_GB2312" w:hAnsi="仿宋_GB2312" w:eastAsia="仿宋_GB2312" w:cs="仿宋_GB2312"/>
                <w:b w:val="0"/>
                <w:bCs w:val="0"/>
                <w:color w:val="auto"/>
                <w:sz w:val="18"/>
                <w:szCs w:val="18"/>
                <w:highlight w:val="none"/>
                <w:vertAlign w:val="baseline"/>
                <w:lang w:val="en-US" w:eastAsia="zh-CN"/>
              </w:rPr>
              <w:t>项目</w:t>
            </w:r>
          </w:p>
        </w:tc>
        <w:tc>
          <w:tcPr>
            <w:tcW w:w="885" w:type="dxa"/>
            <w:vAlign w:val="center"/>
          </w:tcPr>
          <w:p>
            <w:pPr>
              <w:keepNext w:val="0"/>
              <w:keepLines w:val="0"/>
              <w:pageBreakBefore w:val="0"/>
              <w:widowControl/>
              <w:numPr>
                <w:ilvl w:val="255"/>
                <w:numId w:val="0"/>
              </w:numPr>
              <w:kinsoku/>
              <w:wordWrap/>
              <w:overflowPunct/>
              <w:topLinePunct w:val="0"/>
              <w:autoSpaceDE/>
              <w:autoSpaceDN/>
              <w:bidi w:val="0"/>
              <w:adjustRightInd/>
              <w:snapToGrid/>
              <w:spacing w:line="380" w:lineRule="exact"/>
              <w:jc w:val="center"/>
              <w:textAlignment w:val="auto"/>
              <w:outlineLvl w:val="9"/>
              <w:rPr>
                <w:rFonts w:hint="eastAsia" w:ascii="仿宋_GB2312" w:hAnsi="仿宋_GB2312" w:eastAsia="仿宋_GB2312" w:cs="仿宋_GB2312"/>
                <w:b w:val="0"/>
                <w:bCs w:val="0"/>
                <w:color w:val="auto"/>
                <w:sz w:val="18"/>
                <w:szCs w:val="18"/>
                <w:highlight w:val="none"/>
                <w:vertAlign w:val="baseline"/>
                <w:lang w:val="en-US" w:eastAsia="zh-CN"/>
              </w:rPr>
            </w:pPr>
            <w:r>
              <w:rPr>
                <w:rFonts w:hint="eastAsia" w:ascii="仿宋_GB2312" w:hAnsi="仿宋_GB2312" w:eastAsia="仿宋_GB2312" w:cs="仿宋_GB2312"/>
                <w:b w:val="0"/>
                <w:bCs w:val="0"/>
                <w:color w:val="auto"/>
                <w:sz w:val="18"/>
                <w:szCs w:val="18"/>
                <w:highlight w:val="none"/>
                <w:vertAlign w:val="baseline"/>
                <w:lang w:val="en-US" w:eastAsia="zh-CN"/>
              </w:rPr>
              <w:t>律师人数</w:t>
            </w:r>
          </w:p>
        </w:tc>
        <w:tc>
          <w:tcPr>
            <w:tcW w:w="990" w:type="dxa"/>
            <w:vAlign w:val="center"/>
          </w:tcPr>
          <w:p>
            <w:pPr>
              <w:keepNext w:val="0"/>
              <w:keepLines w:val="0"/>
              <w:pageBreakBefore w:val="0"/>
              <w:widowControl/>
              <w:numPr>
                <w:ilvl w:val="255"/>
                <w:numId w:val="0"/>
              </w:numPr>
              <w:kinsoku/>
              <w:wordWrap/>
              <w:overflowPunct/>
              <w:topLinePunct w:val="0"/>
              <w:autoSpaceDE/>
              <w:autoSpaceDN/>
              <w:bidi w:val="0"/>
              <w:adjustRightInd/>
              <w:snapToGrid/>
              <w:spacing w:line="380" w:lineRule="exact"/>
              <w:jc w:val="center"/>
              <w:textAlignment w:val="auto"/>
              <w:outlineLvl w:val="9"/>
              <w:rPr>
                <w:rFonts w:hint="eastAsia" w:ascii="仿宋_GB2312" w:hAnsi="仿宋_GB2312" w:eastAsia="仿宋_GB2312" w:cs="仿宋_GB2312"/>
                <w:b w:val="0"/>
                <w:bCs w:val="0"/>
                <w:color w:val="auto"/>
                <w:sz w:val="18"/>
                <w:szCs w:val="18"/>
                <w:highlight w:val="none"/>
                <w:vertAlign w:val="baseline"/>
                <w:lang w:val="en-US" w:eastAsia="zh-CN"/>
              </w:rPr>
            </w:pPr>
            <w:r>
              <w:rPr>
                <w:rFonts w:hint="eastAsia" w:ascii="仿宋_GB2312" w:hAnsi="仿宋_GB2312" w:eastAsia="仿宋_GB2312" w:cs="仿宋_GB2312"/>
                <w:b w:val="0"/>
                <w:bCs w:val="0"/>
                <w:color w:val="auto"/>
                <w:sz w:val="18"/>
                <w:szCs w:val="18"/>
                <w:highlight w:val="none"/>
                <w:vertAlign w:val="baseline"/>
                <w:lang w:val="en-US" w:eastAsia="zh-CN"/>
              </w:rPr>
              <w:t>是否执法律 师</w:t>
            </w:r>
          </w:p>
        </w:tc>
        <w:tc>
          <w:tcPr>
            <w:tcW w:w="885" w:type="dxa"/>
            <w:vAlign w:val="center"/>
          </w:tcPr>
          <w:p>
            <w:pPr>
              <w:keepNext w:val="0"/>
              <w:keepLines w:val="0"/>
              <w:pageBreakBefore w:val="0"/>
              <w:widowControl/>
              <w:numPr>
                <w:ilvl w:val="255"/>
                <w:numId w:val="0"/>
              </w:numPr>
              <w:kinsoku/>
              <w:wordWrap/>
              <w:overflowPunct/>
              <w:topLinePunct w:val="0"/>
              <w:autoSpaceDE/>
              <w:autoSpaceDN/>
              <w:bidi w:val="0"/>
              <w:adjustRightInd/>
              <w:snapToGrid/>
              <w:spacing w:line="380" w:lineRule="exact"/>
              <w:jc w:val="center"/>
              <w:textAlignment w:val="auto"/>
              <w:outlineLvl w:val="9"/>
              <w:rPr>
                <w:rFonts w:hint="eastAsia" w:ascii="仿宋_GB2312" w:hAnsi="仿宋_GB2312" w:eastAsia="仿宋_GB2312" w:cs="仿宋_GB2312"/>
                <w:b w:val="0"/>
                <w:bCs w:val="0"/>
                <w:color w:val="auto"/>
                <w:sz w:val="18"/>
                <w:szCs w:val="18"/>
                <w:highlight w:val="none"/>
                <w:vertAlign w:val="baseline"/>
                <w:lang w:val="en-US" w:eastAsia="zh-CN"/>
              </w:rPr>
            </w:pPr>
            <w:r>
              <w:rPr>
                <w:rFonts w:hint="eastAsia" w:ascii="仿宋_GB2312" w:hAnsi="仿宋_GB2312" w:eastAsia="仿宋_GB2312" w:cs="仿宋_GB2312"/>
                <w:b w:val="0"/>
                <w:bCs w:val="0"/>
                <w:color w:val="auto"/>
                <w:sz w:val="18"/>
                <w:szCs w:val="18"/>
                <w:highlight w:val="none"/>
                <w:vertAlign w:val="baseline"/>
                <w:lang w:val="en-US" w:eastAsia="zh-CN"/>
              </w:rPr>
              <w:t>费用</w:t>
            </w:r>
          </w:p>
          <w:p>
            <w:pPr>
              <w:keepNext w:val="0"/>
              <w:keepLines w:val="0"/>
              <w:pageBreakBefore w:val="0"/>
              <w:widowControl/>
              <w:numPr>
                <w:ilvl w:val="255"/>
                <w:numId w:val="0"/>
              </w:numPr>
              <w:kinsoku/>
              <w:wordWrap/>
              <w:overflowPunct/>
              <w:topLinePunct w:val="0"/>
              <w:autoSpaceDE/>
              <w:autoSpaceDN/>
              <w:bidi w:val="0"/>
              <w:adjustRightInd/>
              <w:snapToGrid/>
              <w:spacing w:line="380" w:lineRule="exact"/>
              <w:jc w:val="center"/>
              <w:textAlignment w:val="auto"/>
              <w:outlineLvl w:val="9"/>
              <w:rPr>
                <w:rFonts w:hint="eastAsia" w:ascii="仿宋_GB2312" w:hAnsi="仿宋_GB2312" w:eastAsia="仿宋_GB2312" w:cs="仿宋_GB2312"/>
                <w:b w:val="0"/>
                <w:bCs w:val="0"/>
                <w:color w:val="auto"/>
                <w:sz w:val="18"/>
                <w:szCs w:val="18"/>
                <w:highlight w:val="none"/>
                <w:vertAlign w:val="baseline"/>
                <w:lang w:val="en-US" w:eastAsia="zh-CN"/>
              </w:rPr>
            </w:pPr>
            <w:r>
              <w:rPr>
                <w:rFonts w:hint="eastAsia" w:ascii="仿宋_GB2312" w:hAnsi="仿宋_GB2312" w:eastAsia="仿宋_GB2312" w:cs="仿宋_GB2312"/>
                <w:b w:val="0"/>
                <w:bCs w:val="0"/>
                <w:color w:val="auto"/>
                <w:sz w:val="18"/>
                <w:szCs w:val="18"/>
                <w:highlight w:val="none"/>
                <w:vertAlign w:val="baseline"/>
                <w:lang w:val="en-US" w:eastAsia="zh-CN"/>
              </w:rPr>
              <w:t>（万元）</w:t>
            </w:r>
          </w:p>
        </w:tc>
        <w:tc>
          <w:tcPr>
            <w:tcW w:w="1170" w:type="dxa"/>
            <w:vAlign w:val="center"/>
          </w:tcPr>
          <w:p>
            <w:pPr>
              <w:keepNext w:val="0"/>
              <w:keepLines w:val="0"/>
              <w:pageBreakBefore w:val="0"/>
              <w:widowControl/>
              <w:numPr>
                <w:ilvl w:val="255"/>
                <w:numId w:val="0"/>
              </w:numPr>
              <w:kinsoku/>
              <w:wordWrap/>
              <w:overflowPunct/>
              <w:topLinePunct w:val="0"/>
              <w:autoSpaceDE/>
              <w:autoSpaceDN/>
              <w:bidi w:val="0"/>
              <w:adjustRightInd/>
              <w:snapToGrid/>
              <w:spacing w:line="380" w:lineRule="exact"/>
              <w:jc w:val="center"/>
              <w:textAlignment w:val="auto"/>
              <w:outlineLvl w:val="9"/>
              <w:rPr>
                <w:rFonts w:hint="eastAsia" w:ascii="仿宋_GB2312" w:hAnsi="仿宋_GB2312" w:eastAsia="仿宋_GB2312" w:cs="仿宋_GB2312"/>
                <w:b w:val="0"/>
                <w:bCs w:val="0"/>
                <w:color w:val="auto"/>
                <w:sz w:val="18"/>
                <w:szCs w:val="18"/>
                <w:highlight w:val="none"/>
                <w:vertAlign w:val="baseline"/>
                <w:lang w:val="en-US" w:eastAsia="zh-CN"/>
              </w:rPr>
            </w:pPr>
            <w:r>
              <w:rPr>
                <w:rFonts w:hint="eastAsia" w:ascii="仿宋_GB2312" w:hAnsi="仿宋_GB2312" w:eastAsia="仿宋_GB2312" w:cs="仿宋_GB2312"/>
                <w:b w:val="0"/>
                <w:bCs w:val="0"/>
                <w:color w:val="auto"/>
                <w:sz w:val="18"/>
                <w:szCs w:val="18"/>
                <w:highlight w:val="none"/>
                <w:vertAlign w:val="baseline"/>
                <w:lang w:val="en-US" w:eastAsia="zh-CN"/>
              </w:rPr>
              <w:t>驻点人数</w:t>
            </w:r>
          </w:p>
        </w:tc>
        <w:tc>
          <w:tcPr>
            <w:tcW w:w="5250" w:type="dxa"/>
            <w:vAlign w:val="center"/>
          </w:tcPr>
          <w:p>
            <w:pPr>
              <w:keepNext w:val="0"/>
              <w:keepLines w:val="0"/>
              <w:pageBreakBefore w:val="0"/>
              <w:widowControl/>
              <w:numPr>
                <w:ilvl w:val="255"/>
                <w:numId w:val="0"/>
              </w:numPr>
              <w:kinsoku/>
              <w:wordWrap/>
              <w:overflowPunct/>
              <w:topLinePunct w:val="0"/>
              <w:autoSpaceDE/>
              <w:autoSpaceDN/>
              <w:bidi w:val="0"/>
              <w:adjustRightInd/>
              <w:snapToGrid/>
              <w:spacing w:line="380" w:lineRule="exact"/>
              <w:jc w:val="center"/>
              <w:textAlignment w:val="auto"/>
              <w:outlineLvl w:val="9"/>
              <w:rPr>
                <w:rFonts w:hint="eastAsia" w:ascii="仿宋_GB2312" w:hAnsi="仿宋_GB2312" w:eastAsia="仿宋_GB2312" w:cs="仿宋_GB2312"/>
                <w:b w:val="0"/>
                <w:bCs w:val="0"/>
                <w:color w:val="auto"/>
                <w:sz w:val="18"/>
                <w:szCs w:val="18"/>
                <w:highlight w:val="none"/>
                <w:vertAlign w:val="baseline"/>
                <w:lang w:val="en-US" w:eastAsia="zh-CN"/>
              </w:rPr>
            </w:pPr>
            <w:r>
              <w:rPr>
                <w:rFonts w:hint="eastAsia" w:ascii="仿宋_GB2312" w:hAnsi="仿宋_GB2312" w:eastAsia="仿宋_GB2312" w:cs="仿宋_GB2312"/>
                <w:b w:val="0"/>
                <w:bCs w:val="0"/>
                <w:color w:val="auto"/>
                <w:sz w:val="18"/>
                <w:szCs w:val="18"/>
                <w:highlight w:val="none"/>
                <w:vertAlign w:val="baseline"/>
                <w:lang w:val="en-US" w:eastAsia="zh-CN"/>
              </w:rPr>
              <w:t>法律顾问工作职责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603" w:type="dxa"/>
            <w:vAlign w:val="center"/>
          </w:tcPr>
          <w:p>
            <w:pPr>
              <w:keepNext w:val="0"/>
              <w:keepLines w:val="0"/>
              <w:pageBreakBefore w:val="0"/>
              <w:widowControl/>
              <w:numPr>
                <w:ilvl w:val="255"/>
                <w:numId w:val="0"/>
              </w:numPr>
              <w:kinsoku/>
              <w:wordWrap/>
              <w:overflowPunct/>
              <w:topLinePunct w:val="0"/>
              <w:autoSpaceDE/>
              <w:autoSpaceDN/>
              <w:bidi w:val="0"/>
              <w:adjustRightInd/>
              <w:snapToGrid/>
              <w:spacing w:line="380" w:lineRule="exact"/>
              <w:jc w:val="center"/>
              <w:textAlignment w:val="auto"/>
              <w:outlineLvl w:val="9"/>
              <w:rPr>
                <w:rFonts w:hint="eastAsia" w:ascii="仿宋_GB2312" w:hAnsi="仿宋_GB2312" w:eastAsia="仿宋_GB2312" w:cs="仿宋_GB2312"/>
                <w:b w:val="0"/>
                <w:bCs w:val="0"/>
                <w:color w:val="auto"/>
                <w:sz w:val="18"/>
                <w:szCs w:val="18"/>
                <w:highlight w:val="none"/>
                <w:vertAlign w:val="baseline"/>
                <w:lang w:val="en-US" w:eastAsia="zh-CN"/>
              </w:rPr>
            </w:pPr>
            <w:r>
              <w:rPr>
                <w:rFonts w:hint="eastAsia" w:ascii="仿宋_GB2312" w:hAnsi="仿宋_GB2312" w:eastAsia="仿宋_GB2312" w:cs="仿宋_GB2312"/>
                <w:b w:val="0"/>
                <w:bCs w:val="0"/>
                <w:color w:val="auto"/>
                <w:sz w:val="18"/>
                <w:szCs w:val="18"/>
                <w:highlight w:val="none"/>
                <w:vertAlign w:val="baseline"/>
                <w:lang w:val="en-US" w:eastAsia="zh-CN"/>
              </w:rPr>
              <w:t>A包</w:t>
            </w:r>
          </w:p>
        </w:tc>
        <w:tc>
          <w:tcPr>
            <w:tcW w:w="885" w:type="dxa"/>
            <w:vAlign w:val="center"/>
          </w:tcPr>
          <w:p>
            <w:pPr>
              <w:keepNext w:val="0"/>
              <w:keepLines w:val="0"/>
              <w:pageBreakBefore w:val="0"/>
              <w:widowControl/>
              <w:numPr>
                <w:ilvl w:val="255"/>
                <w:numId w:val="0"/>
              </w:numPr>
              <w:kinsoku/>
              <w:wordWrap/>
              <w:overflowPunct/>
              <w:topLinePunct w:val="0"/>
              <w:autoSpaceDE/>
              <w:autoSpaceDN/>
              <w:bidi w:val="0"/>
              <w:adjustRightInd/>
              <w:snapToGrid/>
              <w:spacing w:line="380" w:lineRule="exact"/>
              <w:jc w:val="center"/>
              <w:textAlignment w:val="auto"/>
              <w:outlineLvl w:val="9"/>
              <w:rPr>
                <w:rFonts w:hint="eastAsia" w:ascii="仿宋_GB2312" w:hAnsi="仿宋_GB2312" w:eastAsia="仿宋_GB2312" w:cs="仿宋_GB2312"/>
                <w:b w:val="0"/>
                <w:bCs w:val="0"/>
                <w:color w:val="auto"/>
                <w:sz w:val="18"/>
                <w:szCs w:val="18"/>
                <w:highlight w:val="none"/>
                <w:vertAlign w:val="baseline"/>
                <w:lang w:val="en-US" w:eastAsia="zh-CN"/>
              </w:rPr>
            </w:pPr>
            <w:r>
              <w:rPr>
                <w:rFonts w:hint="eastAsia" w:ascii="仿宋_GB2312" w:hAnsi="仿宋_GB2312" w:eastAsia="仿宋_GB2312" w:cs="仿宋_GB2312"/>
                <w:b w:val="0"/>
                <w:bCs w:val="0"/>
                <w:color w:val="auto"/>
                <w:sz w:val="18"/>
                <w:szCs w:val="18"/>
                <w:highlight w:val="none"/>
                <w:vertAlign w:val="baseline"/>
                <w:lang w:val="en-US" w:eastAsia="zh-CN"/>
              </w:rPr>
              <w:t>2人</w:t>
            </w:r>
          </w:p>
        </w:tc>
        <w:tc>
          <w:tcPr>
            <w:tcW w:w="990" w:type="dxa"/>
            <w:vAlign w:val="center"/>
          </w:tcPr>
          <w:p>
            <w:pPr>
              <w:keepNext w:val="0"/>
              <w:keepLines w:val="0"/>
              <w:pageBreakBefore w:val="0"/>
              <w:widowControl/>
              <w:numPr>
                <w:ilvl w:val="255"/>
                <w:numId w:val="0"/>
              </w:numPr>
              <w:kinsoku/>
              <w:wordWrap/>
              <w:overflowPunct/>
              <w:topLinePunct w:val="0"/>
              <w:autoSpaceDE/>
              <w:autoSpaceDN/>
              <w:bidi w:val="0"/>
              <w:adjustRightInd/>
              <w:snapToGrid/>
              <w:spacing w:line="380" w:lineRule="exact"/>
              <w:jc w:val="center"/>
              <w:textAlignment w:val="auto"/>
              <w:outlineLvl w:val="9"/>
              <w:rPr>
                <w:rFonts w:hint="eastAsia" w:ascii="仿宋_GB2312" w:hAnsi="仿宋_GB2312" w:eastAsia="仿宋_GB2312" w:cs="仿宋_GB2312"/>
                <w:b w:val="0"/>
                <w:bCs w:val="0"/>
                <w:color w:val="auto"/>
                <w:sz w:val="18"/>
                <w:szCs w:val="18"/>
                <w:highlight w:val="none"/>
                <w:vertAlign w:val="baseline"/>
                <w:lang w:val="en-US" w:eastAsia="zh-CN"/>
              </w:rPr>
            </w:pPr>
            <w:r>
              <w:rPr>
                <w:rFonts w:hint="eastAsia" w:ascii="仿宋_GB2312" w:hAnsi="仿宋_GB2312" w:eastAsia="仿宋_GB2312" w:cs="仿宋_GB2312"/>
                <w:b w:val="0"/>
                <w:bCs w:val="0"/>
                <w:color w:val="auto"/>
                <w:sz w:val="18"/>
                <w:szCs w:val="18"/>
                <w:highlight w:val="none"/>
                <w:vertAlign w:val="baseline"/>
                <w:lang w:val="en-US" w:eastAsia="zh-CN"/>
              </w:rPr>
              <w:t>是</w:t>
            </w:r>
          </w:p>
        </w:tc>
        <w:tc>
          <w:tcPr>
            <w:tcW w:w="885" w:type="dxa"/>
            <w:vAlign w:val="center"/>
          </w:tcPr>
          <w:p>
            <w:pPr>
              <w:keepNext w:val="0"/>
              <w:keepLines w:val="0"/>
              <w:pageBreakBefore w:val="0"/>
              <w:widowControl/>
              <w:numPr>
                <w:ilvl w:val="255"/>
                <w:numId w:val="0"/>
              </w:numPr>
              <w:kinsoku/>
              <w:wordWrap/>
              <w:overflowPunct/>
              <w:topLinePunct w:val="0"/>
              <w:autoSpaceDE/>
              <w:autoSpaceDN/>
              <w:bidi w:val="0"/>
              <w:adjustRightInd/>
              <w:snapToGrid/>
              <w:spacing w:line="380" w:lineRule="exact"/>
              <w:jc w:val="center"/>
              <w:textAlignment w:val="auto"/>
              <w:outlineLvl w:val="9"/>
              <w:rPr>
                <w:rFonts w:hint="eastAsia" w:ascii="仿宋_GB2312" w:hAnsi="仿宋_GB2312" w:eastAsia="仿宋_GB2312" w:cs="仿宋_GB2312"/>
                <w:b w:val="0"/>
                <w:bCs w:val="0"/>
                <w:color w:val="auto"/>
                <w:sz w:val="18"/>
                <w:szCs w:val="18"/>
                <w:highlight w:val="none"/>
                <w:vertAlign w:val="baseline"/>
                <w:lang w:val="en-US" w:eastAsia="zh-CN"/>
              </w:rPr>
            </w:pPr>
          </w:p>
        </w:tc>
        <w:tc>
          <w:tcPr>
            <w:tcW w:w="1170" w:type="dxa"/>
            <w:vAlign w:val="center"/>
          </w:tcPr>
          <w:p>
            <w:pPr>
              <w:keepNext w:val="0"/>
              <w:keepLines w:val="0"/>
              <w:pageBreakBefore w:val="0"/>
              <w:widowControl/>
              <w:numPr>
                <w:ilvl w:val="255"/>
                <w:numId w:val="0"/>
              </w:numPr>
              <w:kinsoku/>
              <w:wordWrap/>
              <w:overflowPunct/>
              <w:topLinePunct w:val="0"/>
              <w:autoSpaceDE/>
              <w:autoSpaceDN/>
              <w:bidi w:val="0"/>
              <w:adjustRightInd/>
              <w:snapToGrid/>
              <w:spacing w:line="380" w:lineRule="exact"/>
              <w:jc w:val="center"/>
              <w:textAlignment w:val="auto"/>
              <w:outlineLvl w:val="9"/>
              <w:rPr>
                <w:rFonts w:hint="eastAsia" w:ascii="仿宋_GB2312" w:hAnsi="仿宋_GB2312" w:eastAsia="仿宋_GB2312" w:cs="仿宋_GB2312"/>
                <w:b w:val="0"/>
                <w:bCs w:val="0"/>
                <w:color w:val="auto"/>
                <w:sz w:val="18"/>
                <w:szCs w:val="18"/>
                <w:highlight w:val="none"/>
                <w:vertAlign w:val="baseline"/>
                <w:lang w:val="en-US" w:eastAsia="zh-CN"/>
              </w:rPr>
            </w:pPr>
            <w:r>
              <w:rPr>
                <w:rFonts w:hint="eastAsia" w:ascii="仿宋_GB2312" w:hAnsi="仿宋_GB2312" w:eastAsia="仿宋_GB2312" w:cs="仿宋_GB2312"/>
                <w:b w:val="0"/>
                <w:bCs w:val="0"/>
                <w:color w:val="auto"/>
                <w:sz w:val="18"/>
                <w:szCs w:val="18"/>
                <w:highlight w:val="none"/>
                <w:vertAlign w:val="baseline"/>
                <w:lang w:val="en-US" w:eastAsia="zh-CN"/>
              </w:rPr>
              <w:t>律师1人+助理1人</w:t>
            </w:r>
          </w:p>
        </w:tc>
        <w:tc>
          <w:tcPr>
            <w:tcW w:w="5250" w:type="dxa"/>
          </w:tcPr>
          <w:p>
            <w:pPr>
              <w:keepNext w:val="0"/>
              <w:keepLines w:val="0"/>
              <w:pageBreakBefore w:val="0"/>
              <w:widowControl/>
              <w:numPr>
                <w:ilvl w:val="255"/>
                <w:numId w:val="0"/>
              </w:numPr>
              <w:kinsoku/>
              <w:wordWrap/>
              <w:overflowPunct/>
              <w:topLinePunct w:val="0"/>
              <w:autoSpaceDE/>
              <w:autoSpaceDN/>
              <w:bidi w:val="0"/>
              <w:adjustRightInd/>
              <w:snapToGrid/>
              <w:spacing w:line="380" w:lineRule="exact"/>
              <w:jc w:val="left"/>
              <w:textAlignment w:val="auto"/>
              <w:outlineLvl w:val="9"/>
              <w:rPr>
                <w:rFonts w:hint="eastAsia" w:ascii="仿宋_GB2312" w:hAnsi="仿宋_GB2312" w:eastAsia="仿宋_GB2312" w:cs="仿宋_GB2312"/>
                <w:b w:val="0"/>
                <w:bCs w:val="0"/>
                <w:color w:val="auto"/>
                <w:sz w:val="18"/>
                <w:szCs w:val="18"/>
                <w:highlight w:val="none"/>
                <w:vertAlign w:val="baseline"/>
                <w:lang w:val="en-US" w:eastAsia="zh-CN"/>
              </w:rPr>
            </w:pPr>
            <w:r>
              <w:rPr>
                <w:rFonts w:hint="eastAsia" w:ascii="仿宋_GB2312" w:hAnsi="仿宋_GB2312" w:eastAsia="仿宋_GB2312" w:cs="仿宋_GB2312"/>
                <w:b w:val="0"/>
                <w:bCs w:val="0"/>
                <w:color w:val="auto"/>
                <w:sz w:val="18"/>
                <w:szCs w:val="18"/>
                <w:highlight w:val="none"/>
                <w:vertAlign w:val="baseline"/>
                <w:lang w:val="en-US" w:eastAsia="zh-CN"/>
              </w:rPr>
              <w:t>1.协助案件办理；2.案件审查；3.提供行政执法专业法律咨询；4.法律培训；5.结合执法工作需要，编制可操作性的执法工作规范、指引；6.代理综合行政执法办参加行政复议、申请强制执行；7.参与处理涉及综合行政执法办尚未形成的行政纠纷和其他纠纷，协助处理与综合行政执法办有关的信访案件；8.每个季度至少开展一次法律培训，每月开展一次案例分析座谈会，分析典型案例；9.为行政执法过程中的法律问题、重大决策、行政执法行为提出书面法律意见；10.为坪山街道承办或参与的对外招投标项目所需备案的合同出具法律意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488" w:type="dxa"/>
            <w:gridSpan w:val="2"/>
            <w:vAlign w:val="center"/>
          </w:tcPr>
          <w:p>
            <w:pPr>
              <w:keepNext w:val="0"/>
              <w:keepLines w:val="0"/>
              <w:pageBreakBefore w:val="0"/>
              <w:widowControl/>
              <w:numPr>
                <w:ilvl w:val="255"/>
                <w:numId w:val="0"/>
              </w:numPr>
              <w:kinsoku/>
              <w:wordWrap/>
              <w:overflowPunct/>
              <w:topLinePunct w:val="0"/>
              <w:autoSpaceDE/>
              <w:autoSpaceDN/>
              <w:bidi w:val="0"/>
              <w:adjustRightInd/>
              <w:snapToGrid/>
              <w:spacing w:line="380" w:lineRule="exact"/>
              <w:ind w:firstLine="360" w:firstLineChars="200"/>
              <w:jc w:val="both"/>
              <w:textAlignment w:val="auto"/>
              <w:outlineLvl w:val="9"/>
              <w:rPr>
                <w:rFonts w:hint="eastAsia" w:ascii="仿宋_GB2312" w:hAnsi="仿宋_GB2312" w:eastAsia="仿宋_GB2312" w:cs="仿宋_GB2312"/>
                <w:b w:val="0"/>
                <w:bCs w:val="0"/>
                <w:color w:val="auto"/>
                <w:sz w:val="18"/>
                <w:szCs w:val="18"/>
                <w:highlight w:val="none"/>
                <w:lang w:val="en-US" w:eastAsia="zh-CN"/>
              </w:rPr>
            </w:pPr>
            <w:r>
              <w:rPr>
                <w:rFonts w:hint="eastAsia" w:ascii="仿宋_GB2312" w:hAnsi="仿宋_GB2312" w:eastAsia="仿宋_GB2312" w:cs="仿宋_GB2312"/>
                <w:b w:val="0"/>
                <w:bCs w:val="0"/>
                <w:color w:val="auto"/>
                <w:sz w:val="18"/>
                <w:szCs w:val="18"/>
                <w:highlight w:val="none"/>
                <w:lang w:val="en-US" w:eastAsia="zh-CN"/>
              </w:rPr>
              <w:t>合计：</w:t>
            </w:r>
          </w:p>
        </w:tc>
        <w:tc>
          <w:tcPr>
            <w:tcW w:w="8295" w:type="dxa"/>
            <w:gridSpan w:val="4"/>
            <w:vAlign w:val="center"/>
          </w:tcPr>
          <w:p>
            <w:pPr>
              <w:keepNext w:val="0"/>
              <w:keepLines w:val="0"/>
              <w:pageBreakBefore w:val="0"/>
              <w:widowControl/>
              <w:numPr>
                <w:ilvl w:val="255"/>
                <w:numId w:val="0"/>
              </w:numPr>
              <w:kinsoku/>
              <w:wordWrap/>
              <w:overflowPunct/>
              <w:topLinePunct w:val="0"/>
              <w:autoSpaceDE/>
              <w:autoSpaceDN/>
              <w:bidi w:val="0"/>
              <w:adjustRightInd/>
              <w:snapToGrid/>
              <w:spacing w:line="380" w:lineRule="exact"/>
              <w:jc w:val="left"/>
              <w:textAlignment w:val="auto"/>
              <w:outlineLvl w:val="9"/>
              <w:rPr>
                <w:rFonts w:hint="eastAsia" w:ascii="仿宋_GB2312" w:hAnsi="仿宋_GB2312" w:eastAsia="仿宋_GB2312" w:cs="仿宋_GB2312"/>
                <w:b w:val="0"/>
                <w:bCs w:val="0"/>
                <w:color w:val="auto"/>
                <w:sz w:val="18"/>
                <w:szCs w:val="18"/>
                <w:highlight w:val="none"/>
                <w:vertAlign w:val="baseline"/>
                <w:lang w:val="en-US" w:eastAsia="zh-CN"/>
              </w:rPr>
            </w:pPr>
          </w:p>
        </w:tc>
      </w:tr>
    </w:tbl>
    <w:p>
      <w:pPr>
        <w:keepNext w:val="0"/>
        <w:keepLines w:val="0"/>
        <w:pageBreakBefore w:val="0"/>
        <w:numPr>
          <w:ilvl w:val="255"/>
          <w:numId w:val="0"/>
        </w:numPr>
        <w:kinsoku/>
        <w:wordWrap/>
        <w:overflowPunct/>
        <w:topLinePunct w:val="0"/>
        <w:autoSpaceDE/>
        <w:autoSpaceDN/>
        <w:bidi w:val="0"/>
        <w:adjustRightInd w:val="0"/>
        <w:snapToGrid w:val="0"/>
        <w:spacing w:line="380" w:lineRule="exact"/>
        <w:jc w:val="left"/>
        <w:textAlignment w:val="auto"/>
        <w:outlineLvl w:val="9"/>
        <w:rPr>
          <w:rFonts w:hint="eastAsia" w:ascii="仿宋_GB2312" w:hAnsi="仿宋_GB2312" w:eastAsia="仿宋_GB2312" w:cs="仿宋_GB2312"/>
          <w:b w:val="0"/>
          <w:bCs w:val="0"/>
          <w:color w:val="auto"/>
          <w:sz w:val="32"/>
          <w:szCs w:val="32"/>
          <w:highlight w:val="none"/>
          <w:lang w:val="en-US" w:eastAsia="zh-CN"/>
        </w:rPr>
      </w:pPr>
    </w:p>
    <w:p>
      <w:pPr>
        <w:keepNext w:val="0"/>
        <w:keepLines w:val="0"/>
        <w:pageBreakBefore w:val="0"/>
        <w:numPr>
          <w:ilvl w:val="255"/>
          <w:numId w:val="0"/>
        </w:numPr>
        <w:kinsoku/>
        <w:wordWrap/>
        <w:overflowPunct/>
        <w:topLinePunct w:val="0"/>
        <w:autoSpaceDE/>
        <w:autoSpaceDN/>
        <w:bidi w:val="0"/>
        <w:adjustRightInd w:val="0"/>
        <w:snapToGrid w:val="0"/>
        <w:spacing w:line="380" w:lineRule="exact"/>
        <w:jc w:val="left"/>
        <w:textAlignment w:val="auto"/>
        <w:outlineLvl w:val="9"/>
        <w:rPr>
          <w:rFonts w:hint="eastAsia" w:ascii="仿宋_GB2312" w:hAnsi="仿宋_GB2312" w:eastAsia="仿宋_GB2312" w:cs="仿宋_GB2312"/>
          <w:b w:val="0"/>
          <w:bCs w:val="0"/>
          <w:color w:val="auto"/>
          <w:sz w:val="32"/>
          <w:szCs w:val="32"/>
          <w:highlight w:val="none"/>
          <w:lang w:val="en-US" w:eastAsia="zh-CN"/>
        </w:rPr>
      </w:pPr>
    </w:p>
    <w:p>
      <w:pPr>
        <w:keepNext w:val="0"/>
        <w:keepLines w:val="0"/>
        <w:pageBreakBefore w:val="0"/>
        <w:numPr>
          <w:ilvl w:val="255"/>
          <w:numId w:val="0"/>
        </w:numPr>
        <w:kinsoku/>
        <w:wordWrap/>
        <w:overflowPunct/>
        <w:topLinePunct w:val="0"/>
        <w:autoSpaceDE/>
        <w:autoSpaceDN/>
        <w:bidi w:val="0"/>
        <w:adjustRightInd w:val="0"/>
        <w:snapToGrid w:val="0"/>
        <w:spacing w:line="380" w:lineRule="exact"/>
        <w:jc w:val="left"/>
        <w:textAlignment w:val="auto"/>
        <w:outlineLvl w:val="9"/>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2、应急管理办公室</w:t>
      </w:r>
    </w:p>
    <w:p>
      <w:pPr>
        <w:keepNext w:val="0"/>
        <w:keepLines w:val="0"/>
        <w:pageBreakBefore w:val="0"/>
        <w:numPr>
          <w:ilvl w:val="255"/>
          <w:numId w:val="0"/>
        </w:numPr>
        <w:kinsoku/>
        <w:wordWrap/>
        <w:overflowPunct/>
        <w:topLinePunct w:val="0"/>
        <w:autoSpaceDE/>
        <w:autoSpaceDN/>
        <w:bidi w:val="0"/>
        <w:adjustRightInd w:val="0"/>
        <w:snapToGrid w:val="0"/>
        <w:spacing w:line="380" w:lineRule="exact"/>
        <w:jc w:val="left"/>
        <w:textAlignment w:val="auto"/>
        <w:outlineLvl w:val="9"/>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投标</w:t>
      </w:r>
      <w:r>
        <w:rPr>
          <w:rFonts w:hint="eastAsia" w:ascii="仿宋_GB2312" w:hAnsi="仿宋_GB2312" w:eastAsia="仿宋_GB2312" w:cs="仿宋_GB2312"/>
          <w:b w:val="0"/>
          <w:bCs w:val="0"/>
          <w:color w:val="auto"/>
          <w:sz w:val="28"/>
          <w:szCs w:val="28"/>
          <w:highlight w:val="none"/>
          <w:lang w:val="en-US" w:eastAsia="zh-CN"/>
        </w:rPr>
        <w:t>单位</w:t>
      </w:r>
      <w:r>
        <w:rPr>
          <w:rFonts w:hint="eastAsia" w:ascii="仿宋_GB2312" w:hAnsi="仿宋_GB2312" w:eastAsia="仿宋_GB2312" w:cs="仿宋_GB2312"/>
          <w:b w:val="0"/>
          <w:bCs w:val="0"/>
          <w:color w:val="auto"/>
          <w:sz w:val="28"/>
          <w:szCs w:val="28"/>
          <w:highlight w:val="none"/>
        </w:rPr>
        <w:t>名称：</w:t>
      </w:r>
      <w:r>
        <w:rPr>
          <w:rFonts w:hint="eastAsia" w:ascii="仿宋_GB2312" w:hAnsi="仿宋_GB2312" w:eastAsia="仿宋_GB2312" w:cs="仿宋_GB2312"/>
          <w:b w:val="0"/>
          <w:bCs w:val="0"/>
          <w:color w:val="auto"/>
          <w:sz w:val="28"/>
          <w:szCs w:val="28"/>
          <w:highlight w:val="none"/>
          <w:u w:val="single"/>
        </w:rPr>
        <w:t xml:space="preserve">                      </w:t>
      </w:r>
      <w:r>
        <w:rPr>
          <w:rFonts w:hint="eastAsia" w:ascii="仿宋_GB2312" w:hAnsi="仿宋_GB2312" w:eastAsia="仿宋_GB2312" w:cs="仿宋_GB2312"/>
          <w:b w:val="0"/>
          <w:bCs w:val="0"/>
          <w:color w:val="auto"/>
          <w:sz w:val="28"/>
          <w:szCs w:val="28"/>
          <w:highlight w:val="none"/>
        </w:rPr>
        <w:t xml:space="preserve">                   </w:t>
      </w:r>
    </w:p>
    <w:p>
      <w:pPr>
        <w:keepNext w:val="0"/>
        <w:keepLines w:val="0"/>
        <w:pageBreakBefore w:val="0"/>
        <w:numPr>
          <w:ilvl w:val="255"/>
          <w:numId w:val="0"/>
        </w:numPr>
        <w:kinsoku/>
        <w:wordWrap/>
        <w:overflowPunct/>
        <w:topLinePunct w:val="0"/>
        <w:autoSpaceDE/>
        <w:autoSpaceDN/>
        <w:bidi w:val="0"/>
        <w:adjustRightInd w:val="0"/>
        <w:snapToGrid w:val="0"/>
        <w:spacing w:line="380" w:lineRule="exact"/>
        <w:jc w:val="left"/>
        <w:textAlignment w:val="auto"/>
        <w:outlineLvl w:val="9"/>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投标</w:t>
      </w:r>
      <w:r>
        <w:rPr>
          <w:rFonts w:hint="eastAsia" w:ascii="仿宋_GB2312" w:hAnsi="仿宋_GB2312" w:eastAsia="仿宋_GB2312" w:cs="仿宋_GB2312"/>
          <w:b w:val="0"/>
          <w:bCs w:val="0"/>
          <w:color w:val="auto"/>
          <w:sz w:val="28"/>
          <w:szCs w:val="28"/>
          <w:highlight w:val="none"/>
          <w:lang w:val="en-US" w:eastAsia="zh-CN"/>
        </w:rPr>
        <w:t>单位</w:t>
      </w:r>
      <w:r>
        <w:rPr>
          <w:rFonts w:hint="eastAsia" w:ascii="仿宋_GB2312" w:hAnsi="仿宋_GB2312" w:eastAsia="仿宋_GB2312" w:cs="仿宋_GB2312"/>
          <w:b w:val="0"/>
          <w:bCs w:val="0"/>
          <w:color w:val="auto"/>
          <w:sz w:val="28"/>
          <w:szCs w:val="28"/>
          <w:highlight w:val="none"/>
        </w:rPr>
        <w:t>代表姓名：</w:t>
      </w:r>
      <w:r>
        <w:rPr>
          <w:rFonts w:hint="eastAsia" w:ascii="仿宋_GB2312" w:hAnsi="仿宋_GB2312" w:eastAsia="仿宋_GB2312" w:cs="仿宋_GB2312"/>
          <w:b w:val="0"/>
          <w:bCs w:val="0"/>
          <w:color w:val="auto"/>
          <w:sz w:val="28"/>
          <w:szCs w:val="28"/>
          <w:highlight w:val="none"/>
          <w:u w:val="single"/>
        </w:rPr>
        <w:t xml:space="preserve">                   </w:t>
      </w:r>
      <w:r>
        <w:rPr>
          <w:rFonts w:hint="eastAsia" w:ascii="仿宋_GB2312" w:hAnsi="仿宋_GB2312" w:eastAsia="仿宋_GB2312" w:cs="仿宋_GB2312"/>
          <w:b w:val="0"/>
          <w:bCs w:val="0"/>
          <w:color w:val="auto"/>
          <w:sz w:val="28"/>
          <w:szCs w:val="28"/>
          <w:highlight w:val="none"/>
        </w:rPr>
        <w:t xml:space="preserve">   </w:t>
      </w:r>
    </w:p>
    <w:p>
      <w:pPr>
        <w:keepNext w:val="0"/>
        <w:keepLines w:val="0"/>
        <w:pageBreakBefore w:val="0"/>
        <w:numPr>
          <w:ilvl w:val="255"/>
          <w:numId w:val="0"/>
        </w:numPr>
        <w:kinsoku/>
        <w:wordWrap/>
        <w:overflowPunct/>
        <w:topLinePunct w:val="0"/>
        <w:autoSpaceDE/>
        <w:autoSpaceDN/>
        <w:bidi w:val="0"/>
        <w:adjustRightInd w:val="0"/>
        <w:snapToGrid w:val="0"/>
        <w:spacing w:line="380" w:lineRule="exact"/>
        <w:jc w:val="left"/>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xml:space="preserve"> </w:t>
      </w:r>
    </w:p>
    <w:tbl>
      <w:tblPr>
        <w:tblStyle w:val="18"/>
        <w:tblW w:w="97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4"/>
        <w:gridCol w:w="930"/>
        <w:gridCol w:w="1065"/>
        <w:gridCol w:w="1082"/>
        <w:gridCol w:w="823"/>
        <w:gridCol w:w="4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vAlign w:val="center"/>
          </w:tcPr>
          <w:p>
            <w:pPr>
              <w:keepNext w:val="0"/>
              <w:keepLines w:val="0"/>
              <w:pageBreakBefore w:val="0"/>
              <w:widowControl/>
              <w:numPr>
                <w:ilvl w:val="255"/>
                <w:numId w:val="0"/>
              </w:numPr>
              <w:kinsoku/>
              <w:wordWrap/>
              <w:overflowPunct/>
              <w:topLinePunct w:val="0"/>
              <w:autoSpaceDE/>
              <w:autoSpaceDN/>
              <w:bidi w:val="0"/>
              <w:adjustRightInd/>
              <w:snapToGrid/>
              <w:spacing w:line="380" w:lineRule="exact"/>
              <w:ind w:left="0" w:leftChars="0" w:firstLine="0" w:firstLineChars="0"/>
              <w:jc w:val="center"/>
              <w:textAlignment w:val="auto"/>
              <w:outlineLvl w:val="9"/>
              <w:rPr>
                <w:rFonts w:hint="eastAsia" w:ascii="仿宋_GB2312" w:hAnsi="仿宋_GB2312" w:eastAsia="仿宋_GB2312" w:cs="仿宋_GB2312"/>
                <w:b w:val="0"/>
                <w:bCs w:val="0"/>
                <w:color w:val="auto"/>
                <w:sz w:val="21"/>
                <w:szCs w:val="21"/>
                <w:highlight w:val="none"/>
                <w:vertAlign w:val="baseline"/>
              </w:rPr>
            </w:pPr>
            <w:r>
              <w:rPr>
                <w:rFonts w:hint="eastAsia" w:ascii="仿宋_GB2312" w:hAnsi="仿宋_GB2312" w:eastAsia="仿宋_GB2312" w:cs="仿宋_GB2312"/>
                <w:b w:val="0"/>
                <w:bCs w:val="0"/>
                <w:color w:val="auto"/>
                <w:sz w:val="21"/>
                <w:szCs w:val="21"/>
                <w:highlight w:val="none"/>
                <w:vertAlign w:val="baseline"/>
                <w:lang w:val="en-US" w:eastAsia="zh-CN"/>
              </w:rPr>
              <w:t>项目</w:t>
            </w:r>
          </w:p>
        </w:tc>
        <w:tc>
          <w:tcPr>
            <w:tcW w:w="930" w:type="dxa"/>
            <w:vAlign w:val="center"/>
          </w:tcPr>
          <w:p>
            <w:pPr>
              <w:keepNext w:val="0"/>
              <w:keepLines w:val="0"/>
              <w:pageBreakBefore w:val="0"/>
              <w:widowControl/>
              <w:numPr>
                <w:ilvl w:val="255"/>
                <w:numId w:val="0"/>
              </w:numPr>
              <w:kinsoku/>
              <w:wordWrap/>
              <w:overflowPunct/>
              <w:topLinePunct w:val="0"/>
              <w:autoSpaceDE/>
              <w:autoSpaceDN/>
              <w:bidi w:val="0"/>
              <w:adjustRightInd/>
              <w:snapToGrid/>
              <w:spacing w:line="380" w:lineRule="exact"/>
              <w:ind w:left="0" w:leftChars="0" w:firstLine="0" w:firstLineChars="0"/>
              <w:jc w:val="center"/>
              <w:textAlignment w:val="auto"/>
              <w:outlineLvl w:val="9"/>
              <w:rPr>
                <w:rFonts w:hint="eastAsia" w:ascii="仿宋_GB2312" w:hAnsi="仿宋_GB2312" w:eastAsia="仿宋_GB2312" w:cs="仿宋_GB2312"/>
                <w:b w:val="0"/>
                <w:bCs w:val="0"/>
                <w:color w:val="auto"/>
                <w:sz w:val="21"/>
                <w:szCs w:val="21"/>
                <w:highlight w:val="none"/>
                <w:vertAlign w:val="baseline"/>
              </w:rPr>
            </w:pPr>
            <w:r>
              <w:rPr>
                <w:rFonts w:hint="eastAsia" w:ascii="仿宋_GB2312" w:hAnsi="仿宋_GB2312" w:eastAsia="仿宋_GB2312" w:cs="仿宋_GB2312"/>
                <w:b w:val="0"/>
                <w:bCs w:val="0"/>
                <w:color w:val="auto"/>
                <w:sz w:val="21"/>
                <w:szCs w:val="21"/>
                <w:highlight w:val="none"/>
                <w:vertAlign w:val="baseline"/>
                <w:lang w:val="en-US" w:eastAsia="zh-CN"/>
              </w:rPr>
              <w:t>律师人数</w:t>
            </w:r>
          </w:p>
        </w:tc>
        <w:tc>
          <w:tcPr>
            <w:tcW w:w="1065" w:type="dxa"/>
            <w:vAlign w:val="center"/>
          </w:tcPr>
          <w:p>
            <w:pPr>
              <w:keepNext w:val="0"/>
              <w:keepLines w:val="0"/>
              <w:pageBreakBefore w:val="0"/>
              <w:widowControl/>
              <w:numPr>
                <w:ilvl w:val="255"/>
                <w:numId w:val="0"/>
              </w:numPr>
              <w:kinsoku/>
              <w:wordWrap/>
              <w:overflowPunct/>
              <w:topLinePunct w:val="0"/>
              <w:autoSpaceDE/>
              <w:autoSpaceDN/>
              <w:bidi w:val="0"/>
              <w:adjustRightInd/>
              <w:snapToGrid/>
              <w:spacing w:line="380" w:lineRule="exact"/>
              <w:ind w:left="0" w:leftChars="0" w:firstLine="0" w:firstLineChars="0"/>
              <w:jc w:val="center"/>
              <w:textAlignment w:val="auto"/>
              <w:outlineLvl w:val="9"/>
              <w:rPr>
                <w:rFonts w:hint="eastAsia" w:ascii="仿宋_GB2312" w:hAnsi="仿宋_GB2312" w:eastAsia="仿宋_GB2312" w:cs="仿宋_GB2312"/>
                <w:b w:val="0"/>
                <w:bCs w:val="0"/>
                <w:color w:val="auto"/>
                <w:sz w:val="21"/>
                <w:szCs w:val="21"/>
                <w:highlight w:val="none"/>
                <w:vertAlign w:val="baseline"/>
              </w:rPr>
            </w:pPr>
            <w:r>
              <w:rPr>
                <w:rFonts w:hint="eastAsia" w:ascii="仿宋_GB2312" w:hAnsi="仿宋_GB2312" w:eastAsia="仿宋_GB2312" w:cs="仿宋_GB2312"/>
                <w:b w:val="0"/>
                <w:bCs w:val="0"/>
                <w:color w:val="auto"/>
                <w:sz w:val="21"/>
                <w:szCs w:val="21"/>
                <w:highlight w:val="none"/>
                <w:vertAlign w:val="baseline"/>
                <w:lang w:val="en-US" w:eastAsia="zh-CN"/>
              </w:rPr>
              <w:t>是否执法律 师</w:t>
            </w:r>
          </w:p>
        </w:tc>
        <w:tc>
          <w:tcPr>
            <w:tcW w:w="1082" w:type="dxa"/>
            <w:vAlign w:val="center"/>
          </w:tcPr>
          <w:p>
            <w:pPr>
              <w:keepNext w:val="0"/>
              <w:keepLines w:val="0"/>
              <w:pageBreakBefore w:val="0"/>
              <w:widowControl/>
              <w:numPr>
                <w:ilvl w:val="255"/>
                <w:numId w:val="0"/>
              </w:numPr>
              <w:kinsoku/>
              <w:wordWrap/>
              <w:overflowPunct/>
              <w:topLinePunct w:val="0"/>
              <w:autoSpaceDE/>
              <w:autoSpaceDN/>
              <w:bidi w:val="0"/>
              <w:adjustRightInd/>
              <w:snapToGrid/>
              <w:spacing w:line="380" w:lineRule="exact"/>
              <w:jc w:val="center"/>
              <w:textAlignment w:val="auto"/>
              <w:outlineLvl w:val="9"/>
              <w:rPr>
                <w:rFonts w:hint="eastAsia" w:ascii="仿宋_GB2312" w:hAnsi="仿宋_GB2312" w:eastAsia="仿宋_GB2312" w:cs="仿宋_GB2312"/>
                <w:b w:val="0"/>
                <w:bCs w:val="0"/>
                <w:color w:val="auto"/>
                <w:sz w:val="21"/>
                <w:szCs w:val="21"/>
                <w:highlight w:val="none"/>
                <w:vertAlign w:val="baseline"/>
                <w:lang w:val="en-US" w:eastAsia="zh-CN"/>
              </w:rPr>
            </w:pPr>
            <w:r>
              <w:rPr>
                <w:rFonts w:hint="eastAsia" w:ascii="仿宋_GB2312" w:hAnsi="仿宋_GB2312" w:eastAsia="仿宋_GB2312" w:cs="仿宋_GB2312"/>
                <w:b w:val="0"/>
                <w:bCs w:val="0"/>
                <w:color w:val="auto"/>
                <w:sz w:val="21"/>
                <w:szCs w:val="21"/>
                <w:highlight w:val="none"/>
                <w:vertAlign w:val="baseline"/>
                <w:lang w:val="en-US" w:eastAsia="zh-CN"/>
              </w:rPr>
              <w:t>费用</w:t>
            </w:r>
          </w:p>
          <w:p>
            <w:pPr>
              <w:keepNext w:val="0"/>
              <w:keepLines w:val="0"/>
              <w:pageBreakBefore w:val="0"/>
              <w:widowControl/>
              <w:numPr>
                <w:ilvl w:val="255"/>
                <w:numId w:val="0"/>
              </w:numPr>
              <w:kinsoku/>
              <w:wordWrap/>
              <w:overflowPunct/>
              <w:topLinePunct w:val="0"/>
              <w:autoSpaceDE/>
              <w:autoSpaceDN/>
              <w:bidi w:val="0"/>
              <w:adjustRightInd/>
              <w:snapToGrid/>
              <w:spacing w:line="380" w:lineRule="exact"/>
              <w:ind w:left="0" w:leftChars="0" w:firstLine="0" w:firstLineChars="0"/>
              <w:jc w:val="center"/>
              <w:textAlignment w:val="auto"/>
              <w:outlineLvl w:val="9"/>
              <w:rPr>
                <w:rFonts w:hint="eastAsia" w:ascii="仿宋_GB2312" w:hAnsi="仿宋_GB2312" w:eastAsia="仿宋_GB2312" w:cs="仿宋_GB2312"/>
                <w:b w:val="0"/>
                <w:bCs w:val="0"/>
                <w:color w:val="auto"/>
                <w:sz w:val="21"/>
                <w:szCs w:val="21"/>
                <w:highlight w:val="none"/>
                <w:vertAlign w:val="baseline"/>
              </w:rPr>
            </w:pPr>
            <w:r>
              <w:rPr>
                <w:rFonts w:hint="eastAsia" w:ascii="仿宋_GB2312" w:hAnsi="仿宋_GB2312" w:eastAsia="仿宋_GB2312" w:cs="仿宋_GB2312"/>
                <w:b w:val="0"/>
                <w:bCs w:val="0"/>
                <w:color w:val="auto"/>
                <w:sz w:val="21"/>
                <w:szCs w:val="21"/>
                <w:highlight w:val="none"/>
                <w:vertAlign w:val="baseline"/>
                <w:lang w:val="en-US" w:eastAsia="zh-CN"/>
              </w:rPr>
              <w:t>（万元）</w:t>
            </w:r>
          </w:p>
        </w:tc>
        <w:tc>
          <w:tcPr>
            <w:tcW w:w="823" w:type="dxa"/>
            <w:vAlign w:val="center"/>
          </w:tcPr>
          <w:p>
            <w:pPr>
              <w:keepNext w:val="0"/>
              <w:keepLines w:val="0"/>
              <w:pageBreakBefore w:val="0"/>
              <w:widowControl/>
              <w:numPr>
                <w:ilvl w:val="255"/>
                <w:numId w:val="0"/>
              </w:numPr>
              <w:kinsoku/>
              <w:wordWrap/>
              <w:overflowPunct/>
              <w:topLinePunct w:val="0"/>
              <w:autoSpaceDE/>
              <w:autoSpaceDN/>
              <w:bidi w:val="0"/>
              <w:adjustRightInd/>
              <w:snapToGrid/>
              <w:spacing w:line="380" w:lineRule="exact"/>
              <w:ind w:left="0" w:leftChars="0" w:firstLine="0" w:firstLineChars="0"/>
              <w:jc w:val="center"/>
              <w:textAlignment w:val="auto"/>
              <w:outlineLvl w:val="9"/>
              <w:rPr>
                <w:rFonts w:hint="eastAsia" w:ascii="仿宋_GB2312" w:hAnsi="仿宋_GB2312" w:eastAsia="仿宋_GB2312" w:cs="仿宋_GB2312"/>
                <w:b w:val="0"/>
                <w:bCs w:val="0"/>
                <w:color w:val="auto"/>
                <w:sz w:val="21"/>
                <w:szCs w:val="21"/>
                <w:highlight w:val="none"/>
                <w:vertAlign w:val="baseline"/>
              </w:rPr>
            </w:pPr>
            <w:r>
              <w:rPr>
                <w:rFonts w:hint="eastAsia" w:ascii="仿宋_GB2312" w:hAnsi="仿宋_GB2312" w:eastAsia="仿宋_GB2312" w:cs="仿宋_GB2312"/>
                <w:b w:val="0"/>
                <w:bCs w:val="0"/>
                <w:color w:val="auto"/>
                <w:sz w:val="21"/>
                <w:szCs w:val="21"/>
                <w:highlight w:val="none"/>
                <w:vertAlign w:val="baseline"/>
                <w:lang w:val="en-US" w:eastAsia="zh-CN"/>
              </w:rPr>
              <w:t>驻点人数</w:t>
            </w:r>
          </w:p>
        </w:tc>
        <w:tc>
          <w:tcPr>
            <w:tcW w:w="4892" w:type="dxa"/>
            <w:vAlign w:val="center"/>
          </w:tcPr>
          <w:p>
            <w:pPr>
              <w:keepNext w:val="0"/>
              <w:keepLines w:val="0"/>
              <w:pageBreakBefore w:val="0"/>
              <w:widowControl/>
              <w:numPr>
                <w:ilvl w:val="255"/>
                <w:numId w:val="0"/>
              </w:numPr>
              <w:kinsoku/>
              <w:wordWrap/>
              <w:overflowPunct/>
              <w:topLinePunct w:val="0"/>
              <w:autoSpaceDE/>
              <w:autoSpaceDN/>
              <w:bidi w:val="0"/>
              <w:adjustRightInd/>
              <w:snapToGrid/>
              <w:spacing w:line="380" w:lineRule="exact"/>
              <w:ind w:left="0" w:leftChars="0" w:firstLine="0" w:firstLineChars="0"/>
              <w:jc w:val="center"/>
              <w:textAlignment w:val="auto"/>
              <w:outlineLvl w:val="9"/>
              <w:rPr>
                <w:rFonts w:hint="eastAsia" w:ascii="仿宋_GB2312" w:hAnsi="仿宋_GB2312" w:eastAsia="仿宋_GB2312" w:cs="仿宋_GB2312"/>
                <w:b w:val="0"/>
                <w:bCs w:val="0"/>
                <w:color w:val="auto"/>
                <w:sz w:val="21"/>
                <w:szCs w:val="21"/>
                <w:highlight w:val="none"/>
                <w:vertAlign w:val="baseline"/>
              </w:rPr>
            </w:pPr>
            <w:r>
              <w:rPr>
                <w:rFonts w:hint="eastAsia" w:ascii="仿宋_GB2312" w:hAnsi="仿宋_GB2312" w:eastAsia="仿宋_GB2312" w:cs="仿宋_GB2312"/>
                <w:b w:val="0"/>
                <w:bCs w:val="0"/>
                <w:color w:val="auto"/>
                <w:sz w:val="21"/>
                <w:szCs w:val="21"/>
                <w:highlight w:val="none"/>
                <w:vertAlign w:val="baseline"/>
                <w:lang w:val="en-US" w:eastAsia="zh-CN"/>
              </w:rPr>
              <w:t>法律顾问工作职责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vAlign w:val="center"/>
          </w:tcPr>
          <w:p>
            <w:pPr>
              <w:keepNext w:val="0"/>
              <w:keepLines w:val="0"/>
              <w:pageBreakBefore w:val="0"/>
              <w:widowControl/>
              <w:numPr>
                <w:ilvl w:val="255"/>
                <w:numId w:val="0"/>
              </w:numPr>
              <w:kinsoku/>
              <w:wordWrap/>
              <w:overflowPunct/>
              <w:topLinePunct w:val="0"/>
              <w:autoSpaceDE/>
              <w:autoSpaceDN/>
              <w:bidi w:val="0"/>
              <w:adjustRightInd/>
              <w:snapToGrid/>
              <w:spacing w:line="380" w:lineRule="exact"/>
              <w:ind w:left="0" w:leftChars="0" w:firstLine="0" w:firstLineChars="0"/>
              <w:jc w:val="center"/>
              <w:textAlignment w:val="auto"/>
              <w:outlineLvl w:val="9"/>
              <w:rPr>
                <w:rFonts w:hint="eastAsia" w:ascii="仿宋_GB2312" w:hAnsi="仿宋_GB2312" w:eastAsia="仿宋_GB2312" w:cs="仿宋_GB2312"/>
                <w:b w:val="0"/>
                <w:bCs w:val="0"/>
                <w:color w:val="auto"/>
                <w:kern w:val="2"/>
                <w:sz w:val="21"/>
                <w:szCs w:val="21"/>
                <w:highlight w:val="none"/>
                <w:vertAlign w:val="baseline"/>
                <w:lang w:val="en-US" w:eastAsia="zh-CN" w:bidi="ar-SA"/>
              </w:rPr>
            </w:pPr>
            <w:r>
              <w:rPr>
                <w:rFonts w:hint="eastAsia" w:ascii="仿宋_GB2312" w:hAnsi="仿宋_GB2312" w:eastAsia="仿宋_GB2312" w:cs="仿宋_GB2312"/>
                <w:b w:val="0"/>
                <w:bCs w:val="0"/>
                <w:color w:val="auto"/>
                <w:sz w:val="21"/>
                <w:szCs w:val="21"/>
                <w:highlight w:val="none"/>
                <w:vertAlign w:val="baseline"/>
                <w:lang w:val="en-US" w:eastAsia="zh-CN"/>
              </w:rPr>
              <w:t>B包</w:t>
            </w:r>
          </w:p>
        </w:tc>
        <w:tc>
          <w:tcPr>
            <w:tcW w:w="930" w:type="dxa"/>
            <w:vAlign w:val="center"/>
          </w:tcPr>
          <w:p>
            <w:pPr>
              <w:keepNext w:val="0"/>
              <w:keepLines w:val="0"/>
              <w:pageBreakBefore w:val="0"/>
              <w:widowControl/>
              <w:numPr>
                <w:ilvl w:val="255"/>
                <w:numId w:val="0"/>
              </w:numPr>
              <w:kinsoku/>
              <w:wordWrap/>
              <w:overflowPunct/>
              <w:topLinePunct w:val="0"/>
              <w:autoSpaceDE/>
              <w:autoSpaceDN/>
              <w:bidi w:val="0"/>
              <w:adjustRightInd/>
              <w:snapToGrid/>
              <w:spacing w:line="380" w:lineRule="exact"/>
              <w:ind w:left="0" w:leftChars="0" w:firstLine="0" w:firstLineChars="0"/>
              <w:jc w:val="center"/>
              <w:textAlignment w:val="auto"/>
              <w:outlineLvl w:val="9"/>
              <w:rPr>
                <w:rFonts w:hint="eastAsia" w:ascii="仿宋_GB2312" w:hAnsi="仿宋_GB2312" w:eastAsia="仿宋_GB2312" w:cs="仿宋_GB2312"/>
                <w:b w:val="0"/>
                <w:bCs w:val="0"/>
                <w:color w:val="auto"/>
                <w:kern w:val="2"/>
                <w:sz w:val="21"/>
                <w:szCs w:val="21"/>
                <w:highlight w:val="none"/>
                <w:vertAlign w:val="baseline"/>
                <w:lang w:val="en-US" w:eastAsia="zh-CN" w:bidi="ar-SA"/>
              </w:rPr>
            </w:pPr>
            <w:r>
              <w:rPr>
                <w:rFonts w:hint="eastAsia" w:ascii="仿宋_GB2312" w:hAnsi="仿宋_GB2312" w:eastAsia="仿宋_GB2312" w:cs="仿宋_GB2312"/>
                <w:b w:val="0"/>
                <w:bCs w:val="0"/>
                <w:color w:val="auto"/>
                <w:kern w:val="2"/>
                <w:sz w:val="21"/>
                <w:szCs w:val="21"/>
                <w:highlight w:val="none"/>
                <w:vertAlign w:val="baseline"/>
                <w:lang w:val="en-US" w:eastAsia="zh-CN" w:bidi="ar-SA"/>
              </w:rPr>
              <w:t>1人</w:t>
            </w:r>
          </w:p>
        </w:tc>
        <w:tc>
          <w:tcPr>
            <w:tcW w:w="1065" w:type="dxa"/>
            <w:vAlign w:val="center"/>
          </w:tcPr>
          <w:p>
            <w:pPr>
              <w:keepNext w:val="0"/>
              <w:keepLines w:val="0"/>
              <w:pageBreakBefore w:val="0"/>
              <w:widowControl/>
              <w:numPr>
                <w:ilvl w:val="255"/>
                <w:numId w:val="0"/>
              </w:numPr>
              <w:kinsoku/>
              <w:wordWrap/>
              <w:overflowPunct/>
              <w:topLinePunct w:val="0"/>
              <w:autoSpaceDE/>
              <w:autoSpaceDN/>
              <w:bidi w:val="0"/>
              <w:adjustRightInd/>
              <w:snapToGrid/>
              <w:spacing w:line="380" w:lineRule="exact"/>
              <w:ind w:left="0" w:leftChars="0" w:firstLine="0" w:firstLineChars="0"/>
              <w:jc w:val="center"/>
              <w:textAlignment w:val="auto"/>
              <w:outlineLvl w:val="9"/>
              <w:rPr>
                <w:rFonts w:hint="eastAsia" w:ascii="仿宋_GB2312" w:hAnsi="仿宋_GB2312" w:eastAsia="仿宋_GB2312" w:cs="仿宋_GB2312"/>
                <w:b w:val="0"/>
                <w:bCs w:val="0"/>
                <w:color w:val="auto"/>
                <w:kern w:val="2"/>
                <w:sz w:val="21"/>
                <w:szCs w:val="21"/>
                <w:highlight w:val="none"/>
                <w:vertAlign w:val="baseline"/>
                <w:lang w:val="en-US" w:eastAsia="zh-CN" w:bidi="ar-SA"/>
              </w:rPr>
            </w:pPr>
            <w:r>
              <w:rPr>
                <w:rFonts w:hint="eastAsia" w:ascii="仿宋_GB2312" w:hAnsi="仿宋_GB2312" w:eastAsia="仿宋_GB2312" w:cs="仿宋_GB2312"/>
                <w:b w:val="0"/>
                <w:bCs w:val="0"/>
                <w:color w:val="auto"/>
                <w:sz w:val="21"/>
                <w:szCs w:val="21"/>
                <w:highlight w:val="none"/>
                <w:vertAlign w:val="baseline"/>
                <w:lang w:val="en-US" w:eastAsia="zh-CN"/>
              </w:rPr>
              <w:t>否</w:t>
            </w:r>
          </w:p>
        </w:tc>
        <w:tc>
          <w:tcPr>
            <w:tcW w:w="1082" w:type="dxa"/>
            <w:vAlign w:val="center"/>
          </w:tcPr>
          <w:p>
            <w:pPr>
              <w:keepNext w:val="0"/>
              <w:keepLines w:val="0"/>
              <w:pageBreakBefore w:val="0"/>
              <w:widowControl/>
              <w:numPr>
                <w:ilvl w:val="255"/>
                <w:numId w:val="0"/>
              </w:numPr>
              <w:kinsoku/>
              <w:wordWrap/>
              <w:overflowPunct/>
              <w:topLinePunct w:val="0"/>
              <w:autoSpaceDE/>
              <w:autoSpaceDN/>
              <w:bidi w:val="0"/>
              <w:adjustRightInd/>
              <w:snapToGrid/>
              <w:spacing w:line="380" w:lineRule="exact"/>
              <w:ind w:left="0" w:leftChars="0" w:firstLine="0" w:firstLineChars="0"/>
              <w:jc w:val="center"/>
              <w:textAlignment w:val="auto"/>
              <w:outlineLvl w:val="9"/>
              <w:rPr>
                <w:rFonts w:hint="eastAsia" w:ascii="仿宋_GB2312" w:hAnsi="仿宋_GB2312" w:eastAsia="仿宋_GB2312" w:cs="仿宋_GB2312"/>
                <w:b w:val="0"/>
                <w:bCs w:val="0"/>
                <w:color w:val="auto"/>
                <w:kern w:val="2"/>
                <w:sz w:val="21"/>
                <w:szCs w:val="21"/>
                <w:highlight w:val="none"/>
                <w:vertAlign w:val="baseline"/>
                <w:lang w:val="en-US" w:eastAsia="zh-CN" w:bidi="ar-SA"/>
              </w:rPr>
            </w:pPr>
          </w:p>
        </w:tc>
        <w:tc>
          <w:tcPr>
            <w:tcW w:w="823" w:type="dxa"/>
            <w:vAlign w:val="center"/>
          </w:tcPr>
          <w:p>
            <w:pPr>
              <w:keepNext w:val="0"/>
              <w:keepLines w:val="0"/>
              <w:pageBreakBefore w:val="0"/>
              <w:widowControl/>
              <w:numPr>
                <w:ilvl w:val="255"/>
                <w:numId w:val="0"/>
              </w:numPr>
              <w:kinsoku/>
              <w:wordWrap/>
              <w:overflowPunct/>
              <w:topLinePunct w:val="0"/>
              <w:autoSpaceDE/>
              <w:autoSpaceDN/>
              <w:bidi w:val="0"/>
              <w:adjustRightInd/>
              <w:snapToGrid/>
              <w:spacing w:line="380" w:lineRule="exact"/>
              <w:ind w:left="0" w:leftChars="0" w:firstLine="0" w:firstLineChars="0"/>
              <w:jc w:val="center"/>
              <w:textAlignment w:val="auto"/>
              <w:outlineLvl w:val="9"/>
              <w:rPr>
                <w:rFonts w:hint="eastAsia" w:ascii="仿宋_GB2312" w:hAnsi="仿宋_GB2312" w:eastAsia="仿宋_GB2312" w:cs="仿宋_GB2312"/>
                <w:b w:val="0"/>
                <w:bCs w:val="0"/>
                <w:color w:val="auto"/>
                <w:kern w:val="2"/>
                <w:sz w:val="21"/>
                <w:szCs w:val="21"/>
                <w:highlight w:val="none"/>
                <w:vertAlign w:val="baseline"/>
                <w:lang w:val="en-US" w:eastAsia="zh-CN" w:bidi="ar-SA"/>
              </w:rPr>
            </w:pPr>
            <w:r>
              <w:rPr>
                <w:rFonts w:hint="eastAsia" w:ascii="仿宋_GB2312" w:hAnsi="仿宋_GB2312" w:eastAsia="仿宋_GB2312" w:cs="仿宋_GB2312"/>
                <w:b w:val="0"/>
                <w:bCs w:val="0"/>
                <w:color w:val="auto"/>
                <w:sz w:val="21"/>
                <w:szCs w:val="21"/>
                <w:highlight w:val="none"/>
                <w:vertAlign w:val="baseline"/>
                <w:lang w:val="en-US" w:eastAsia="zh-CN"/>
              </w:rPr>
              <w:t>法律1人（不驻点）</w:t>
            </w:r>
          </w:p>
        </w:tc>
        <w:tc>
          <w:tcPr>
            <w:tcW w:w="4892" w:type="dxa"/>
            <w:vAlign w:val="top"/>
          </w:tcPr>
          <w:p>
            <w:pPr>
              <w:keepNext w:val="0"/>
              <w:keepLines w:val="0"/>
              <w:pageBreakBefore w:val="0"/>
              <w:widowControl/>
              <w:numPr>
                <w:ilvl w:val="255"/>
                <w:numId w:val="0"/>
              </w:numPr>
              <w:kinsoku/>
              <w:wordWrap/>
              <w:overflowPunct/>
              <w:topLinePunct w:val="0"/>
              <w:autoSpaceDE/>
              <w:autoSpaceDN/>
              <w:bidi w:val="0"/>
              <w:adjustRightInd/>
              <w:snapToGrid/>
              <w:spacing w:line="380" w:lineRule="exact"/>
              <w:ind w:left="0" w:leftChars="0" w:firstLine="0" w:firstLineChars="0"/>
              <w:jc w:val="left"/>
              <w:textAlignment w:val="auto"/>
              <w:outlineLvl w:val="9"/>
              <w:rPr>
                <w:rFonts w:hint="eastAsia" w:ascii="仿宋_GB2312" w:hAnsi="仿宋_GB2312" w:eastAsia="仿宋_GB2312" w:cs="仿宋_GB2312"/>
                <w:b w:val="0"/>
                <w:bCs w:val="0"/>
                <w:color w:val="auto"/>
                <w:kern w:val="2"/>
                <w:sz w:val="21"/>
                <w:szCs w:val="21"/>
                <w:highlight w:val="none"/>
                <w:vertAlign w:val="baseline"/>
                <w:lang w:val="en-US" w:eastAsia="zh-CN" w:bidi="ar-SA"/>
              </w:rPr>
            </w:pPr>
            <w:r>
              <w:rPr>
                <w:rFonts w:hint="eastAsia" w:ascii="仿宋_GB2312" w:hAnsi="仿宋_GB2312" w:eastAsia="仿宋_GB2312" w:cs="仿宋_GB2312"/>
                <w:b w:val="0"/>
                <w:bCs w:val="0"/>
                <w:color w:val="auto"/>
                <w:sz w:val="21"/>
                <w:szCs w:val="21"/>
                <w:highlight w:val="none"/>
                <w:vertAlign w:val="baseline"/>
                <w:lang w:val="en-US" w:eastAsia="zh-CN"/>
              </w:rPr>
              <w:t>1.提供法律咨询服务，协助、落实法律解决方案和参考意见，及时提供国家有关法律法规信息；2.协助处理重大、复杂、疑难案件等法律事务；3.协助处理各类尚未形成诉讼的纠纷，参与执法过程中的矛盾和冲突处理；4.双方协商确定的其他日常法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894" w:type="dxa"/>
            <w:gridSpan w:val="2"/>
            <w:vAlign w:val="center"/>
          </w:tcPr>
          <w:p>
            <w:pPr>
              <w:keepNext w:val="0"/>
              <w:keepLines w:val="0"/>
              <w:pageBreakBefore w:val="0"/>
              <w:widowControl/>
              <w:numPr>
                <w:ilvl w:val="255"/>
                <w:numId w:val="0"/>
              </w:numPr>
              <w:kinsoku/>
              <w:wordWrap/>
              <w:overflowPunct/>
              <w:topLinePunct w:val="0"/>
              <w:autoSpaceDE/>
              <w:autoSpaceDN/>
              <w:bidi w:val="0"/>
              <w:adjustRightInd/>
              <w:snapToGrid/>
              <w:spacing w:line="380" w:lineRule="exact"/>
              <w:ind w:left="0" w:leftChars="0" w:firstLine="0" w:firstLineChars="0"/>
              <w:jc w:val="center"/>
              <w:textAlignment w:val="auto"/>
              <w:outlineLvl w:val="9"/>
              <w:rPr>
                <w:rFonts w:hint="eastAsia" w:ascii="仿宋_GB2312" w:hAnsi="仿宋_GB2312" w:eastAsia="仿宋_GB2312" w:cs="仿宋_GB2312"/>
                <w:b w:val="0"/>
                <w:bCs w:val="0"/>
                <w:color w:val="auto"/>
                <w:kern w:val="2"/>
                <w:sz w:val="21"/>
                <w:szCs w:val="21"/>
                <w:highlight w:val="none"/>
                <w:vertAlign w:val="baseline"/>
                <w:lang w:val="en-US" w:eastAsia="zh-CN" w:bidi="ar-SA"/>
              </w:rPr>
            </w:pPr>
            <w:r>
              <w:rPr>
                <w:rFonts w:hint="eastAsia" w:ascii="仿宋_GB2312" w:hAnsi="仿宋_GB2312" w:eastAsia="仿宋_GB2312" w:cs="仿宋_GB2312"/>
                <w:b w:val="0"/>
                <w:bCs w:val="0"/>
                <w:color w:val="auto"/>
                <w:sz w:val="21"/>
                <w:szCs w:val="21"/>
                <w:highlight w:val="none"/>
                <w:vertAlign w:val="baseline"/>
                <w:lang w:val="en-US" w:eastAsia="zh-CN"/>
              </w:rPr>
              <w:t>合计：</w:t>
            </w:r>
          </w:p>
        </w:tc>
        <w:tc>
          <w:tcPr>
            <w:tcW w:w="7862" w:type="dxa"/>
            <w:gridSpan w:val="4"/>
            <w:vAlign w:val="center"/>
          </w:tcPr>
          <w:p>
            <w:pPr>
              <w:keepNext w:val="0"/>
              <w:keepLines w:val="0"/>
              <w:pageBreakBefore w:val="0"/>
              <w:widowControl/>
              <w:numPr>
                <w:ilvl w:val="255"/>
                <w:numId w:val="0"/>
              </w:numPr>
              <w:kinsoku/>
              <w:wordWrap/>
              <w:overflowPunct/>
              <w:topLinePunct w:val="0"/>
              <w:autoSpaceDE/>
              <w:autoSpaceDN/>
              <w:bidi w:val="0"/>
              <w:adjustRightInd/>
              <w:snapToGrid/>
              <w:spacing w:line="380" w:lineRule="exact"/>
              <w:ind w:left="0" w:leftChars="0" w:firstLine="0" w:firstLineChars="0"/>
              <w:jc w:val="left"/>
              <w:textAlignment w:val="auto"/>
              <w:outlineLvl w:val="9"/>
              <w:rPr>
                <w:rFonts w:hint="eastAsia" w:ascii="仿宋_GB2312" w:hAnsi="仿宋_GB2312" w:eastAsia="仿宋_GB2312" w:cs="仿宋_GB2312"/>
                <w:b w:val="0"/>
                <w:bCs w:val="0"/>
                <w:color w:val="auto"/>
                <w:sz w:val="21"/>
                <w:szCs w:val="21"/>
                <w:highlight w:val="none"/>
                <w:vertAlign w:val="baseline"/>
                <w:lang w:val="en-US" w:eastAsia="zh-CN"/>
              </w:rPr>
            </w:pPr>
          </w:p>
        </w:tc>
      </w:tr>
    </w:tbl>
    <w:p>
      <w:pPr>
        <w:pStyle w:val="2"/>
        <w:keepNext w:val="0"/>
        <w:keepLines w:val="0"/>
        <w:pageBreakBefore w:val="0"/>
        <w:kinsoku/>
        <w:wordWrap/>
        <w:overflowPunct/>
        <w:topLinePunct w:val="0"/>
        <w:autoSpaceDE/>
        <w:autoSpaceDN/>
        <w:bidi w:val="0"/>
        <w:spacing w:line="380" w:lineRule="exact"/>
        <w:textAlignment w:val="auto"/>
        <w:rPr>
          <w:rFonts w:hint="eastAsia" w:ascii="仿宋_GB2312" w:hAnsi="仿宋_GB2312" w:eastAsia="仿宋_GB2312" w:cs="仿宋_GB2312"/>
          <w:b w:val="0"/>
          <w:bCs w:val="0"/>
          <w:color w:val="auto"/>
          <w:sz w:val="32"/>
          <w:szCs w:val="32"/>
          <w:highlight w:val="none"/>
          <w:lang w:val="en-US" w:eastAsia="zh-CN"/>
        </w:rPr>
      </w:pPr>
    </w:p>
    <w:p>
      <w:pPr>
        <w:pStyle w:val="2"/>
        <w:keepNext w:val="0"/>
        <w:keepLines w:val="0"/>
        <w:pageBreakBefore w:val="0"/>
        <w:kinsoku/>
        <w:wordWrap/>
        <w:overflowPunct/>
        <w:topLinePunct w:val="0"/>
        <w:autoSpaceDE/>
        <w:autoSpaceDN/>
        <w:bidi w:val="0"/>
        <w:spacing w:line="420" w:lineRule="exact"/>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lang w:val="en-US" w:eastAsia="zh-CN"/>
        </w:rPr>
        <w:t>3、综合治理办公室</w:t>
      </w:r>
    </w:p>
    <w:p>
      <w:pPr>
        <w:keepNext w:val="0"/>
        <w:keepLines w:val="0"/>
        <w:pageBreakBefore w:val="0"/>
        <w:numPr>
          <w:ilvl w:val="255"/>
          <w:numId w:val="0"/>
        </w:numPr>
        <w:kinsoku/>
        <w:wordWrap/>
        <w:overflowPunct/>
        <w:topLinePunct w:val="0"/>
        <w:autoSpaceDE/>
        <w:autoSpaceDN/>
        <w:bidi w:val="0"/>
        <w:adjustRightInd w:val="0"/>
        <w:snapToGrid w:val="0"/>
        <w:spacing w:line="420" w:lineRule="exact"/>
        <w:jc w:val="left"/>
        <w:textAlignment w:val="auto"/>
        <w:outlineLvl w:val="9"/>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投标</w:t>
      </w:r>
      <w:r>
        <w:rPr>
          <w:rFonts w:hint="eastAsia" w:ascii="仿宋_GB2312" w:hAnsi="仿宋_GB2312" w:eastAsia="仿宋_GB2312" w:cs="仿宋_GB2312"/>
          <w:b w:val="0"/>
          <w:bCs w:val="0"/>
          <w:color w:val="auto"/>
          <w:sz w:val="28"/>
          <w:szCs w:val="28"/>
          <w:highlight w:val="none"/>
          <w:lang w:val="en-US" w:eastAsia="zh-CN"/>
        </w:rPr>
        <w:t>单位</w:t>
      </w:r>
      <w:r>
        <w:rPr>
          <w:rFonts w:hint="eastAsia" w:ascii="仿宋_GB2312" w:hAnsi="仿宋_GB2312" w:eastAsia="仿宋_GB2312" w:cs="仿宋_GB2312"/>
          <w:b w:val="0"/>
          <w:bCs w:val="0"/>
          <w:color w:val="auto"/>
          <w:sz w:val="28"/>
          <w:szCs w:val="28"/>
          <w:highlight w:val="none"/>
        </w:rPr>
        <w:t>名称：</w:t>
      </w:r>
      <w:r>
        <w:rPr>
          <w:rFonts w:hint="eastAsia" w:ascii="仿宋_GB2312" w:hAnsi="仿宋_GB2312" w:eastAsia="仿宋_GB2312" w:cs="仿宋_GB2312"/>
          <w:b w:val="0"/>
          <w:bCs w:val="0"/>
          <w:color w:val="auto"/>
          <w:sz w:val="28"/>
          <w:szCs w:val="28"/>
          <w:highlight w:val="none"/>
          <w:u w:val="single"/>
        </w:rPr>
        <w:t xml:space="preserve">                      </w:t>
      </w:r>
      <w:r>
        <w:rPr>
          <w:rFonts w:hint="eastAsia" w:ascii="仿宋_GB2312" w:hAnsi="仿宋_GB2312" w:eastAsia="仿宋_GB2312" w:cs="仿宋_GB2312"/>
          <w:b w:val="0"/>
          <w:bCs w:val="0"/>
          <w:color w:val="auto"/>
          <w:sz w:val="28"/>
          <w:szCs w:val="28"/>
          <w:highlight w:val="none"/>
        </w:rPr>
        <w:t xml:space="preserve">                   </w:t>
      </w:r>
    </w:p>
    <w:p>
      <w:pPr>
        <w:keepNext w:val="0"/>
        <w:keepLines w:val="0"/>
        <w:pageBreakBefore w:val="0"/>
        <w:numPr>
          <w:ilvl w:val="255"/>
          <w:numId w:val="0"/>
        </w:numPr>
        <w:kinsoku/>
        <w:wordWrap/>
        <w:overflowPunct/>
        <w:topLinePunct w:val="0"/>
        <w:autoSpaceDE/>
        <w:autoSpaceDN/>
        <w:bidi w:val="0"/>
        <w:adjustRightInd w:val="0"/>
        <w:snapToGrid w:val="0"/>
        <w:spacing w:line="420" w:lineRule="exact"/>
        <w:jc w:val="left"/>
        <w:textAlignment w:val="auto"/>
        <w:outlineLvl w:val="9"/>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投标</w:t>
      </w:r>
      <w:r>
        <w:rPr>
          <w:rFonts w:hint="eastAsia" w:ascii="仿宋_GB2312" w:hAnsi="仿宋_GB2312" w:eastAsia="仿宋_GB2312" w:cs="仿宋_GB2312"/>
          <w:b w:val="0"/>
          <w:bCs w:val="0"/>
          <w:color w:val="auto"/>
          <w:sz w:val="28"/>
          <w:szCs w:val="28"/>
          <w:highlight w:val="none"/>
          <w:lang w:val="en-US" w:eastAsia="zh-CN"/>
        </w:rPr>
        <w:t>单位</w:t>
      </w:r>
      <w:r>
        <w:rPr>
          <w:rFonts w:hint="eastAsia" w:ascii="仿宋_GB2312" w:hAnsi="仿宋_GB2312" w:eastAsia="仿宋_GB2312" w:cs="仿宋_GB2312"/>
          <w:b w:val="0"/>
          <w:bCs w:val="0"/>
          <w:color w:val="auto"/>
          <w:sz w:val="28"/>
          <w:szCs w:val="28"/>
          <w:highlight w:val="none"/>
        </w:rPr>
        <w:t>代表姓名：</w:t>
      </w:r>
      <w:r>
        <w:rPr>
          <w:rFonts w:hint="eastAsia" w:ascii="仿宋_GB2312" w:hAnsi="仿宋_GB2312" w:eastAsia="仿宋_GB2312" w:cs="仿宋_GB2312"/>
          <w:b w:val="0"/>
          <w:bCs w:val="0"/>
          <w:color w:val="auto"/>
          <w:sz w:val="28"/>
          <w:szCs w:val="28"/>
          <w:highlight w:val="none"/>
          <w:u w:val="single"/>
        </w:rPr>
        <w:t xml:space="preserve">                   </w:t>
      </w:r>
      <w:r>
        <w:rPr>
          <w:rFonts w:hint="eastAsia" w:ascii="仿宋_GB2312" w:hAnsi="仿宋_GB2312" w:eastAsia="仿宋_GB2312" w:cs="仿宋_GB2312"/>
          <w:b w:val="0"/>
          <w:bCs w:val="0"/>
          <w:color w:val="auto"/>
          <w:sz w:val="28"/>
          <w:szCs w:val="28"/>
          <w:highlight w:val="none"/>
        </w:rPr>
        <w:t xml:space="preserve">     </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4"/>
        <w:gridCol w:w="990"/>
        <w:gridCol w:w="1020"/>
        <w:gridCol w:w="870"/>
        <w:gridCol w:w="1080"/>
        <w:gridCol w:w="4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numPr>
                <w:ilvl w:val="255"/>
                <w:numId w:val="0"/>
              </w:numPr>
              <w:kinsoku/>
              <w:wordWrap/>
              <w:overflowPunct/>
              <w:topLinePunct w:val="0"/>
              <w:autoSpaceDE/>
              <w:autoSpaceDN/>
              <w:bidi w:val="0"/>
              <w:adjustRightInd/>
              <w:snapToGrid/>
              <w:spacing w:line="420" w:lineRule="exact"/>
              <w:ind w:left="0" w:leftChars="0" w:firstLine="0" w:firstLineChars="0"/>
              <w:jc w:val="center"/>
              <w:textAlignment w:val="auto"/>
              <w:outlineLvl w:val="9"/>
              <w:rPr>
                <w:rFonts w:hint="eastAsia" w:ascii="仿宋_GB2312" w:hAnsi="仿宋_GB2312" w:eastAsia="仿宋_GB2312" w:cs="仿宋_GB2312"/>
                <w:b w:val="0"/>
                <w:bCs w:val="0"/>
                <w:color w:val="auto"/>
                <w:kern w:val="2"/>
                <w:sz w:val="18"/>
                <w:szCs w:val="18"/>
                <w:highlight w:val="none"/>
                <w:vertAlign w:val="baseline"/>
                <w:lang w:val="en-US" w:eastAsia="zh-CN" w:bidi="ar-SA"/>
              </w:rPr>
            </w:pPr>
            <w:r>
              <w:rPr>
                <w:rFonts w:hint="eastAsia" w:ascii="仿宋_GB2312" w:hAnsi="仿宋_GB2312" w:eastAsia="仿宋_GB2312" w:cs="仿宋_GB2312"/>
                <w:b w:val="0"/>
                <w:bCs w:val="0"/>
                <w:color w:val="auto"/>
                <w:sz w:val="18"/>
                <w:szCs w:val="18"/>
                <w:highlight w:val="none"/>
                <w:vertAlign w:val="baseline"/>
                <w:lang w:val="en-US" w:eastAsia="zh-CN"/>
              </w:rPr>
              <w:t>项目</w:t>
            </w:r>
          </w:p>
        </w:tc>
        <w:tc>
          <w:tcPr>
            <w:tcW w:w="990" w:type="dxa"/>
            <w:vAlign w:val="center"/>
          </w:tcPr>
          <w:p>
            <w:pPr>
              <w:keepNext w:val="0"/>
              <w:keepLines w:val="0"/>
              <w:pageBreakBefore w:val="0"/>
              <w:widowControl/>
              <w:numPr>
                <w:ilvl w:val="255"/>
                <w:numId w:val="0"/>
              </w:numPr>
              <w:kinsoku/>
              <w:wordWrap/>
              <w:overflowPunct/>
              <w:topLinePunct w:val="0"/>
              <w:autoSpaceDE/>
              <w:autoSpaceDN/>
              <w:bidi w:val="0"/>
              <w:adjustRightInd/>
              <w:snapToGrid/>
              <w:spacing w:line="420" w:lineRule="exact"/>
              <w:ind w:left="0" w:leftChars="0" w:firstLine="0" w:firstLineChars="0"/>
              <w:jc w:val="center"/>
              <w:textAlignment w:val="auto"/>
              <w:outlineLvl w:val="9"/>
              <w:rPr>
                <w:rFonts w:hint="eastAsia" w:ascii="仿宋_GB2312" w:hAnsi="仿宋_GB2312" w:eastAsia="仿宋_GB2312" w:cs="仿宋_GB2312"/>
                <w:b w:val="0"/>
                <w:bCs w:val="0"/>
                <w:color w:val="auto"/>
                <w:kern w:val="2"/>
                <w:sz w:val="18"/>
                <w:szCs w:val="18"/>
                <w:highlight w:val="none"/>
                <w:vertAlign w:val="baseline"/>
                <w:lang w:val="en-US" w:eastAsia="zh-CN" w:bidi="ar-SA"/>
              </w:rPr>
            </w:pPr>
            <w:r>
              <w:rPr>
                <w:rFonts w:hint="eastAsia" w:ascii="仿宋_GB2312" w:hAnsi="仿宋_GB2312" w:eastAsia="仿宋_GB2312" w:cs="仿宋_GB2312"/>
                <w:b w:val="0"/>
                <w:bCs w:val="0"/>
                <w:color w:val="auto"/>
                <w:sz w:val="18"/>
                <w:szCs w:val="18"/>
                <w:highlight w:val="none"/>
                <w:vertAlign w:val="baseline"/>
                <w:lang w:val="en-US" w:eastAsia="zh-CN"/>
              </w:rPr>
              <w:t>律师人数</w:t>
            </w:r>
          </w:p>
        </w:tc>
        <w:tc>
          <w:tcPr>
            <w:tcW w:w="1020" w:type="dxa"/>
            <w:vAlign w:val="center"/>
          </w:tcPr>
          <w:p>
            <w:pPr>
              <w:keepNext w:val="0"/>
              <w:keepLines w:val="0"/>
              <w:pageBreakBefore w:val="0"/>
              <w:widowControl/>
              <w:numPr>
                <w:ilvl w:val="255"/>
                <w:numId w:val="0"/>
              </w:numPr>
              <w:kinsoku/>
              <w:wordWrap/>
              <w:overflowPunct/>
              <w:topLinePunct w:val="0"/>
              <w:autoSpaceDE/>
              <w:autoSpaceDN/>
              <w:bidi w:val="0"/>
              <w:adjustRightInd/>
              <w:snapToGrid/>
              <w:spacing w:line="420" w:lineRule="exact"/>
              <w:ind w:left="0" w:leftChars="0" w:firstLine="0" w:firstLineChars="0"/>
              <w:jc w:val="center"/>
              <w:textAlignment w:val="auto"/>
              <w:outlineLvl w:val="9"/>
              <w:rPr>
                <w:rFonts w:hint="eastAsia" w:ascii="仿宋_GB2312" w:hAnsi="仿宋_GB2312" w:eastAsia="仿宋_GB2312" w:cs="仿宋_GB2312"/>
                <w:b w:val="0"/>
                <w:bCs w:val="0"/>
                <w:color w:val="auto"/>
                <w:kern w:val="2"/>
                <w:sz w:val="18"/>
                <w:szCs w:val="18"/>
                <w:highlight w:val="none"/>
                <w:vertAlign w:val="baseline"/>
                <w:lang w:val="en-US" w:eastAsia="zh-CN" w:bidi="ar-SA"/>
              </w:rPr>
            </w:pPr>
            <w:r>
              <w:rPr>
                <w:rFonts w:hint="eastAsia" w:ascii="仿宋_GB2312" w:hAnsi="仿宋_GB2312" w:eastAsia="仿宋_GB2312" w:cs="仿宋_GB2312"/>
                <w:b w:val="0"/>
                <w:bCs w:val="0"/>
                <w:color w:val="auto"/>
                <w:sz w:val="18"/>
                <w:szCs w:val="18"/>
                <w:highlight w:val="none"/>
                <w:vertAlign w:val="baseline"/>
                <w:lang w:val="en-US" w:eastAsia="zh-CN"/>
              </w:rPr>
              <w:t>是否执法律 师</w:t>
            </w:r>
          </w:p>
        </w:tc>
        <w:tc>
          <w:tcPr>
            <w:tcW w:w="870" w:type="dxa"/>
            <w:vAlign w:val="center"/>
          </w:tcPr>
          <w:p>
            <w:pPr>
              <w:keepNext w:val="0"/>
              <w:keepLines w:val="0"/>
              <w:pageBreakBefore w:val="0"/>
              <w:widowControl/>
              <w:numPr>
                <w:ilvl w:val="255"/>
                <w:numId w:val="0"/>
              </w:numPr>
              <w:kinsoku/>
              <w:wordWrap/>
              <w:overflowPunct/>
              <w:topLinePunct w:val="0"/>
              <w:autoSpaceDE/>
              <w:autoSpaceDN/>
              <w:bidi w:val="0"/>
              <w:adjustRightInd/>
              <w:snapToGrid/>
              <w:spacing w:line="420" w:lineRule="exact"/>
              <w:jc w:val="center"/>
              <w:textAlignment w:val="auto"/>
              <w:outlineLvl w:val="9"/>
              <w:rPr>
                <w:rFonts w:hint="eastAsia" w:ascii="仿宋_GB2312" w:hAnsi="仿宋_GB2312" w:eastAsia="仿宋_GB2312" w:cs="仿宋_GB2312"/>
                <w:b w:val="0"/>
                <w:bCs w:val="0"/>
                <w:color w:val="auto"/>
                <w:sz w:val="18"/>
                <w:szCs w:val="18"/>
                <w:highlight w:val="none"/>
                <w:vertAlign w:val="baseline"/>
                <w:lang w:val="en-US" w:eastAsia="zh-CN"/>
              </w:rPr>
            </w:pPr>
            <w:r>
              <w:rPr>
                <w:rFonts w:hint="eastAsia" w:ascii="仿宋_GB2312" w:hAnsi="仿宋_GB2312" w:eastAsia="仿宋_GB2312" w:cs="仿宋_GB2312"/>
                <w:b w:val="0"/>
                <w:bCs w:val="0"/>
                <w:color w:val="auto"/>
                <w:sz w:val="18"/>
                <w:szCs w:val="18"/>
                <w:highlight w:val="none"/>
                <w:vertAlign w:val="baseline"/>
                <w:lang w:val="en-US" w:eastAsia="zh-CN"/>
              </w:rPr>
              <w:t>费用</w:t>
            </w:r>
          </w:p>
          <w:p>
            <w:pPr>
              <w:keepNext w:val="0"/>
              <w:keepLines w:val="0"/>
              <w:pageBreakBefore w:val="0"/>
              <w:widowControl/>
              <w:numPr>
                <w:ilvl w:val="255"/>
                <w:numId w:val="0"/>
              </w:numPr>
              <w:kinsoku/>
              <w:wordWrap/>
              <w:overflowPunct/>
              <w:topLinePunct w:val="0"/>
              <w:autoSpaceDE/>
              <w:autoSpaceDN/>
              <w:bidi w:val="0"/>
              <w:adjustRightInd/>
              <w:snapToGrid/>
              <w:spacing w:line="420" w:lineRule="exact"/>
              <w:ind w:left="0" w:leftChars="0" w:firstLine="0" w:firstLineChars="0"/>
              <w:jc w:val="center"/>
              <w:textAlignment w:val="auto"/>
              <w:outlineLvl w:val="9"/>
              <w:rPr>
                <w:rFonts w:hint="eastAsia" w:ascii="仿宋_GB2312" w:hAnsi="仿宋_GB2312" w:eastAsia="仿宋_GB2312" w:cs="仿宋_GB2312"/>
                <w:b w:val="0"/>
                <w:bCs w:val="0"/>
                <w:color w:val="auto"/>
                <w:kern w:val="2"/>
                <w:sz w:val="18"/>
                <w:szCs w:val="18"/>
                <w:highlight w:val="none"/>
                <w:vertAlign w:val="baseline"/>
                <w:lang w:val="en-US" w:eastAsia="zh-CN" w:bidi="ar-SA"/>
              </w:rPr>
            </w:pPr>
            <w:r>
              <w:rPr>
                <w:rFonts w:hint="eastAsia" w:ascii="仿宋_GB2312" w:hAnsi="仿宋_GB2312" w:eastAsia="仿宋_GB2312" w:cs="仿宋_GB2312"/>
                <w:b w:val="0"/>
                <w:bCs w:val="0"/>
                <w:color w:val="auto"/>
                <w:sz w:val="18"/>
                <w:szCs w:val="18"/>
                <w:highlight w:val="none"/>
                <w:vertAlign w:val="baseline"/>
                <w:lang w:val="en-US" w:eastAsia="zh-CN"/>
              </w:rPr>
              <w:t>（万元）</w:t>
            </w:r>
          </w:p>
        </w:tc>
        <w:tc>
          <w:tcPr>
            <w:tcW w:w="1080" w:type="dxa"/>
            <w:vAlign w:val="center"/>
          </w:tcPr>
          <w:p>
            <w:pPr>
              <w:keepNext w:val="0"/>
              <w:keepLines w:val="0"/>
              <w:pageBreakBefore w:val="0"/>
              <w:widowControl/>
              <w:numPr>
                <w:ilvl w:val="255"/>
                <w:numId w:val="0"/>
              </w:numPr>
              <w:kinsoku/>
              <w:wordWrap/>
              <w:overflowPunct/>
              <w:topLinePunct w:val="0"/>
              <w:autoSpaceDE/>
              <w:autoSpaceDN/>
              <w:bidi w:val="0"/>
              <w:adjustRightInd/>
              <w:snapToGrid/>
              <w:spacing w:line="420" w:lineRule="exact"/>
              <w:ind w:left="0" w:leftChars="0" w:firstLine="0" w:firstLineChars="0"/>
              <w:jc w:val="center"/>
              <w:textAlignment w:val="auto"/>
              <w:outlineLvl w:val="9"/>
              <w:rPr>
                <w:rFonts w:hint="eastAsia" w:ascii="仿宋_GB2312" w:hAnsi="仿宋_GB2312" w:eastAsia="仿宋_GB2312" w:cs="仿宋_GB2312"/>
                <w:b w:val="0"/>
                <w:bCs w:val="0"/>
                <w:color w:val="auto"/>
                <w:kern w:val="2"/>
                <w:sz w:val="18"/>
                <w:szCs w:val="18"/>
                <w:highlight w:val="none"/>
                <w:vertAlign w:val="baseline"/>
                <w:lang w:val="en-US" w:eastAsia="zh-CN" w:bidi="ar-SA"/>
              </w:rPr>
            </w:pPr>
            <w:r>
              <w:rPr>
                <w:rFonts w:hint="eastAsia" w:ascii="仿宋_GB2312" w:hAnsi="仿宋_GB2312" w:eastAsia="仿宋_GB2312" w:cs="仿宋_GB2312"/>
                <w:b w:val="0"/>
                <w:bCs w:val="0"/>
                <w:color w:val="auto"/>
                <w:sz w:val="18"/>
                <w:szCs w:val="18"/>
                <w:highlight w:val="none"/>
                <w:vertAlign w:val="baseline"/>
                <w:lang w:val="en-US" w:eastAsia="zh-CN"/>
              </w:rPr>
              <w:t>驻点人数</w:t>
            </w:r>
          </w:p>
        </w:tc>
        <w:tc>
          <w:tcPr>
            <w:tcW w:w="4167" w:type="dxa"/>
            <w:vAlign w:val="center"/>
          </w:tcPr>
          <w:p>
            <w:pPr>
              <w:keepNext w:val="0"/>
              <w:keepLines w:val="0"/>
              <w:pageBreakBefore w:val="0"/>
              <w:widowControl/>
              <w:numPr>
                <w:ilvl w:val="255"/>
                <w:numId w:val="0"/>
              </w:numPr>
              <w:kinsoku/>
              <w:wordWrap/>
              <w:overflowPunct/>
              <w:topLinePunct w:val="0"/>
              <w:autoSpaceDE/>
              <w:autoSpaceDN/>
              <w:bidi w:val="0"/>
              <w:adjustRightInd/>
              <w:snapToGrid/>
              <w:spacing w:line="420" w:lineRule="exact"/>
              <w:ind w:left="0" w:leftChars="0" w:firstLine="0" w:firstLineChars="0"/>
              <w:jc w:val="center"/>
              <w:textAlignment w:val="auto"/>
              <w:outlineLvl w:val="9"/>
              <w:rPr>
                <w:rFonts w:hint="eastAsia" w:ascii="仿宋_GB2312" w:hAnsi="仿宋_GB2312" w:eastAsia="仿宋_GB2312" w:cs="仿宋_GB2312"/>
                <w:b w:val="0"/>
                <w:bCs w:val="0"/>
                <w:color w:val="auto"/>
                <w:kern w:val="2"/>
                <w:sz w:val="18"/>
                <w:szCs w:val="18"/>
                <w:highlight w:val="none"/>
                <w:vertAlign w:val="baseline"/>
                <w:lang w:val="en-US" w:eastAsia="zh-CN" w:bidi="ar-SA"/>
              </w:rPr>
            </w:pPr>
            <w:r>
              <w:rPr>
                <w:rFonts w:hint="eastAsia" w:ascii="仿宋_GB2312" w:hAnsi="仿宋_GB2312" w:eastAsia="仿宋_GB2312" w:cs="仿宋_GB2312"/>
                <w:b w:val="0"/>
                <w:bCs w:val="0"/>
                <w:color w:val="auto"/>
                <w:sz w:val="18"/>
                <w:szCs w:val="18"/>
                <w:highlight w:val="none"/>
                <w:vertAlign w:val="baseline"/>
                <w:lang w:val="en-US" w:eastAsia="zh-CN"/>
              </w:rPr>
              <w:t>法律顾问工作职责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numPr>
                <w:ilvl w:val="255"/>
                <w:numId w:val="0"/>
              </w:numPr>
              <w:kinsoku/>
              <w:wordWrap/>
              <w:overflowPunct/>
              <w:topLinePunct w:val="0"/>
              <w:autoSpaceDE/>
              <w:autoSpaceDN/>
              <w:bidi w:val="0"/>
              <w:adjustRightInd/>
              <w:snapToGrid/>
              <w:spacing w:line="420" w:lineRule="exact"/>
              <w:ind w:left="0" w:leftChars="0" w:firstLine="0" w:firstLineChars="0"/>
              <w:jc w:val="center"/>
              <w:textAlignment w:val="auto"/>
              <w:outlineLvl w:val="9"/>
              <w:rPr>
                <w:rFonts w:hint="eastAsia" w:ascii="仿宋_GB2312" w:hAnsi="仿宋_GB2312" w:eastAsia="仿宋_GB2312" w:cs="仿宋_GB2312"/>
                <w:b w:val="0"/>
                <w:bCs w:val="0"/>
                <w:color w:val="auto"/>
                <w:kern w:val="2"/>
                <w:sz w:val="18"/>
                <w:szCs w:val="18"/>
                <w:highlight w:val="none"/>
                <w:vertAlign w:val="baseline"/>
                <w:lang w:val="en-US" w:eastAsia="zh-CN" w:bidi="ar-SA"/>
              </w:rPr>
            </w:pPr>
            <w:r>
              <w:rPr>
                <w:rFonts w:hint="eastAsia" w:ascii="仿宋_GB2312" w:hAnsi="仿宋_GB2312" w:eastAsia="仿宋_GB2312" w:cs="仿宋_GB2312"/>
                <w:b w:val="0"/>
                <w:bCs w:val="0"/>
                <w:color w:val="auto"/>
                <w:sz w:val="18"/>
                <w:szCs w:val="18"/>
                <w:highlight w:val="none"/>
                <w:vertAlign w:val="baseline"/>
                <w:lang w:val="en-US" w:eastAsia="zh-CN"/>
              </w:rPr>
              <w:t>C包</w:t>
            </w:r>
          </w:p>
        </w:tc>
        <w:tc>
          <w:tcPr>
            <w:tcW w:w="990" w:type="dxa"/>
            <w:vAlign w:val="center"/>
          </w:tcPr>
          <w:p>
            <w:pPr>
              <w:keepNext w:val="0"/>
              <w:keepLines w:val="0"/>
              <w:pageBreakBefore w:val="0"/>
              <w:widowControl/>
              <w:numPr>
                <w:ilvl w:val="255"/>
                <w:numId w:val="0"/>
              </w:numPr>
              <w:kinsoku/>
              <w:wordWrap/>
              <w:overflowPunct/>
              <w:topLinePunct w:val="0"/>
              <w:autoSpaceDE/>
              <w:autoSpaceDN/>
              <w:bidi w:val="0"/>
              <w:adjustRightInd/>
              <w:snapToGrid/>
              <w:spacing w:line="420" w:lineRule="exact"/>
              <w:ind w:left="0" w:leftChars="0" w:firstLine="0" w:firstLineChars="0"/>
              <w:jc w:val="center"/>
              <w:textAlignment w:val="auto"/>
              <w:outlineLvl w:val="9"/>
              <w:rPr>
                <w:rFonts w:hint="eastAsia" w:ascii="仿宋_GB2312" w:hAnsi="仿宋_GB2312" w:eastAsia="仿宋_GB2312" w:cs="仿宋_GB2312"/>
                <w:b w:val="0"/>
                <w:bCs w:val="0"/>
                <w:color w:val="auto"/>
                <w:kern w:val="2"/>
                <w:sz w:val="18"/>
                <w:szCs w:val="18"/>
                <w:highlight w:val="none"/>
                <w:vertAlign w:val="baseline"/>
                <w:lang w:val="en-US" w:eastAsia="zh-CN" w:bidi="ar-SA"/>
              </w:rPr>
            </w:pPr>
            <w:r>
              <w:rPr>
                <w:rFonts w:hint="eastAsia" w:ascii="仿宋_GB2312" w:hAnsi="仿宋_GB2312" w:eastAsia="仿宋_GB2312" w:cs="仿宋_GB2312"/>
                <w:b w:val="0"/>
                <w:bCs w:val="0"/>
                <w:color w:val="auto"/>
                <w:kern w:val="2"/>
                <w:sz w:val="18"/>
                <w:szCs w:val="18"/>
                <w:highlight w:val="none"/>
                <w:vertAlign w:val="baseline"/>
                <w:lang w:val="en-US" w:eastAsia="zh-CN" w:bidi="ar-SA"/>
              </w:rPr>
              <w:t>2人</w:t>
            </w:r>
          </w:p>
        </w:tc>
        <w:tc>
          <w:tcPr>
            <w:tcW w:w="1020" w:type="dxa"/>
            <w:vAlign w:val="center"/>
          </w:tcPr>
          <w:p>
            <w:pPr>
              <w:keepNext w:val="0"/>
              <w:keepLines w:val="0"/>
              <w:pageBreakBefore w:val="0"/>
              <w:widowControl/>
              <w:numPr>
                <w:ilvl w:val="255"/>
                <w:numId w:val="0"/>
              </w:numPr>
              <w:kinsoku/>
              <w:wordWrap/>
              <w:overflowPunct/>
              <w:topLinePunct w:val="0"/>
              <w:autoSpaceDE/>
              <w:autoSpaceDN/>
              <w:bidi w:val="0"/>
              <w:adjustRightInd/>
              <w:snapToGrid/>
              <w:spacing w:line="420" w:lineRule="exact"/>
              <w:ind w:left="0" w:leftChars="0" w:firstLine="0" w:firstLineChars="0"/>
              <w:jc w:val="center"/>
              <w:textAlignment w:val="auto"/>
              <w:outlineLvl w:val="9"/>
              <w:rPr>
                <w:rFonts w:hint="eastAsia" w:ascii="仿宋_GB2312" w:hAnsi="仿宋_GB2312" w:eastAsia="仿宋_GB2312" w:cs="仿宋_GB2312"/>
                <w:b w:val="0"/>
                <w:bCs w:val="0"/>
                <w:color w:val="auto"/>
                <w:kern w:val="2"/>
                <w:sz w:val="18"/>
                <w:szCs w:val="18"/>
                <w:highlight w:val="none"/>
                <w:vertAlign w:val="baseline"/>
                <w:lang w:val="en-US" w:eastAsia="zh-CN" w:bidi="ar-SA"/>
              </w:rPr>
            </w:pPr>
            <w:r>
              <w:rPr>
                <w:rFonts w:hint="eastAsia" w:ascii="仿宋_GB2312" w:hAnsi="仿宋_GB2312" w:eastAsia="仿宋_GB2312" w:cs="仿宋_GB2312"/>
                <w:b w:val="0"/>
                <w:bCs w:val="0"/>
                <w:color w:val="auto"/>
                <w:sz w:val="18"/>
                <w:szCs w:val="18"/>
                <w:highlight w:val="none"/>
                <w:vertAlign w:val="baseline"/>
                <w:lang w:val="en-US" w:eastAsia="zh-CN"/>
              </w:rPr>
              <w:t>是</w:t>
            </w:r>
          </w:p>
        </w:tc>
        <w:tc>
          <w:tcPr>
            <w:tcW w:w="870" w:type="dxa"/>
            <w:vAlign w:val="center"/>
          </w:tcPr>
          <w:p>
            <w:pPr>
              <w:keepNext w:val="0"/>
              <w:keepLines w:val="0"/>
              <w:pageBreakBefore w:val="0"/>
              <w:widowControl/>
              <w:numPr>
                <w:ilvl w:val="255"/>
                <w:numId w:val="0"/>
              </w:numPr>
              <w:kinsoku/>
              <w:wordWrap/>
              <w:overflowPunct/>
              <w:topLinePunct w:val="0"/>
              <w:autoSpaceDE/>
              <w:autoSpaceDN/>
              <w:bidi w:val="0"/>
              <w:adjustRightInd/>
              <w:snapToGrid/>
              <w:spacing w:line="420" w:lineRule="exact"/>
              <w:ind w:left="0" w:leftChars="0" w:firstLine="0" w:firstLineChars="0"/>
              <w:jc w:val="center"/>
              <w:textAlignment w:val="auto"/>
              <w:outlineLvl w:val="9"/>
              <w:rPr>
                <w:rFonts w:hint="eastAsia" w:ascii="仿宋_GB2312" w:hAnsi="仿宋_GB2312" w:eastAsia="仿宋_GB2312" w:cs="仿宋_GB2312"/>
                <w:b w:val="0"/>
                <w:bCs w:val="0"/>
                <w:color w:val="auto"/>
                <w:kern w:val="2"/>
                <w:sz w:val="18"/>
                <w:szCs w:val="18"/>
                <w:highlight w:val="none"/>
                <w:vertAlign w:val="baseline"/>
                <w:lang w:val="en-US" w:eastAsia="zh-CN" w:bidi="ar-SA"/>
              </w:rPr>
            </w:pPr>
          </w:p>
        </w:tc>
        <w:tc>
          <w:tcPr>
            <w:tcW w:w="1080" w:type="dxa"/>
            <w:vAlign w:val="center"/>
          </w:tcPr>
          <w:p>
            <w:pPr>
              <w:keepNext w:val="0"/>
              <w:keepLines w:val="0"/>
              <w:pageBreakBefore w:val="0"/>
              <w:widowControl/>
              <w:numPr>
                <w:ilvl w:val="255"/>
                <w:numId w:val="0"/>
              </w:numPr>
              <w:kinsoku/>
              <w:wordWrap/>
              <w:overflowPunct/>
              <w:topLinePunct w:val="0"/>
              <w:autoSpaceDE/>
              <w:autoSpaceDN/>
              <w:bidi w:val="0"/>
              <w:adjustRightInd/>
              <w:snapToGrid/>
              <w:spacing w:line="420" w:lineRule="exact"/>
              <w:ind w:left="0" w:leftChars="0" w:firstLine="0" w:firstLineChars="0"/>
              <w:jc w:val="center"/>
              <w:textAlignment w:val="auto"/>
              <w:outlineLvl w:val="9"/>
              <w:rPr>
                <w:rFonts w:hint="eastAsia" w:ascii="仿宋_GB2312" w:hAnsi="仿宋_GB2312" w:eastAsia="仿宋_GB2312" w:cs="仿宋_GB2312"/>
                <w:b w:val="0"/>
                <w:bCs w:val="0"/>
                <w:color w:val="auto"/>
                <w:kern w:val="2"/>
                <w:sz w:val="18"/>
                <w:szCs w:val="18"/>
                <w:highlight w:val="none"/>
                <w:vertAlign w:val="baseline"/>
                <w:lang w:val="en-US" w:eastAsia="zh-CN" w:bidi="ar-SA"/>
              </w:rPr>
            </w:pPr>
            <w:r>
              <w:rPr>
                <w:rFonts w:hint="eastAsia" w:ascii="仿宋_GB2312" w:hAnsi="仿宋_GB2312" w:eastAsia="仿宋_GB2312" w:cs="仿宋_GB2312"/>
                <w:b w:val="0"/>
                <w:bCs w:val="0"/>
                <w:color w:val="auto"/>
                <w:sz w:val="18"/>
                <w:szCs w:val="18"/>
                <w:highlight w:val="none"/>
                <w:vertAlign w:val="baseline"/>
                <w:lang w:val="en-US" w:eastAsia="zh-CN"/>
              </w:rPr>
              <w:t>律师1人+助理1人</w:t>
            </w:r>
          </w:p>
        </w:tc>
        <w:tc>
          <w:tcPr>
            <w:tcW w:w="4167" w:type="dxa"/>
            <w:vAlign w:val="top"/>
          </w:tcPr>
          <w:p>
            <w:pPr>
              <w:keepNext w:val="0"/>
              <w:keepLines w:val="0"/>
              <w:pageBreakBefore w:val="0"/>
              <w:widowControl/>
              <w:numPr>
                <w:ilvl w:val="255"/>
                <w:numId w:val="0"/>
              </w:numPr>
              <w:kinsoku/>
              <w:wordWrap/>
              <w:overflowPunct/>
              <w:topLinePunct w:val="0"/>
              <w:autoSpaceDE/>
              <w:autoSpaceDN/>
              <w:bidi w:val="0"/>
              <w:adjustRightInd/>
              <w:snapToGrid/>
              <w:spacing w:line="420" w:lineRule="exact"/>
              <w:ind w:left="0" w:leftChars="0" w:firstLine="0" w:firstLineChars="0"/>
              <w:jc w:val="left"/>
              <w:textAlignment w:val="auto"/>
              <w:outlineLvl w:val="9"/>
              <w:rPr>
                <w:rFonts w:hint="eastAsia" w:ascii="仿宋_GB2312" w:hAnsi="仿宋_GB2312" w:eastAsia="仿宋_GB2312" w:cs="仿宋_GB2312"/>
                <w:b w:val="0"/>
                <w:bCs w:val="0"/>
                <w:color w:val="auto"/>
                <w:kern w:val="2"/>
                <w:sz w:val="18"/>
                <w:szCs w:val="18"/>
                <w:highlight w:val="none"/>
                <w:vertAlign w:val="baseline"/>
                <w:lang w:val="en-US" w:eastAsia="zh-CN" w:bidi="ar-SA"/>
              </w:rPr>
            </w:pPr>
            <w:r>
              <w:rPr>
                <w:rFonts w:hint="eastAsia" w:ascii="仿宋_GB2312" w:hAnsi="仿宋_GB2312" w:eastAsia="仿宋_GB2312" w:cs="仿宋_GB2312"/>
                <w:b w:val="0"/>
                <w:bCs w:val="0"/>
                <w:color w:val="auto"/>
                <w:sz w:val="18"/>
                <w:szCs w:val="18"/>
                <w:highlight w:val="none"/>
                <w:vertAlign w:val="baseline"/>
                <w:lang w:val="en-US" w:eastAsia="zh-CN"/>
              </w:rPr>
              <w:t>1.为坪山街道的行政行为和民事行为提供法律意见；2.按照坪山街道的要求，参与处理重大突发性事件、群体性纠纷等重大社会事件以及历史遗留问题；3.代理坪山街道的民事诉讼、行政诉讼、仲裁等法律事务；4.根据坪山街道需要，为尚未配备法律顾问的下设部门，提供法律咨询、重大合同的拟订及修改等服务；5.对提交坪山街道的合同进行合法性审查并提供相应法律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924" w:type="dxa"/>
            <w:gridSpan w:val="2"/>
            <w:vAlign w:val="center"/>
          </w:tcPr>
          <w:p>
            <w:pPr>
              <w:keepNext w:val="0"/>
              <w:keepLines w:val="0"/>
              <w:pageBreakBefore w:val="0"/>
              <w:widowControl/>
              <w:numPr>
                <w:ilvl w:val="255"/>
                <w:numId w:val="0"/>
              </w:numPr>
              <w:kinsoku/>
              <w:wordWrap/>
              <w:overflowPunct/>
              <w:topLinePunct w:val="0"/>
              <w:autoSpaceDE/>
              <w:autoSpaceDN/>
              <w:bidi w:val="0"/>
              <w:adjustRightInd/>
              <w:snapToGrid/>
              <w:spacing w:line="420" w:lineRule="exact"/>
              <w:ind w:left="0" w:leftChars="0" w:firstLine="0" w:firstLineChars="0"/>
              <w:jc w:val="center"/>
              <w:textAlignment w:val="auto"/>
              <w:outlineLvl w:val="9"/>
              <w:rPr>
                <w:rFonts w:hint="eastAsia" w:ascii="仿宋_GB2312" w:hAnsi="仿宋_GB2312" w:eastAsia="仿宋_GB2312" w:cs="仿宋_GB2312"/>
                <w:b w:val="0"/>
                <w:bCs w:val="0"/>
                <w:color w:val="auto"/>
                <w:kern w:val="2"/>
                <w:sz w:val="18"/>
                <w:szCs w:val="18"/>
                <w:highlight w:val="none"/>
                <w:vertAlign w:val="baseline"/>
                <w:lang w:val="en-US" w:eastAsia="zh-CN" w:bidi="ar-SA"/>
              </w:rPr>
            </w:pPr>
            <w:r>
              <w:rPr>
                <w:rFonts w:hint="eastAsia" w:ascii="仿宋_GB2312" w:hAnsi="仿宋_GB2312" w:eastAsia="仿宋_GB2312" w:cs="仿宋_GB2312"/>
                <w:b w:val="0"/>
                <w:bCs w:val="0"/>
                <w:color w:val="auto"/>
                <w:kern w:val="2"/>
                <w:sz w:val="18"/>
                <w:szCs w:val="18"/>
                <w:highlight w:val="none"/>
                <w:vertAlign w:val="baseline"/>
                <w:lang w:val="en-US" w:eastAsia="zh-CN" w:bidi="ar-SA"/>
              </w:rPr>
              <w:t>合计：</w:t>
            </w:r>
          </w:p>
        </w:tc>
        <w:tc>
          <w:tcPr>
            <w:tcW w:w="7137" w:type="dxa"/>
            <w:gridSpan w:val="4"/>
            <w:vAlign w:val="center"/>
          </w:tcPr>
          <w:p>
            <w:pPr>
              <w:keepNext w:val="0"/>
              <w:keepLines w:val="0"/>
              <w:pageBreakBefore w:val="0"/>
              <w:widowControl/>
              <w:numPr>
                <w:ilvl w:val="255"/>
                <w:numId w:val="0"/>
              </w:numPr>
              <w:kinsoku/>
              <w:wordWrap/>
              <w:overflowPunct/>
              <w:topLinePunct w:val="0"/>
              <w:autoSpaceDE/>
              <w:autoSpaceDN/>
              <w:bidi w:val="0"/>
              <w:adjustRightInd/>
              <w:snapToGrid/>
              <w:spacing w:line="420" w:lineRule="exact"/>
              <w:ind w:left="0" w:leftChars="0" w:firstLine="0" w:firstLineChars="0"/>
              <w:jc w:val="left"/>
              <w:textAlignment w:val="auto"/>
              <w:outlineLvl w:val="9"/>
              <w:rPr>
                <w:rFonts w:hint="eastAsia" w:ascii="仿宋_GB2312" w:hAnsi="仿宋_GB2312" w:eastAsia="仿宋_GB2312" w:cs="仿宋_GB2312"/>
                <w:b w:val="0"/>
                <w:bCs w:val="0"/>
                <w:color w:val="auto"/>
                <w:sz w:val="18"/>
                <w:szCs w:val="18"/>
                <w:highlight w:val="none"/>
                <w:vertAlign w:val="baseline"/>
                <w:lang w:val="en-US" w:eastAsia="zh-CN"/>
              </w:rPr>
            </w:pPr>
          </w:p>
        </w:tc>
      </w:tr>
    </w:tbl>
    <w:p>
      <w:pPr>
        <w:keepNext w:val="0"/>
        <w:keepLines w:val="0"/>
        <w:pageBreakBefore w:val="0"/>
        <w:kinsoku/>
        <w:wordWrap/>
        <w:overflowPunct/>
        <w:topLinePunct w:val="0"/>
        <w:autoSpaceDE/>
        <w:autoSpaceDN/>
        <w:bidi w:val="0"/>
        <w:spacing w:after="60" w:line="420" w:lineRule="exact"/>
        <w:textAlignment w:val="auto"/>
        <w:outlineLvl w:val="9"/>
        <w:rPr>
          <w:rFonts w:hint="eastAsia" w:ascii="仿宋_GB2312" w:hAnsi="仿宋_GB2312" w:eastAsia="仿宋_GB2312" w:cs="仿宋_GB2312"/>
          <w:b w:val="0"/>
          <w:bCs w:val="0"/>
          <w:color w:val="auto"/>
          <w:sz w:val="32"/>
          <w:szCs w:val="32"/>
          <w:highlight w:val="none"/>
          <w:lang w:eastAsia="zh-CN"/>
        </w:rPr>
      </w:pPr>
    </w:p>
    <w:p>
      <w:pPr>
        <w:keepNext w:val="0"/>
        <w:keepLines w:val="0"/>
        <w:pageBreakBefore w:val="0"/>
        <w:kinsoku/>
        <w:wordWrap/>
        <w:overflowPunct/>
        <w:topLinePunct w:val="0"/>
        <w:autoSpaceDE/>
        <w:autoSpaceDN/>
        <w:bidi w:val="0"/>
        <w:spacing w:after="60" w:line="420" w:lineRule="exact"/>
        <w:textAlignment w:val="auto"/>
        <w:outlineLvl w:val="9"/>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b w:val="0"/>
          <w:bCs w:val="0"/>
          <w:color w:val="auto"/>
          <w:sz w:val="28"/>
          <w:szCs w:val="28"/>
          <w:highlight w:val="none"/>
          <w:lang w:eastAsia="zh-CN"/>
        </w:rPr>
        <w:t>采购小组签名：</w:t>
      </w:r>
    </w:p>
    <w:sectPr>
      <w:headerReference r:id="rId4" w:type="first"/>
      <w:footerReference r:id="rId6" w:type="first"/>
      <w:headerReference r:id="rId3" w:type="default"/>
      <w:footerReference r:id="rId5" w:type="default"/>
      <w:pgSz w:w="11906" w:h="16838"/>
      <w:pgMar w:top="1984" w:right="1474" w:bottom="2098" w:left="1587"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公文小标宋简">
    <w:altName w:val="方正小标宋_GBK"/>
    <w:panose1 w:val="00000000000000000000"/>
    <w:charset w:val="00"/>
    <w:family w:val="modern"/>
    <w:pitch w:val="default"/>
    <w:sig w:usb0="00000000" w:usb1="00000000" w:usb2="0000001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Arial Unicode MS">
    <w:altName w:val="DejaVu Sans"/>
    <w:panose1 w:val="020B0604020202020204"/>
    <w:charset w:val="86"/>
    <w:family w:val="auto"/>
    <w:pitch w:val="default"/>
    <w:sig w:usb0="00000000" w:usb1="00000000"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Style w:val="20"/>
                              <w:rFonts w:ascii="宋体" w:hAnsi="宋体"/>
                              <w:sz w:val="28"/>
                              <w:szCs w:val="28"/>
                            </w:rPr>
                          </w:pPr>
                          <w:r>
                            <w:rPr>
                              <w:rStyle w:val="20"/>
                              <w:rFonts w:ascii="宋体" w:hAnsi="宋体"/>
                              <w:sz w:val="28"/>
                              <w:szCs w:val="28"/>
                            </w:rPr>
                            <w:fldChar w:fldCharType="begin"/>
                          </w:r>
                          <w:r>
                            <w:rPr>
                              <w:rStyle w:val="20"/>
                              <w:rFonts w:ascii="宋体" w:hAnsi="宋体"/>
                              <w:sz w:val="28"/>
                              <w:szCs w:val="28"/>
                            </w:rPr>
                            <w:instrText xml:space="preserve">PAGE  </w:instrText>
                          </w:r>
                          <w:r>
                            <w:rPr>
                              <w:rStyle w:val="20"/>
                              <w:rFonts w:ascii="宋体" w:hAnsi="宋体"/>
                              <w:sz w:val="28"/>
                              <w:szCs w:val="28"/>
                            </w:rPr>
                            <w:fldChar w:fldCharType="separate"/>
                          </w:r>
                          <w:r>
                            <w:rPr>
                              <w:rStyle w:val="20"/>
                              <w:rFonts w:ascii="宋体" w:hAnsi="宋体"/>
                              <w:sz w:val="28"/>
                              <w:szCs w:val="28"/>
                            </w:rPr>
                            <w:t>2</w:t>
                          </w:r>
                          <w:r>
                            <w:rPr>
                              <w:rStyle w:val="20"/>
                              <w:rFonts w:ascii="宋体" w:hAnsi="宋体"/>
                              <w:sz w:val="28"/>
                              <w:szCs w:val="28"/>
                            </w:rPr>
                            <w:fldChar w:fldCharType="end"/>
                          </w:r>
                        </w:p>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13"/>
                      <w:rPr>
                        <w:rStyle w:val="20"/>
                        <w:rFonts w:ascii="宋体" w:hAnsi="宋体"/>
                        <w:sz w:val="28"/>
                        <w:szCs w:val="28"/>
                      </w:rPr>
                    </w:pPr>
                    <w:r>
                      <w:rPr>
                        <w:rStyle w:val="20"/>
                        <w:rFonts w:ascii="宋体" w:hAnsi="宋体"/>
                        <w:sz w:val="28"/>
                        <w:szCs w:val="28"/>
                      </w:rPr>
                      <w:fldChar w:fldCharType="begin"/>
                    </w:r>
                    <w:r>
                      <w:rPr>
                        <w:rStyle w:val="20"/>
                        <w:rFonts w:ascii="宋体" w:hAnsi="宋体"/>
                        <w:sz w:val="28"/>
                        <w:szCs w:val="28"/>
                      </w:rPr>
                      <w:instrText xml:space="preserve">PAGE  </w:instrText>
                    </w:r>
                    <w:r>
                      <w:rPr>
                        <w:rStyle w:val="20"/>
                        <w:rFonts w:ascii="宋体" w:hAnsi="宋体"/>
                        <w:sz w:val="28"/>
                        <w:szCs w:val="28"/>
                      </w:rPr>
                      <w:fldChar w:fldCharType="separate"/>
                    </w:r>
                    <w:r>
                      <w:rPr>
                        <w:rStyle w:val="20"/>
                        <w:rFonts w:ascii="宋体" w:hAnsi="宋体"/>
                        <w:sz w:val="28"/>
                        <w:szCs w:val="28"/>
                      </w:rPr>
                      <w:t>2</w:t>
                    </w:r>
                    <w:r>
                      <w:rPr>
                        <w:rStyle w:val="20"/>
                        <w:rFonts w:ascii="宋体" w:hAnsi="宋体"/>
                        <w:sz w:val="28"/>
                        <w:szCs w:val="28"/>
                      </w:rPr>
                      <w:fldChar w:fldCharType="end"/>
                    </w:r>
                  </w:p>
                  <w:p/>
                </w:txbxContent>
              </v:textbox>
            </v:shape>
          </w:pict>
        </mc:Fallback>
      </mc:AlternateContent>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0288" behindDoc="0" locked="0" layoutInCell="1" allowOverlap="1">
              <wp:simplePos x="0" y="0"/>
              <wp:positionH relativeFrom="margin">
                <wp:posOffset>4813935</wp:posOffset>
              </wp:positionH>
              <wp:positionV relativeFrom="paragraph">
                <wp:posOffset>-138430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left:379.05pt;margin-top:-10.9pt;height:144pt;width:144pt;mso-position-horizontal-relative:margin;mso-wrap-style:none;z-index:251660288;mso-width-relative:page;mso-height-relative:page;" filled="f" stroked="f" coordsize="21600,21600" o:gfxdata="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bIkIkNgAAAAMAQAADwAAAAAAAAABACAAAAA4AAAAZHJzL2Rvd25yZXYueG1sUEsBAhQA&#10;FAAAAAgAh07iQKAXbrMVAgAAGQQAAA4AAAAAAAAAAQAgAAAAPQEAAGRycy9lMm9Eb2MueG1sUEsF&#10;BgAAAAAGAAYAWQEAAMQFAAAAAA==&#10;">
              <v:fill on="f" focussize="0,0"/>
              <v:stroke on="f" weight="0.5pt"/>
              <v:imagedata o:title=""/>
              <o:lock v:ext="edit" aspectratio="f"/>
              <v:textbox inset="0mm,0mm,0mm,0mm" style="mso-fit-shape-to-text:t;">
                <w:txbxContent>
                  <w:p>
                    <w:pPr>
                      <w:pStyle w:val="1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369290"/>
    <w:multiLevelType w:val="singleLevel"/>
    <w:tmpl w:val="DE36929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725"/>
    <w:rsid w:val="0001211D"/>
    <w:rsid w:val="00017ECA"/>
    <w:rsid w:val="00026F61"/>
    <w:rsid w:val="0008769B"/>
    <w:rsid w:val="000937F0"/>
    <w:rsid w:val="000A3B7C"/>
    <w:rsid w:val="000A435A"/>
    <w:rsid w:val="000C1137"/>
    <w:rsid w:val="000C4093"/>
    <w:rsid w:val="000C48AA"/>
    <w:rsid w:val="000D3133"/>
    <w:rsid w:val="000E4EEE"/>
    <w:rsid w:val="000E4F89"/>
    <w:rsid w:val="000F3F6D"/>
    <w:rsid w:val="00105496"/>
    <w:rsid w:val="0011478A"/>
    <w:rsid w:val="001167D8"/>
    <w:rsid w:val="001306E3"/>
    <w:rsid w:val="00135721"/>
    <w:rsid w:val="0013726E"/>
    <w:rsid w:val="001503D9"/>
    <w:rsid w:val="0016484E"/>
    <w:rsid w:val="00170019"/>
    <w:rsid w:val="00170BE0"/>
    <w:rsid w:val="00172A8E"/>
    <w:rsid w:val="00174DC8"/>
    <w:rsid w:val="00186375"/>
    <w:rsid w:val="00190557"/>
    <w:rsid w:val="001A7A59"/>
    <w:rsid w:val="001B0AC7"/>
    <w:rsid w:val="001B5F5B"/>
    <w:rsid w:val="001B7B5D"/>
    <w:rsid w:val="001C06E3"/>
    <w:rsid w:val="001C3A99"/>
    <w:rsid w:val="001D5EF4"/>
    <w:rsid w:val="001E2A70"/>
    <w:rsid w:val="001E37C3"/>
    <w:rsid w:val="001F0BA8"/>
    <w:rsid w:val="00204097"/>
    <w:rsid w:val="00205F68"/>
    <w:rsid w:val="00215CF6"/>
    <w:rsid w:val="00216717"/>
    <w:rsid w:val="00217B19"/>
    <w:rsid w:val="0022060E"/>
    <w:rsid w:val="00221BDA"/>
    <w:rsid w:val="00225485"/>
    <w:rsid w:val="002342F7"/>
    <w:rsid w:val="00236C7C"/>
    <w:rsid w:val="00250ADC"/>
    <w:rsid w:val="00253D26"/>
    <w:rsid w:val="0028134C"/>
    <w:rsid w:val="00285D09"/>
    <w:rsid w:val="002932D1"/>
    <w:rsid w:val="00295501"/>
    <w:rsid w:val="002A6401"/>
    <w:rsid w:val="002A654A"/>
    <w:rsid w:val="002B412D"/>
    <w:rsid w:val="002C2DB1"/>
    <w:rsid w:val="002C3E3C"/>
    <w:rsid w:val="002C5647"/>
    <w:rsid w:val="002D55BB"/>
    <w:rsid w:val="002D5972"/>
    <w:rsid w:val="002F0CE6"/>
    <w:rsid w:val="002F4014"/>
    <w:rsid w:val="00301FC9"/>
    <w:rsid w:val="00326F61"/>
    <w:rsid w:val="00331061"/>
    <w:rsid w:val="003366E3"/>
    <w:rsid w:val="003369CE"/>
    <w:rsid w:val="00345B5D"/>
    <w:rsid w:val="003516A5"/>
    <w:rsid w:val="00354D39"/>
    <w:rsid w:val="00360A25"/>
    <w:rsid w:val="003650EA"/>
    <w:rsid w:val="003659C7"/>
    <w:rsid w:val="00383BF8"/>
    <w:rsid w:val="003D381D"/>
    <w:rsid w:val="003E5A4B"/>
    <w:rsid w:val="003F04B1"/>
    <w:rsid w:val="003F3E1B"/>
    <w:rsid w:val="00411A09"/>
    <w:rsid w:val="00414AD3"/>
    <w:rsid w:val="00415CC6"/>
    <w:rsid w:val="004229EE"/>
    <w:rsid w:val="004400FD"/>
    <w:rsid w:val="0044255C"/>
    <w:rsid w:val="004557A3"/>
    <w:rsid w:val="00463762"/>
    <w:rsid w:val="004823FA"/>
    <w:rsid w:val="004835F6"/>
    <w:rsid w:val="00492FF2"/>
    <w:rsid w:val="00495E40"/>
    <w:rsid w:val="004A1D8A"/>
    <w:rsid w:val="004A2EBA"/>
    <w:rsid w:val="004B2867"/>
    <w:rsid w:val="004B7001"/>
    <w:rsid w:val="004D158F"/>
    <w:rsid w:val="004E28C4"/>
    <w:rsid w:val="004E45D9"/>
    <w:rsid w:val="00501A9A"/>
    <w:rsid w:val="00502128"/>
    <w:rsid w:val="00502A62"/>
    <w:rsid w:val="00506633"/>
    <w:rsid w:val="00511466"/>
    <w:rsid w:val="00517930"/>
    <w:rsid w:val="00523E52"/>
    <w:rsid w:val="0054165F"/>
    <w:rsid w:val="0056754B"/>
    <w:rsid w:val="00575506"/>
    <w:rsid w:val="00592D72"/>
    <w:rsid w:val="0059797A"/>
    <w:rsid w:val="005A3E33"/>
    <w:rsid w:val="005B45C2"/>
    <w:rsid w:val="005C1882"/>
    <w:rsid w:val="005C4438"/>
    <w:rsid w:val="005D2723"/>
    <w:rsid w:val="005E44D4"/>
    <w:rsid w:val="005E4BAF"/>
    <w:rsid w:val="005F0A01"/>
    <w:rsid w:val="005F3703"/>
    <w:rsid w:val="00635BCB"/>
    <w:rsid w:val="0065500A"/>
    <w:rsid w:val="00656CEC"/>
    <w:rsid w:val="0065711B"/>
    <w:rsid w:val="00664DE7"/>
    <w:rsid w:val="00672125"/>
    <w:rsid w:val="006740D1"/>
    <w:rsid w:val="00676552"/>
    <w:rsid w:val="00682146"/>
    <w:rsid w:val="00683C07"/>
    <w:rsid w:val="0068594B"/>
    <w:rsid w:val="00693207"/>
    <w:rsid w:val="006A1A56"/>
    <w:rsid w:val="006A3069"/>
    <w:rsid w:val="006B6422"/>
    <w:rsid w:val="006D4EF1"/>
    <w:rsid w:val="006E5923"/>
    <w:rsid w:val="006E5A56"/>
    <w:rsid w:val="00717F95"/>
    <w:rsid w:val="00720093"/>
    <w:rsid w:val="00723482"/>
    <w:rsid w:val="00726440"/>
    <w:rsid w:val="0074456A"/>
    <w:rsid w:val="00766015"/>
    <w:rsid w:val="00770FA1"/>
    <w:rsid w:val="007857AC"/>
    <w:rsid w:val="007902F3"/>
    <w:rsid w:val="007918C1"/>
    <w:rsid w:val="0079698D"/>
    <w:rsid w:val="00797CE5"/>
    <w:rsid w:val="007A01BF"/>
    <w:rsid w:val="007B48A6"/>
    <w:rsid w:val="007B4A01"/>
    <w:rsid w:val="007D029D"/>
    <w:rsid w:val="007D6879"/>
    <w:rsid w:val="007E32B8"/>
    <w:rsid w:val="007F614B"/>
    <w:rsid w:val="008047BB"/>
    <w:rsid w:val="00831C39"/>
    <w:rsid w:val="00836960"/>
    <w:rsid w:val="00847778"/>
    <w:rsid w:val="00857D7B"/>
    <w:rsid w:val="00864091"/>
    <w:rsid w:val="00886347"/>
    <w:rsid w:val="008951DC"/>
    <w:rsid w:val="008A754E"/>
    <w:rsid w:val="008B77C8"/>
    <w:rsid w:val="008C10D7"/>
    <w:rsid w:val="008D2B32"/>
    <w:rsid w:val="008D3731"/>
    <w:rsid w:val="008E305C"/>
    <w:rsid w:val="008F2646"/>
    <w:rsid w:val="00913393"/>
    <w:rsid w:val="00932240"/>
    <w:rsid w:val="00932BA4"/>
    <w:rsid w:val="00933117"/>
    <w:rsid w:val="009448C5"/>
    <w:rsid w:val="00945331"/>
    <w:rsid w:val="00947738"/>
    <w:rsid w:val="00950305"/>
    <w:rsid w:val="00952181"/>
    <w:rsid w:val="009538DD"/>
    <w:rsid w:val="0096365D"/>
    <w:rsid w:val="00963B43"/>
    <w:rsid w:val="00987AA6"/>
    <w:rsid w:val="0099480A"/>
    <w:rsid w:val="009A2CC1"/>
    <w:rsid w:val="009A2DA0"/>
    <w:rsid w:val="009A3BDC"/>
    <w:rsid w:val="009A6207"/>
    <w:rsid w:val="009B7AFE"/>
    <w:rsid w:val="009C73C6"/>
    <w:rsid w:val="009D2C52"/>
    <w:rsid w:val="009E18BB"/>
    <w:rsid w:val="009E531A"/>
    <w:rsid w:val="009F0BE3"/>
    <w:rsid w:val="00A0035A"/>
    <w:rsid w:val="00A05757"/>
    <w:rsid w:val="00A11DC6"/>
    <w:rsid w:val="00A249EC"/>
    <w:rsid w:val="00A3442D"/>
    <w:rsid w:val="00A44EA0"/>
    <w:rsid w:val="00A451C7"/>
    <w:rsid w:val="00A45225"/>
    <w:rsid w:val="00A4638E"/>
    <w:rsid w:val="00A46793"/>
    <w:rsid w:val="00A4780B"/>
    <w:rsid w:val="00A65B3F"/>
    <w:rsid w:val="00A74673"/>
    <w:rsid w:val="00A86590"/>
    <w:rsid w:val="00AA4B96"/>
    <w:rsid w:val="00AB1168"/>
    <w:rsid w:val="00AB1D97"/>
    <w:rsid w:val="00AB5A10"/>
    <w:rsid w:val="00AB5B9F"/>
    <w:rsid w:val="00AD16A1"/>
    <w:rsid w:val="00AE769F"/>
    <w:rsid w:val="00AF039E"/>
    <w:rsid w:val="00AF19C3"/>
    <w:rsid w:val="00AF6B9B"/>
    <w:rsid w:val="00B05823"/>
    <w:rsid w:val="00B25C8B"/>
    <w:rsid w:val="00B3074D"/>
    <w:rsid w:val="00B424A3"/>
    <w:rsid w:val="00B45A9E"/>
    <w:rsid w:val="00B5773A"/>
    <w:rsid w:val="00B678FA"/>
    <w:rsid w:val="00B77088"/>
    <w:rsid w:val="00B8208B"/>
    <w:rsid w:val="00B966BC"/>
    <w:rsid w:val="00B96B2F"/>
    <w:rsid w:val="00BA07AF"/>
    <w:rsid w:val="00BA7738"/>
    <w:rsid w:val="00BB2723"/>
    <w:rsid w:val="00BB3AEF"/>
    <w:rsid w:val="00BC3C39"/>
    <w:rsid w:val="00BC4600"/>
    <w:rsid w:val="00BC7AB6"/>
    <w:rsid w:val="00BD60CF"/>
    <w:rsid w:val="00BF262B"/>
    <w:rsid w:val="00C14E62"/>
    <w:rsid w:val="00C222D7"/>
    <w:rsid w:val="00C22A7D"/>
    <w:rsid w:val="00C30D67"/>
    <w:rsid w:val="00C3294E"/>
    <w:rsid w:val="00C348A6"/>
    <w:rsid w:val="00C42A69"/>
    <w:rsid w:val="00C525E3"/>
    <w:rsid w:val="00C60910"/>
    <w:rsid w:val="00C64D0F"/>
    <w:rsid w:val="00C71503"/>
    <w:rsid w:val="00C75607"/>
    <w:rsid w:val="00C76647"/>
    <w:rsid w:val="00C808A1"/>
    <w:rsid w:val="00C81153"/>
    <w:rsid w:val="00C86A81"/>
    <w:rsid w:val="00CA5D18"/>
    <w:rsid w:val="00CA6CF1"/>
    <w:rsid w:val="00CB3B7F"/>
    <w:rsid w:val="00CB59E7"/>
    <w:rsid w:val="00CC3E56"/>
    <w:rsid w:val="00CC5CF5"/>
    <w:rsid w:val="00CC7D6D"/>
    <w:rsid w:val="00CE10C8"/>
    <w:rsid w:val="00CE3D6B"/>
    <w:rsid w:val="00CE70BD"/>
    <w:rsid w:val="00D0327B"/>
    <w:rsid w:val="00D0334B"/>
    <w:rsid w:val="00D06385"/>
    <w:rsid w:val="00D41D72"/>
    <w:rsid w:val="00D53B9E"/>
    <w:rsid w:val="00D54047"/>
    <w:rsid w:val="00D77317"/>
    <w:rsid w:val="00D80CD7"/>
    <w:rsid w:val="00DA19D6"/>
    <w:rsid w:val="00DB7B77"/>
    <w:rsid w:val="00DC2489"/>
    <w:rsid w:val="00DE156C"/>
    <w:rsid w:val="00E35B2B"/>
    <w:rsid w:val="00E35B30"/>
    <w:rsid w:val="00E5450D"/>
    <w:rsid w:val="00E558A5"/>
    <w:rsid w:val="00E65059"/>
    <w:rsid w:val="00E81970"/>
    <w:rsid w:val="00E87C29"/>
    <w:rsid w:val="00E93583"/>
    <w:rsid w:val="00E9718F"/>
    <w:rsid w:val="00EA176A"/>
    <w:rsid w:val="00EA5D32"/>
    <w:rsid w:val="00EB3A80"/>
    <w:rsid w:val="00EC1A0B"/>
    <w:rsid w:val="00ED0E2C"/>
    <w:rsid w:val="00ED20D4"/>
    <w:rsid w:val="00ED5361"/>
    <w:rsid w:val="00ED6C4D"/>
    <w:rsid w:val="00EE4A06"/>
    <w:rsid w:val="00EF43D2"/>
    <w:rsid w:val="00F02801"/>
    <w:rsid w:val="00F101C3"/>
    <w:rsid w:val="00F110CF"/>
    <w:rsid w:val="00F3159E"/>
    <w:rsid w:val="00F43EC0"/>
    <w:rsid w:val="00F52837"/>
    <w:rsid w:val="00F71500"/>
    <w:rsid w:val="00F74780"/>
    <w:rsid w:val="00F74E85"/>
    <w:rsid w:val="00F80649"/>
    <w:rsid w:val="00F83523"/>
    <w:rsid w:val="00F8464D"/>
    <w:rsid w:val="00F87E8A"/>
    <w:rsid w:val="00F9289C"/>
    <w:rsid w:val="00F956A2"/>
    <w:rsid w:val="00FA4E47"/>
    <w:rsid w:val="00FB45C1"/>
    <w:rsid w:val="00FC71A7"/>
    <w:rsid w:val="00FC7213"/>
    <w:rsid w:val="00FD32D3"/>
    <w:rsid w:val="00FD3FE6"/>
    <w:rsid w:val="00FD4EE2"/>
    <w:rsid w:val="00FF113A"/>
    <w:rsid w:val="00FF2EC4"/>
    <w:rsid w:val="01BA7B9D"/>
    <w:rsid w:val="02176F07"/>
    <w:rsid w:val="028C7822"/>
    <w:rsid w:val="02E247BD"/>
    <w:rsid w:val="03111635"/>
    <w:rsid w:val="039743D1"/>
    <w:rsid w:val="03B445C5"/>
    <w:rsid w:val="03C06439"/>
    <w:rsid w:val="03CC1DEB"/>
    <w:rsid w:val="03E03C85"/>
    <w:rsid w:val="03FA0048"/>
    <w:rsid w:val="04463347"/>
    <w:rsid w:val="045E1C0E"/>
    <w:rsid w:val="051E34DC"/>
    <w:rsid w:val="054C27A5"/>
    <w:rsid w:val="05D525CA"/>
    <w:rsid w:val="05E022A7"/>
    <w:rsid w:val="060C5CA8"/>
    <w:rsid w:val="06221AF7"/>
    <w:rsid w:val="069D2AFB"/>
    <w:rsid w:val="06BD5F7B"/>
    <w:rsid w:val="06DB2B39"/>
    <w:rsid w:val="06E54B45"/>
    <w:rsid w:val="06F227AF"/>
    <w:rsid w:val="07010453"/>
    <w:rsid w:val="07107DF1"/>
    <w:rsid w:val="07A370AA"/>
    <w:rsid w:val="07AD097D"/>
    <w:rsid w:val="07B16B02"/>
    <w:rsid w:val="07CF4F2D"/>
    <w:rsid w:val="07CF71C2"/>
    <w:rsid w:val="08124AE7"/>
    <w:rsid w:val="0823593C"/>
    <w:rsid w:val="086605E9"/>
    <w:rsid w:val="08F1285C"/>
    <w:rsid w:val="091A3FBF"/>
    <w:rsid w:val="09526496"/>
    <w:rsid w:val="097C1635"/>
    <w:rsid w:val="098F109A"/>
    <w:rsid w:val="09D905EE"/>
    <w:rsid w:val="09EE7C92"/>
    <w:rsid w:val="09F33C22"/>
    <w:rsid w:val="09F66383"/>
    <w:rsid w:val="0A165FD7"/>
    <w:rsid w:val="0A3F6EB0"/>
    <w:rsid w:val="0A4B39D9"/>
    <w:rsid w:val="0A5A6A9B"/>
    <w:rsid w:val="0A907B1A"/>
    <w:rsid w:val="0AC01D1D"/>
    <w:rsid w:val="0AD70C01"/>
    <w:rsid w:val="0B5547B1"/>
    <w:rsid w:val="0B7F5ED1"/>
    <w:rsid w:val="0B845D81"/>
    <w:rsid w:val="0C0B750C"/>
    <w:rsid w:val="0C2E4777"/>
    <w:rsid w:val="0C9E3E43"/>
    <w:rsid w:val="0CA90DF3"/>
    <w:rsid w:val="0CAB5409"/>
    <w:rsid w:val="0D21433D"/>
    <w:rsid w:val="0D693DA3"/>
    <w:rsid w:val="0D6C386E"/>
    <w:rsid w:val="0DCE25D8"/>
    <w:rsid w:val="0E1C1B2B"/>
    <w:rsid w:val="0E496272"/>
    <w:rsid w:val="0E4A19D7"/>
    <w:rsid w:val="0E6F2627"/>
    <w:rsid w:val="0F9646D8"/>
    <w:rsid w:val="0FBF1767"/>
    <w:rsid w:val="0FD145E5"/>
    <w:rsid w:val="10283906"/>
    <w:rsid w:val="104C7C01"/>
    <w:rsid w:val="10524393"/>
    <w:rsid w:val="10B17ED7"/>
    <w:rsid w:val="10BA69AF"/>
    <w:rsid w:val="10C975AC"/>
    <w:rsid w:val="11A442BB"/>
    <w:rsid w:val="11C56666"/>
    <w:rsid w:val="121D7BE3"/>
    <w:rsid w:val="13137291"/>
    <w:rsid w:val="131F48D7"/>
    <w:rsid w:val="1359271B"/>
    <w:rsid w:val="13954B2D"/>
    <w:rsid w:val="13B74F39"/>
    <w:rsid w:val="13BA13C0"/>
    <w:rsid w:val="13DC61FE"/>
    <w:rsid w:val="145C7BEA"/>
    <w:rsid w:val="14630DC8"/>
    <w:rsid w:val="149C572D"/>
    <w:rsid w:val="14F9161E"/>
    <w:rsid w:val="15071E33"/>
    <w:rsid w:val="15080B11"/>
    <w:rsid w:val="153915FC"/>
    <w:rsid w:val="15D63E43"/>
    <w:rsid w:val="1611288B"/>
    <w:rsid w:val="165247A4"/>
    <w:rsid w:val="16E957D4"/>
    <w:rsid w:val="16F11DC4"/>
    <w:rsid w:val="17176687"/>
    <w:rsid w:val="172E05FC"/>
    <w:rsid w:val="173B73FD"/>
    <w:rsid w:val="17403BBA"/>
    <w:rsid w:val="175362B2"/>
    <w:rsid w:val="177C03FA"/>
    <w:rsid w:val="17AA7B9D"/>
    <w:rsid w:val="17AC34F6"/>
    <w:rsid w:val="17CB7250"/>
    <w:rsid w:val="18183EFB"/>
    <w:rsid w:val="18353819"/>
    <w:rsid w:val="18384971"/>
    <w:rsid w:val="18BA2320"/>
    <w:rsid w:val="18CE008E"/>
    <w:rsid w:val="18CF7189"/>
    <w:rsid w:val="194B4616"/>
    <w:rsid w:val="1963138A"/>
    <w:rsid w:val="19680759"/>
    <w:rsid w:val="19702365"/>
    <w:rsid w:val="19895A58"/>
    <w:rsid w:val="19A73ECD"/>
    <w:rsid w:val="19E7182B"/>
    <w:rsid w:val="1A27767A"/>
    <w:rsid w:val="1A7B4E69"/>
    <w:rsid w:val="1A863F24"/>
    <w:rsid w:val="1A933965"/>
    <w:rsid w:val="1ADF089E"/>
    <w:rsid w:val="1B474B17"/>
    <w:rsid w:val="1BDF2744"/>
    <w:rsid w:val="1C244769"/>
    <w:rsid w:val="1D530AF9"/>
    <w:rsid w:val="1D7D2B93"/>
    <w:rsid w:val="1DD852F7"/>
    <w:rsid w:val="1E1A5AD4"/>
    <w:rsid w:val="1E434121"/>
    <w:rsid w:val="1EF22F7B"/>
    <w:rsid w:val="1F0B4D8F"/>
    <w:rsid w:val="1F132756"/>
    <w:rsid w:val="1F175363"/>
    <w:rsid w:val="1F1B36FA"/>
    <w:rsid w:val="1F5A653D"/>
    <w:rsid w:val="1F6D0E2A"/>
    <w:rsid w:val="1F703D4A"/>
    <w:rsid w:val="1F77426F"/>
    <w:rsid w:val="1F9B7902"/>
    <w:rsid w:val="1FB14845"/>
    <w:rsid w:val="1FE21258"/>
    <w:rsid w:val="206E0FE7"/>
    <w:rsid w:val="20A01638"/>
    <w:rsid w:val="20A0765E"/>
    <w:rsid w:val="20A41462"/>
    <w:rsid w:val="20B94B20"/>
    <w:rsid w:val="213932AA"/>
    <w:rsid w:val="214E0AE0"/>
    <w:rsid w:val="216674A1"/>
    <w:rsid w:val="216E7906"/>
    <w:rsid w:val="21D424EB"/>
    <w:rsid w:val="21D57089"/>
    <w:rsid w:val="21DA3890"/>
    <w:rsid w:val="2209766C"/>
    <w:rsid w:val="22570879"/>
    <w:rsid w:val="2288293C"/>
    <w:rsid w:val="229A7965"/>
    <w:rsid w:val="229D184D"/>
    <w:rsid w:val="22B511B5"/>
    <w:rsid w:val="22BA5107"/>
    <w:rsid w:val="233610B9"/>
    <w:rsid w:val="23D96C4E"/>
    <w:rsid w:val="23E04ECA"/>
    <w:rsid w:val="23E56700"/>
    <w:rsid w:val="23ED0854"/>
    <w:rsid w:val="2413261F"/>
    <w:rsid w:val="24172EC8"/>
    <w:rsid w:val="247B5950"/>
    <w:rsid w:val="25184C24"/>
    <w:rsid w:val="25610590"/>
    <w:rsid w:val="2666206C"/>
    <w:rsid w:val="268315E6"/>
    <w:rsid w:val="26931A0F"/>
    <w:rsid w:val="26BD1178"/>
    <w:rsid w:val="26E22A61"/>
    <w:rsid w:val="26EE464B"/>
    <w:rsid w:val="26F4657F"/>
    <w:rsid w:val="27062301"/>
    <w:rsid w:val="27072BA2"/>
    <w:rsid w:val="2776242C"/>
    <w:rsid w:val="27C253E5"/>
    <w:rsid w:val="27FA6622"/>
    <w:rsid w:val="280805E8"/>
    <w:rsid w:val="284E28C8"/>
    <w:rsid w:val="28AA5782"/>
    <w:rsid w:val="28AC5E94"/>
    <w:rsid w:val="28DB591F"/>
    <w:rsid w:val="291C6A22"/>
    <w:rsid w:val="29853D5A"/>
    <w:rsid w:val="2A022707"/>
    <w:rsid w:val="2A435BA8"/>
    <w:rsid w:val="2A4F6D25"/>
    <w:rsid w:val="2A606AAC"/>
    <w:rsid w:val="2A7356FD"/>
    <w:rsid w:val="2A7E53C3"/>
    <w:rsid w:val="2AB0708E"/>
    <w:rsid w:val="2ACA0661"/>
    <w:rsid w:val="2ACF3BEF"/>
    <w:rsid w:val="2AED1E0C"/>
    <w:rsid w:val="2AF30EA0"/>
    <w:rsid w:val="2B16677D"/>
    <w:rsid w:val="2B5456AD"/>
    <w:rsid w:val="2B6F7442"/>
    <w:rsid w:val="2BDB74B8"/>
    <w:rsid w:val="2BFA1338"/>
    <w:rsid w:val="2C131132"/>
    <w:rsid w:val="2C345C07"/>
    <w:rsid w:val="2C410C43"/>
    <w:rsid w:val="2C47054E"/>
    <w:rsid w:val="2C824900"/>
    <w:rsid w:val="2CD211C5"/>
    <w:rsid w:val="2CDE6BE1"/>
    <w:rsid w:val="2CE8294F"/>
    <w:rsid w:val="2D2A2A6E"/>
    <w:rsid w:val="2D3A4D81"/>
    <w:rsid w:val="2D4C0CED"/>
    <w:rsid w:val="2DDD2225"/>
    <w:rsid w:val="2DFF14F9"/>
    <w:rsid w:val="2DFF35E8"/>
    <w:rsid w:val="2E044C4E"/>
    <w:rsid w:val="2E180509"/>
    <w:rsid w:val="2E225389"/>
    <w:rsid w:val="2E3C17E2"/>
    <w:rsid w:val="2EA44249"/>
    <w:rsid w:val="2ED26EE9"/>
    <w:rsid w:val="2EE34B1B"/>
    <w:rsid w:val="2EE476C8"/>
    <w:rsid w:val="2EF00580"/>
    <w:rsid w:val="2F010B24"/>
    <w:rsid w:val="2F385478"/>
    <w:rsid w:val="2F657665"/>
    <w:rsid w:val="2F9722BA"/>
    <w:rsid w:val="2FBD7548"/>
    <w:rsid w:val="2FD967ED"/>
    <w:rsid w:val="2FDE7BC8"/>
    <w:rsid w:val="2FE04DEF"/>
    <w:rsid w:val="2FEEB91C"/>
    <w:rsid w:val="30406039"/>
    <w:rsid w:val="305A08F8"/>
    <w:rsid w:val="308E0FCC"/>
    <w:rsid w:val="30E30EC0"/>
    <w:rsid w:val="30FD667A"/>
    <w:rsid w:val="31545CD3"/>
    <w:rsid w:val="325F39A3"/>
    <w:rsid w:val="32694EF7"/>
    <w:rsid w:val="32945940"/>
    <w:rsid w:val="32AA33E7"/>
    <w:rsid w:val="32CE65B5"/>
    <w:rsid w:val="32D50328"/>
    <w:rsid w:val="32EE71A7"/>
    <w:rsid w:val="330764A6"/>
    <w:rsid w:val="34444B37"/>
    <w:rsid w:val="346B2231"/>
    <w:rsid w:val="35A9612B"/>
    <w:rsid w:val="35B42D8C"/>
    <w:rsid w:val="35E0312A"/>
    <w:rsid w:val="35EB5D52"/>
    <w:rsid w:val="36064CCB"/>
    <w:rsid w:val="360C3373"/>
    <w:rsid w:val="36336C32"/>
    <w:rsid w:val="36A2168E"/>
    <w:rsid w:val="36ED7D44"/>
    <w:rsid w:val="37456A8E"/>
    <w:rsid w:val="37657CFD"/>
    <w:rsid w:val="376D6263"/>
    <w:rsid w:val="37A3647A"/>
    <w:rsid w:val="38362A3B"/>
    <w:rsid w:val="38880CEB"/>
    <w:rsid w:val="38A26EA9"/>
    <w:rsid w:val="38AF0BE5"/>
    <w:rsid w:val="38B077A5"/>
    <w:rsid w:val="38D20E08"/>
    <w:rsid w:val="38D95F23"/>
    <w:rsid w:val="38F205D1"/>
    <w:rsid w:val="390635E7"/>
    <w:rsid w:val="39474F60"/>
    <w:rsid w:val="394C4EFF"/>
    <w:rsid w:val="399A50CE"/>
    <w:rsid w:val="39B05C7D"/>
    <w:rsid w:val="3A44251F"/>
    <w:rsid w:val="3A500E9B"/>
    <w:rsid w:val="3A8A51D2"/>
    <w:rsid w:val="3ABC0802"/>
    <w:rsid w:val="3AF97171"/>
    <w:rsid w:val="3B0C05AB"/>
    <w:rsid w:val="3B517F89"/>
    <w:rsid w:val="3B895D01"/>
    <w:rsid w:val="3C7D3E90"/>
    <w:rsid w:val="3C875AB9"/>
    <w:rsid w:val="3CC75311"/>
    <w:rsid w:val="3CED54E5"/>
    <w:rsid w:val="3D2269FC"/>
    <w:rsid w:val="3D345553"/>
    <w:rsid w:val="3DF66CB6"/>
    <w:rsid w:val="3E784B08"/>
    <w:rsid w:val="3ED61792"/>
    <w:rsid w:val="3EE32184"/>
    <w:rsid w:val="3FA07FC0"/>
    <w:rsid w:val="3FA83B0C"/>
    <w:rsid w:val="3FDFBF34"/>
    <w:rsid w:val="3FE15471"/>
    <w:rsid w:val="3FE8193F"/>
    <w:rsid w:val="40092AA7"/>
    <w:rsid w:val="407D00B0"/>
    <w:rsid w:val="409F22EF"/>
    <w:rsid w:val="412164E0"/>
    <w:rsid w:val="41561025"/>
    <w:rsid w:val="41730B0D"/>
    <w:rsid w:val="425E04D0"/>
    <w:rsid w:val="42F328A1"/>
    <w:rsid w:val="43052444"/>
    <w:rsid w:val="43697D64"/>
    <w:rsid w:val="44483484"/>
    <w:rsid w:val="446B7DD9"/>
    <w:rsid w:val="449B715F"/>
    <w:rsid w:val="44F345B8"/>
    <w:rsid w:val="45025E46"/>
    <w:rsid w:val="45147437"/>
    <w:rsid w:val="456D3FED"/>
    <w:rsid w:val="45AA0659"/>
    <w:rsid w:val="45D01D5A"/>
    <w:rsid w:val="45FA65E0"/>
    <w:rsid w:val="46114F7A"/>
    <w:rsid w:val="4644074D"/>
    <w:rsid w:val="46AC43B3"/>
    <w:rsid w:val="46E674D8"/>
    <w:rsid w:val="470E77CF"/>
    <w:rsid w:val="471374A0"/>
    <w:rsid w:val="471B6035"/>
    <w:rsid w:val="475464AD"/>
    <w:rsid w:val="476D6439"/>
    <w:rsid w:val="481A795E"/>
    <w:rsid w:val="48501FF5"/>
    <w:rsid w:val="48836011"/>
    <w:rsid w:val="48B94482"/>
    <w:rsid w:val="48D46B82"/>
    <w:rsid w:val="490C30EA"/>
    <w:rsid w:val="49117AAB"/>
    <w:rsid w:val="49242021"/>
    <w:rsid w:val="498E36A1"/>
    <w:rsid w:val="499A2A3E"/>
    <w:rsid w:val="4A0C14F5"/>
    <w:rsid w:val="4A2C1591"/>
    <w:rsid w:val="4A2D24D5"/>
    <w:rsid w:val="4A7A05CC"/>
    <w:rsid w:val="4AB242EE"/>
    <w:rsid w:val="4ADF31B1"/>
    <w:rsid w:val="4AE763FD"/>
    <w:rsid w:val="4B3976B5"/>
    <w:rsid w:val="4B763CE0"/>
    <w:rsid w:val="4BE8660C"/>
    <w:rsid w:val="4BF672C9"/>
    <w:rsid w:val="4BFE4F9B"/>
    <w:rsid w:val="4CA22D65"/>
    <w:rsid w:val="4CB30D81"/>
    <w:rsid w:val="4CC83AC9"/>
    <w:rsid w:val="4CD17B4B"/>
    <w:rsid w:val="4CEE6B4D"/>
    <w:rsid w:val="4D2D2451"/>
    <w:rsid w:val="4D547DAB"/>
    <w:rsid w:val="4DAC3FC2"/>
    <w:rsid w:val="4E4944DF"/>
    <w:rsid w:val="4E5D11DD"/>
    <w:rsid w:val="4E993ED1"/>
    <w:rsid w:val="4E9B57A9"/>
    <w:rsid w:val="4EB364D6"/>
    <w:rsid w:val="4EB84E1D"/>
    <w:rsid w:val="4ED16532"/>
    <w:rsid w:val="4F2426AF"/>
    <w:rsid w:val="4F25598B"/>
    <w:rsid w:val="4F393D3A"/>
    <w:rsid w:val="4FAC4126"/>
    <w:rsid w:val="4FB7202D"/>
    <w:rsid w:val="4FBA2ADF"/>
    <w:rsid w:val="4FBB67AD"/>
    <w:rsid w:val="4FC21B48"/>
    <w:rsid w:val="4FD757A5"/>
    <w:rsid w:val="4FEA1AF7"/>
    <w:rsid w:val="50091F30"/>
    <w:rsid w:val="50780AA5"/>
    <w:rsid w:val="5094075E"/>
    <w:rsid w:val="50DA33AD"/>
    <w:rsid w:val="50DA4970"/>
    <w:rsid w:val="512233F0"/>
    <w:rsid w:val="51810BDF"/>
    <w:rsid w:val="51D44196"/>
    <w:rsid w:val="51EC4C4A"/>
    <w:rsid w:val="52112110"/>
    <w:rsid w:val="5218413F"/>
    <w:rsid w:val="527958F4"/>
    <w:rsid w:val="529E4AE0"/>
    <w:rsid w:val="52B32EB0"/>
    <w:rsid w:val="52EA0349"/>
    <w:rsid w:val="52ED1A24"/>
    <w:rsid w:val="53574219"/>
    <w:rsid w:val="53796621"/>
    <w:rsid w:val="53BA4ED1"/>
    <w:rsid w:val="53E26490"/>
    <w:rsid w:val="53FB6921"/>
    <w:rsid w:val="54287372"/>
    <w:rsid w:val="54D43319"/>
    <w:rsid w:val="54EB5043"/>
    <w:rsid w:val="54F948BD"/>
    <w:rsid w:val="550C30D3"/>
    <w:rsid w:val="554F5635"/>
    <w:rsid w:val="558C10A1"/>
    <w:rsid w:val="55D809DE"/>
    <w:rsid w:val="55E11DD2"/>
    <w:rsid w:val="55E764C2"/>
    <w:rsid w:val="56C73D7E"/>
    <w:rsid w:val="571026CE"/>
    <w:rsid w:val="57412112"/>
    <w:rsid w:val="578C591F"/>
    <w:rsid w:val="578D186E"/>
    <w:rsid w:val="57CB4B9B"/>
    <w:rsid w:val="57D35949"/>
    <w:rsid w:val="57D950A6"/>
    <w:rsid w:val="581678AD"/>
    <w:rsid w:val="582D4A4C"/>
    <w:rsid w:val="58794300"/>
    <w:rsid w:val="589E793F"/>
    <w:rsid w:val="58C724AA"/>
    <w:rsid w:val="58D84AC2"/>
    <w:rsid w:val="58FB7A0F"/>
    <w:rsid w:val="590B120F"/>
    <w:rsid w:val="592C6EC4"/>
    <w:rsid w:val="598C542B"/>
    <w:rsid w:val="5A070D05"/>
    <w:rsid w:val="5A0C603A"/>
    <w:rsid w:val="5A0E2EAF"/>
    <w:rsid w:val="5A247904"/>
    <w:rsid w:val="5A286161"/>
    <w:rsid w:val="5A487850"/>
    <w:rsid w:val="5A6D5243"/>
    <w:rsid w:val="5A6E458C"/>
    <w:rsid w:val="5B2C4252"/>
    <w:rsid w:val="5B4E36C8"/>
    <w:rsid w:val="5B707FD5"/>
    <w:rsid w:val="5B7311D4"/>
    <w:rsid w:val="5B792A67"/>
    <w:rsid w:val="5B922EDA"/>
    <w:rsid w:val="5B9B314C"/>
    <w:rsid w:val="5BA93197"/>
    <w:rsid w:val="5C4C7BD3"/>
    <w:rsid w:val="5C557E09"/>
    <w:rsid w:val="5CA84D99"/>
    <w:rsid w:val="5CF653E7"/>
    <w:rsid w:val="5D103272"/>
    <w:rsid w:val="5D6573C8"/>
    <w:rsid w:val="5D934A48"/>
    <w:rsid w:val="5DC84831"/>
    <w:rsid w:val="5E213427"/>
    <w:rsid w:val="5E377EE4"/>
    <w:rsid w:val="5E3D098F"/>
    <w:rsid w:val="5E7579F7"/>
    <w:rsid w:val="5EC91951"/>
    <w:rsid w:val="5ED76EA2"/>
    <w:rsid w:val="5EF57812"/>
    <w:rsid w:val="5F1F413B"/>
    <w:rsid w:val="5F5B8CDF"/>
    <w:rsid w:val="5FBD246F"/>
    <w:rsid w:val="603B55AA"/>
    <w:rsid w:val="60454E41"/>
    <w:rsid w:val="60536182"/>
    <w:rsid w:val="60CF22E7"/>
    <w:rsid w:val="610F5D47"/>
    <w:rsid w:val="61A82C05"/>
    <w:rsid w:val="61B93363"/>
    <w:rsid w:val="62191002"/>
    <w:rsid w:val="621D79B1"/>
    <w:rsid w:val="62291DB6"/>
    <w:rsid w:val="62B51564"/>
    <w:rsid w:val="62EA3AA7"/>
    <w:rsid w:val="632656CC"/>
    <w:rsid w:val="636C5E82"/>
    <w:rsid w:val="63705FDE"/>
    <w:rsid w:val="63822E81"/>
    <w:rsid w:val="63840372"/>
    <w:rsid w:val="6391591E"/>
    <w:rsid w:val="63A76F9B"/>
    <w:rsid w:val="63B542A4"/>
    <w:rsid w:val="63ED206A"/>
    <w:rsid w:val="64572E87"/>
    <w:rsid w:val="64577B54"/>
    <w:rsid w:val="64D41433"/>
    <w:rsid w:val="64DA1430"/>
    <w:rsid w:val="64EE078B"/>
    <w:rsid w:val="64F41035"/>
    <w:rsid w:val="64FA47DA"/>
    <w:rsid w:val="64FE1030"/>
    <w:rsid w:val="65475443"/>
    <w:rsid w:val="657F6C83"/>
    <w:rsid w:val="65B36EAA"/>
    <w:rsid w:val="65E75509"/>
    <w:rsid w:val="65FA58EF"/>
    <w:rsid w:val="65FF6395"/>
    <w:rsid w:val="660B7658"/>
    <w:rsid w:val="661849ED"/>
    <w:rsid w:val="661D611F"/>
    <w:rsid w:val="662745FC"/>
    <w:rsid w:val="66304698"/>
    <w:rsid w:val="666C69D0"/>
    <w:rsid w:val="667016EB"/>
    <w:rsid w:val="6673616B"/>
    <w:rsid w:val="66833C23"/>
    <w:rsid w:val="668A0972"/>
    <w:rsid w:val="671A286F"/>
    <w:rsid w:val="676D14B5"/>
    <w:rsid w:val="67EC2207"/>
    <w:rsid w:val="6811182A"/>
    <w:rsid w:val="692621B3"/>
    <w:rsid w:val="69B61B98"/>
    <w:rsid w:val="69D5658D"/>
    <w:rsid w:val="6A1C694D"/>
    <w:rsid w:val="6AEE554F"/>
    <w:rsid w:val="6B02503E"/>
    <w:rsid w:val="6B8E186C"/>
    <w:rsid w:val="6BAC44AD"/>
    <w:rsid w:val="6BBFCB21"/>
    <w:rsid w:val="6C560700"/>
    <w:rsid w:val="6C5F7D6D"/>
    <w:rsid w:val="6CAE4A63"/>
    <w:rsid w:val="6CC31DCC"/>
    <w:rsid w:val="6CEA5F28"/>
    <w:rsid w:val="6D231231"/>
    <w:rsid w:val="6D2A593A"/>
    <w:rsid w:val="6D496FE4"/>
    <w:rsid w:val="6D650BC8"/>
    <w:rsid w:val="6D8143B7"/>
    <w:rsid w:val="6DD05EE1"/>
    <w:rsid w:val="6DEA38F8"/>
    <w:rsid w:val="6DF244FC"/>
    <w:rsid w:val="6E192EB1"/>
    <w:rsid w:val="6E246959"/>
    <w:rsid w:val="6E507836"/>
    <w:rsid w:val="6E631AAB"/>
    <w:rsid w:val="6ECF7F99"/>
    <w:rsid w:val="6F2C6C35"/>
    <w:rsid w:val="6F7266DD"/>
    <w:rsid w:val="6F891F28"/>
    <w:rsid w:val="6FB02DB9"/>
    <w:rsid w:val="6FB7B3BB"/>
    <w:rsid w:val="6FBD90B5"/>
    <w:rsid w:val="6FDD0B61"/>
    <w:rsid w:val="702D584E"/>
    <w:rsid w:val="702E3843"/>
    <w:rsid w:val="70593889"/>
    <w:rsid w:val="70601D66"/>
    <w:rsid w:val="70866827"/>
    <w:rsid w:val="70B86B2B"/>
    <w:rsid w:val="70D13DED"/>
    <w:rsid w:val="71360DD0"/>
    <w:rsid w:val="718453FE"/>
    <w:rsid w:val="7193695F"/>
    <w:rsid w:val="71B7401D"/>
    <w:rsid w:val="721519AE"/>
    <w:rsid w:val="724A496F"/>
    <w:rsid w:val="72640EEC"/>
    <w:rsid w:val="73066DF0"/>
    <w:rsid w:val="731641A4"/>
    <w:rsid w:val="731C1B80"/>
    <w:rsid w:val="73403021"/>
    <w:rsid w:val="738978FE"/>
    <w:rsid w:val="74307D88"/>
    <w:rsid w:val="74517DD3"/>
    <w:rsid w:val="74AC10AC"/>
    <w:rsid w:val="754540A0"/>
    <w:rsid w:val="75471A90"/>
    <w:rsid w:val="75604C1F"/>
    <w:rsid w:val="75863B0E"/>
    <w:rsid w:val="75930D29"/>
    <w:rsid w:val="75A47289"/>
    <w:rsid w:val="75C336E6"/>
    <w:rsid w:val="75E57728"/>
    <w:rsid w:val="761F63AD"/>
    <w:rsid w:val="767D569E"/>
    <w:rsid w:val="7681364F"/>
    <w:rsid w:val="768D6E9A"/>
    <w:rsid w:val="76FE1DE2"/>
    <w:rsid w:val="77792EF8"/>
    <w:rsid w:val="77B41AD9"/>
    <w:rsid w:val="77DC74D4"/>
    <w:rsid w:val="783316AB"/>
    <w:rsid w:val="78643584"/>
    <w:rsid w:val="78BA63AE"/>
    <w:rsid w:val="79094D52"/>
    <w:rsid w:val="796909C1"/>
    <w:rsid w:val="79851E84"/>
    <w:rsid w:val="79E00792"/>
    <w:rsid w:val="79F812BF"/>
    <w:rsid w:val="7A5004C0"/>
    <w:rsid w:val="7A647F5B"/>
    <w:rsid w:val="7A7B5D62"/>
    <w:rsid w:val="7B07206E"/>
    <w:rsid w:val="7B082DD1"/>
    <w:rsid w:val="7BA40353"/>
    <w:rsid w:val="7BA93143"/>
    <w:rsid w:val="7BBDBA25"/>
    <w:rsid w:val="7BCA1F7B"/>
    <w:rsid w:val="7BE00B73"/>
    <w:rsid w:val="7C205B41"/>
    <w:rsid w:val="7C9E01D7"/>
    <w:rsid w:val="7CAD51C7"/>
    <w:rsid w:val="7D2E7088"/>
    <w:rsid w:val="7DEB1B82"/>
    <w:rsid w:val="7E29637D"/>
    <w:rsid w:val="7E7176FB"/>
    <w:rsid w:val="7E957EDF"/>
    <w:rsid w:val="7EE62E33"/>
    <w:rsid w:val="7F1239A7"/>
    <w:rsid w:val="7F46209F"/>
    <w:rsid w:val="7F5019E7"/>
    <w:rsid w:val="7F643FFD"/>
    <w:rsid w:val="7F7F6BA3"/>
    <w:rsid w:val="7FB14E36"/>
    <w:rsid w:val="7FBFFCCD"/>
    <w:rsid w:val="7FD10742"/>
    <w:rsid w:val="7FD27232"/>
    <w:rsid w:val="7FDFBB26"/>
    <w:rsid w:val="7FF13355"/>
    <w:rsid w:val="8D7336ED"/>
    <w:rsid w:val="9AF651BA"/>
    <w:rsid w:val="B7DF4E12"/>
    <w:rsid w:val="B9B88E78"/>
    <w:rsid w:val="BA7B23C6"/>
    <w:rsid w:val="BDB92D1B"/>
    <w:rsid w:val="BFCEA5C5"/>
    <w:rsid w:val="D3FD8BC7"/>
    <w:rsid w:val="DCDF5D12"/>
    <w:rsid w:val="DED50F57"/>
    <w:rsid w:val="DEFD4206"/>
    <w:rsid w:val="DFFBF8EC"/>
    <w:rsid w:val="E97FDA77"/>
    <w:rsid w:val="ECFE443F"/>
    <w:rsid w:val="EEFF19F4"/>
    <w:rsid w:val="F3FB8DF5"/>
    <w:rsid w:val="F9ADEE3E"/>
    <w:rsid w:val="FCFD6498"/>
    <w:rsid w:val="FE39C3E2"/>
    <w:rsid w:val="FF68EAB3"/>
    <w:rsid w:val="FF7F7F45"/>
    <w:rsid w:val="FFE31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iPriority="99" w:semiHidden="0" w:name="footnote text"/>
    <w:lsdException w:qFormat="1" w:uiPriority="99" w:name="annotation text"/>
    <w:lsdException w:qFormat="1" w:uiPriority="99"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adjustRightInd w:val="0"/>
      <w:jc w:val="distribute"/>
      <w:outlineLvl w:val="0"/>
    </w:pPr>
    <w:rPr>
      <w:rFonts w:eastAsia="公文小标宋简"/>
      <w:b/>
      <w:color w:val="FFFFFF"/>
      <w:w w:val="66"/>
      <w:kern w:val="44"/>
      <w:sz w:val="120"/>
    </w:rPr>
  </w:style>
  <w:style w:type="paragraph" w:styleId="4">
    <w:name w:val="heading 2"/>
    <w:basedOn w:val="5"/>
    <w:next w:val="6"/>
    <w:link w:val="30"/>
    <w:qFormat/>
    <w:uiPriority w:val="0"/>
    <w:pPr>
      <w:adjustRightInd w:val="0"/>
      <w:spacing w:line="240" w:lineRule="auto"/>
      <w:jc w:val="center"/>
      <w:textAlignment w:val="baseline"/>
      <w:outlineLvl w:val="1"/>
    </w:pPr>
    <w:rPr>
      <w:rFonts w:ascii="宋体" w:hAnsi="宋体"/>
      <w:bCs w:val="0"/>
      <w:kern w:val="0"/>
      <w:sz w:val="24"/>
      <w:szCs w:val="20"/>
    </w:rPr>
  </w:style>
  <w:style w:type="paragraph" w:styleId="5">
    <w:name w:val="heading 3"/>
    <w:basedOn w:val="1"/>
    <w:next w:val="1"/>
    <w:link w:val="32"/>
    <w:qFormat/>
    <w:uiPriority w:val="9"/>
    <w:pPr>
      <w:keepNext/>
      <w:keepLines/>
      <w:spacing w:before="260" w:after="260" w:line="416" w:lineRule="auto"/>
      <w:outlineLvl w:val="2"/>
    </w:pPr>
    <w:rPr>
      <w:b/>
      <w:bCs/>
      <w:sz w:val="32"/>
      <w:szCs w:val="32"/>
    </w:rPr>
  </w:style>
  <w:style w:type="paragraph" w:styleId="6">
    <w:name w:val="heading 4"/>
    <w:basedOn w:val="1"/>
    <w:next w:val="1"/>
    <w:link w:val="31"/>
    <w:qFormat/>
    <w:uiPriority w:val="9"/>
    <w:pPr>
      <w:keepNext/>
      <w:keepLines/>
      <w:spacing w:before="280" w:after="290" w:line="376" w:lineRule="auto"/>
      <w:outlineLvl w:val="3"/>
    </w:pPr>
    <w:rPr>
      <w:rFonts w:ascii="Cambria" w:hAnsi="Cambria"/>
      <w:b/>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8"/>
    <w:qFormat/>
    <w:uiPriority w:val="0"/>
    <w:rPr>
      <w:rFonts w:ascii="Times New Roman" w:hAnsi="Times New Roman"/>
      <w:sz w:val="32"/>
      <w:szCs w:val="24"/>
    </w:rPr>
  </w:style>
  <w:style w:type="paragraph" w:styleId="7">
    <w:name w:val="Normal Indent"/>
    <w:basedOn w:val="1"/>
    <w:qFormat/>
    <w:uiPriority w:val="0"/>
    <w:pPr>
      <w:spacing w:line="560" w:lineRule="exact"/>
      <w:ind w:firstLine="420" w:firstLineChars="200"/>
    </w:pPr>
  </w:style>
  <w:style w:type="paragraph" w:styleId="8">
    <w:name w:val="caption"/>
    <w:basedOn w:val="1"/>
    <w:next w:val="1"/>
    <w:qFormat/>
    <w:uiPriority w:val="0"/>
    <w:pPr>
      <w:spacing w:before="152" w:after="160"/>
    </w:pPr>
    <w:rPr>
      <w:rFonts w:ascii="Arial" w:hAnsi="Arial" w:eastAsia="黑体"/>
      <w:sz w:val="20"/>
      <w:szCs w:val="20"/>
    </w:rPr>
  </w:style>
  <w:style w:type="paragraph" w:styleId="9">
    <w:name w:val="Document Map"/>
    <w:basedOn w:val="1"/>
    <w:semiHidden/>
    <w:qFormat/>
    <w:uiPriority w:val="0"/>
    <w:pPr>
      <w:shd w:val="clear" w:color="auto" w:fill="000080"/>
    </w:pPr>
  </w:style>
  <w:style w:type="paragraph" w:styleId="10">
    <w:name w:val="annotation text"/>
    <w:basedOn w:val="1"/>
    <w:semiHidden/>
    <w:unhideWhenUsed/>
    <w:qFormat/>
    <w:uiPriority w:val="99"/>
    <w:pPr>
      <w:jc w:val="left"/>
    </w:pPr>
  </w:style>
  <w:style w:type="paragraph" w:styleId="11">
    <w:name w:val="Date"/>
    <w:basedOn w:val="1"/>
    <w:next w:val="1"/>
    <w:link w:val="29"/>
    <w:semiHidden/>
    <w:unhideWhenUsed/>
    <w:qFormat/>
    <w:uiPriority w:val="99"/>
    <w:pPr>
      <w:ind w:left="100" w:leftChars="2500"/>
    </w:pPr>
  </w:style>
  <w:style w:type="paragraph" w:styleId="12">
    <w:name w:val="Balloon Text"/>
    <w:basedOn w:val="1"/>
    <w:link w:val="33"/>
    <w:semiHidden/>
    <w:unhideWhenUsed/>
    <w:qFormat/>
    <w:uiPriority w:val="99"/>
    <w:rPr>
      <w:sz w:val="18"/>
      <w:szCs w:val="18"/>
    </w:rPr>
  </w:style>
  <w:style w:type="paragraph" w:styleId="13">
    <w:name w:val="footer"/>
    <w:basedOn w:val="1"/>
    <w:link w:val="27"/>
    <w:unhideWhenUsed/>
    <w:qFormat/>
    <w:uiPriority w:val="99"/>
    <w:pPr>
      <w:tabs>
        <w:tab w:val="center" w:pos="4153"/>
        <w:tab w:val="right" w:pos="8306"/>
      </w:tabs>
      <w:snapToGrid w:val="0"/>
      <w:jc w:val="left"/>
    </w:pPr>
    <w:rPr>
      <w:sz w:val="18"/>
      <w:szCs w:val="18"/>
    </w:rPr>
  </w:style>
  <w:style w:type="paragraph" w:styleId="14">
    <w:name w:val="header"/>
    <w:basedOn w:val="1"/>
    <w:link w:val="2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pPr>
      <w:spacing w:line="340" w:lineRule="exact"/>
    </w:pPr>
    <w:rPr>
      <w:snapToGrid w:val="0"/>
      <w:szCs w:val="20"/>
    </w:rPr>
  </w:style>
  <w:style w:type="paragraph" w:styleId="16">
    <w:name w:val="footnote text"/>
    <w:basedOn w:val="1"/>
    <w:unhideWhenUsed/>
    <w:qFormat/>
    <w:uiPriority w:val="99"/>
    <w:pPr>
      <w:snapToGrid w:val="0"/>
      <w:jc w:val="left"/>
    </w:pPr>
    <w:rPr>
      <w:sz w:val="18"/>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footnote reference"/>
    <w:basedOn w:val="19"/>
    <w:semiHidden/>
    <w:unhideWhenUsed/>
    <w:qFormat/>
    <w:uiPriority w:val="99"/>
    <w:rPr>
      <w:vertAlign w:val="superscript"/>
    </w:rPr>
  </w:style>
  <w:style w:type="paragraph" w:customStyle="1" w:styleId="22">
    <w:name w:val="列出段落2"/>
    <w:basedOn w:val="1"/>
    <w:next w:val="23"/>
    <w:qFormat/>
    <w:uiPriority w:val="34"/>
    <w:pPr>
      <w:ind w:firstLine="420" w:firstLineChars="200"/>
    </w:pPr>
    <w:rPr>
      <w:kern w:val="0"/>
      <w:sz w:val="20"/>
      <w:szCs w:val="20"/>
    </w:rPr>
  </w:style>
  <w:style w:type="paragraph" w:customStyle="1" w:styleId="23">
    <w:name w:val="xl591"/>
    <w:basedOn w:val="1"/>
    <w:next w:val="8"/>
    <w:qFormat/>
    <w:uiPriority w:val="99"/>
    <w:pPr>
      <w:widowControl/>
      <w:spacing w:before="100" w:beforeAutospacing="1" w:after="100" w:afterAutospacing="1"/>
      <w:jc w:val="left"/>
    </w:pPr>
    <w:rPr>
      <w:rFonts w:ascii="宋体" w:hAnsi="宋体" w:cs="宋体"/>
      <w:kern w:val="0"/>
      <w:sz w:val="24"/>
    </w:rPr>
  </w:style>
  <w:style w:type="paragraph" w:styleId="24">
    <w:name w:val="List Paragraph"/>
    <w:basedOn w:val="1"/>
    <w:qFormat/>
    <w:uiPriority w:val="34"/>
    <w:pPr>
      <w:ind w:firstLine="420" w:firstLineChars="200"/>
    </w:pPr>
  </w:style>
  <w:style w:type="paragraph" w:customStyle="1" w:styleId="25">
    <w:name w:val="Char Char Char Char Char Char1 Char"/>
    <w:basedOn w:val="9"/>
    <w:qFormat/>
    <w:uiPriority w:val="0"/>
    <w:pPr>
      <w:adjustRightInd w:val="0"/>
      <w:spacing w:line="436" w:lineRule="exact"/>
      <w:ind w:left="357"/>
      <w:jc w:val="left"/>
      <w:outlineLvl w:val="3"/>
    </w:pPr>
    <w:rPr>
      <w:rFonts w:ascii="Times New Roman" w:hAnsi="Times New Roman"/>
      <w:szCs w:val="24"/>
    </w:rPr>
  </w:style>
  <w:style w:type="character" w:customStyle="1" w:styleId="26">
    <w:name w:val="页眉 字符"/>
    <w:link w:val="14"/>
    <w:semiHidden/>
    <w:qFormat/>
    <w:uiPriority w:val="99"/>
    <w:rPr>
      <w:sz w:val="18"/>
      <w:szCs w:val="18"/>
    </w:rPr>
  </w:style>
  <w:style w:type="character" w:customStyle="1" w:styleId="27">
    <w:name w:val="页脚 字符"/>
    <w:link w:val="13"/>
    <w:qFormat/>
    <w:uiPriority w:val="99"/>
    <w:rPr>
      <w:sz w:val="18"/>
      <w:szCs w:val="18"/>
    </w:rPr>
  </w:style>
  <w:style w:type="character" w:customStyle="1" w:styleId="28">
    <w:name w:val="正文文本 字符"/>
    <w:link w:val="2"/>
    <w:qFormat/>
    <w:uiPriority w:val="0"/>
    <w:rPr>
      <w:rFonts w:ascii="Times New Roman" w:hAnsi="Times New Roman" w:eastAsia="宋体" w:cs="Times New Roman"/>
      <w:sz w:val="32"/>
      <w:szCs w:val="24"/>
    </w:rPr>
  </w:style>
  <w:style w:type="character" w:customStyle="1" w:styleId="29">
    <w:name w:val="日期 字符"/>
    <w:basedOn w:val="19"/>
    <w:link w:val="11"/>
    <w:semiHidden/>
    <w:qFormat/>
    <w:uiPriority w:val="99"/>
  </w:style>
  <w:style w:type="character" w:customStyle="1" w:styleId="30">
    <w:name w:val="标题 2 字符"/>
    <w:link w:val="4"/>
    <w:qFormat/>
    <w:uiPriority w:val="0"/>
    <w:rPr>
      <w:rFonts w:ascii="宋体" w:hAnsi="宋体" w:eastAsia="宋体" w:cs="Times New Roman"/>
      <w:b/>
      <w:kern w:val="0"/>
      <w:sz w:val="24"/>
      <w:szCs w:val="20"/>
    </w:rPr>
  </w:style>
  <w:style w:type="character" w:customStyle="1" w:styleId="31">
    <w:name w:val="标题 4 字符"/>
    <w:link w:val="6"/>
    <w:qFormat/>
    <w:uiPriority w:val="9"/>
    <w:rPr>
      <w:rFonts w:ascii="Cambria" w:hAnsi="Cambria" w:eastAsia="宋体" w:cs="Times New Roman"/>
      <w:b/>
      <w:bCs/>
      <w:sz w:val="28"/>
      <w:szCs w:val="28"/>
    </w:rPr>
  </w:style>
  <w:style w:type="character" w:customStyle="1" w:styleId="32">
    <w:name w:val="标题 3 字符"/>
    <w:link w:val="5"/>
    <w:semiHidden/>
    <w:qFormat/>
    <w:uiPriority w:val="9"/>
    <w:rPr>
      <w:b/>
      <w:bCs/>
      <w:sz w:val="32"/>
      <w:szCs w:val="32"/>
    </w:rPr>
  </w:style>
  <w:style w:type="character" w:customStyle="1" w:styleId="33">
    <w:name w:val="批注框文本 字符"/>
    <w:link w:val="12"/>
    <w:semiHidden/>
    <w:qFormat/>
    <w:uiPriority w:val="99"/>
    <w:rPr>
      <w:kern w:val="2"/>
      <w:sz w:val="18"/>
      <w:szCs w:val="18"/>
    </w:rPr>
  </w:style>
  <w:style w:type="paragraph" w:customStyle="1" w:styleId="34">
    <w:name w:val="样式1"/>
    <w:basedOn w:val="16"/>
    <w:qFormat/>
    <w:uiPriority w:val="0"/>
    <w:rPr>
      <w:sz w:val="21"/>
    </w:rPr>
  </w:style>
  <w:style w:type="paragraph" w:customStyle="1" w:styleId="35">
    <w:name w:val="正文 A"/>
    <w:qFormat/>
    <w:uiPriority w:val="0"/>
    <w:pPr>
      <w:framePr w:wrap="around" w:vAnchor="margin" w:hAnchor="text" w:y="1"/>
      <w:widowControl w:val="0"/>
      <w:spacing w:line="560" w:lineRule="exact"/>
      <w:jc w:val="both"/>
    </w:pPr>
    <w:rPr>
      <w:rFonts w:ascii="Arial Unicode MS" w:hAnsi="Arial Unicode MS" w:eastAsia="Arial Unicode MS" w:cs="Arial Unicode MS"/>
      <w:color w:val="000000"/>
      <w:sz w:val="30"/>
      <w:szCs w:val="30"/>
      <w:lang w:val="en-US" w:eastAsia="zh-CN" w:bidi="ar-SA"/>
    </w:rPr>
  </w:style>
  <w:style w:type="paragraph" w:customStyle="1" w:styleId="36">
    <w:name w:val="标题 11"/>
    <w:next w:val="35"/>
    <w:qFormat/>
    <w:uiPriority w:val="0"/>
    <w:pPr>
      <w:keepNext/>
      <w:keepLines/>
      <w:framePr w:wrap="around" w:vAnchor="margin" w:hAnchor="text" w:y="1"/>
      <w:widowControl w:val="0"/>
      <w:spacing w:before="340" w:after="330" w:line="576" w:lineRule="auto"/>
      <w:jc w:val="both"/>
      <w:outlineLvl w:val="0"/>
    </w:pPr>
    <w:rPr>
      <w:rFonts w:ascii="Arial Unicode MS" w:hAnsi="Arial Unicode MS" w:eastAsia="Arial Unicode MS" w:cs="Arial Unicode MS"/>
      <w:b/>
      <w:bCs/>
      <w:color w:val="000000"/>
      <w:kern w:val="44"/>
      <w:sz w:val="44"/>
      <w:szCs w:val="4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1273</Words>
  <Characters>7259</Characters>
  <Lines>60</Lines>
  <Paragraphs>17</Paragraphs>
  <TotalTime>83</TotalTime>
  <ScaleCrop>false</ScaleCrop>
  <LinksUpToDate>false</LinksUpToDate>
  <CharactersWithSpaces>8515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2019-04-13T23:51:00Z</dcterms:created>
  <dc:creator>袁峰</dc:creator>
  <cp:lastModifiedBy>jjh</cp:lastModifiedBy>
  <cp:lastPrinted>2022-02-24T09:26:00Z</cp:lastPrinted>
  <dcterms:modified xsi:type="dcterms:W3CDTF">2022-03-07T14:42:12Z</dcterms:modified>
  <dc:title>深财购〔2019〕27号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A1413CFBAA6040999BDDD3C78FECA3D9</vt:lpwstr>
  </property>
</Properties>
</file>