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kinsoku/>
        <w:wordWrap/>
        <w:overflowPunct/>
        <w:topLinePunct w:val="0"/>
        <w:autoSpaceDE/>
        <w:autoSpaceDN/>
        <w:bidi w:val="0"/>
        <w:adjustRightInd/>
        <w:snapToGrid/>
        <w:spacing w:before="0" w:beforeAutospacing="0" w:after="0" w:afterAutospacing="0" w:line="560" w:lineRule="exact"/>
        <w:ind w:left="0" w:leftChars="0"/>
        <w:jc w:val="center"/>
        <w:textAlignment w:val="auto"/>
        <w:rPr>
          <w:rFonts w:hint="eastAsia" w:asciiTheme="majorEastAsia" w:hAnsiTheme="majorEastAsia" w:eastAsiaTheme="majorEastAsia" w:cstheme="majorEastAsia"/>
          <w:b/>
          <w:bCs/>
          <w:color w:val="auto"/>
          <w:sz w:val="44"/>
          <w:szCs w:val="44"/>
          <w:lang w:val="en-US"/>
        </w:rPr>
      </w:pPr>
      <w:r>
        <w:rPr>
          <w:rFonts w:hint="eastAsia" w:asciiTheme="majorEastAsia" w:hAnsiTheme="majorEastAsia" w:eastAsiaTheme="majorEastAsia" w:cstheme="majorEastAsia"/>
          <w:b/>
          <w:bCs/>
          <w:color w:val="auto"/>
          <w:sz w:val="44"/>
          <w:szCs w:val="44"/>
          <w:lang w:val="en-US" w:eastAsia="zh-CN"/>
        </w:rPr>
        <w:t>购买坪山街道办事处2022年度</w:t>
      </w:r>
      <w:r>
        <w:rPr>
          <w:rFonts w:hint="eastAsia" w:asciiTheme="majorEastAsia" w:hAnsiTheme="majorEastAsia" w:eastAsiaTheme="majorEastAsia" w:cstheme="majorEastAsia"/>
          <w:b/>
          <w:bCs/>
          <w:color w:val="auto"/>
          <w:sz w:val="44"/>
          <w:szCs w:val="44"/>
          <w:lang w:eastAsia="zh-CN"/>
        </w:rPr>
        <w:t>机关事业单位及社区工作站</w:t>
      </w:r>
      <w:r>
        <w:rPr>
          <w:rFonts w:hint="eastAsia" w:asciiTheme="majorEastAsia" w:hAnsiTheme="majorEastAsia" w:eastAsiaTheme="majorEastAsia" w:cstheme="majorEastAsia"/>
          <w:b/>
          <w:bCs/>
          <w:color w:val="auto"/>
          <w:sz w:val="44"/>
          <w:szCs w:val="44"/>
          <w:lang w:val="en-US" w:eastAsia="zh-CN"/>
        </w:rPr>
        <w:t>会计集中核算服务项目采购需求</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Fonts w:hint="eastAsia" w:asciiTheme="minorEastAsia" w:hAnsiTheme="minorEastAsia" w:eastAsiaTheme="minorEastAsia" w:cstheme="minorEastAsia"/>
          <w:b/>
          <w:bCs/>
          <w:color w:val="auto"/>
          <w:sz w:val="28"/>
          <w:szCs w:val="28"/>
        </w:rPr>
      </w:pPr>
    </w:p>
    <w:p>
      <w:pPr>
        <w:pageBreakBefore w:val="0"/>
        <w:widowControl/>
        <w:kinsoku/>
        <w:wordWrap/>
        <w:overflowPunct/>
        <w:topLinePunct w:val="0"/>
        <w:autoSpaceDE/>
        <w:autoSpaceDN/>
        <w:bidi w:val="0"/>
        <w:adjustRightInd/>
        <w:snapToGrid/>
        <w:spacing w:beforeAutospacing="0" w:afterAutospacing="0" w:line="560" w:lineRule="exact"/>
        <w:ind w:left="0" w:leftChars="0" w:firstLine="562" w:firstLineChars="200"/>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一、采购项目概况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自新《政府会计制度》实施以来，政府会计核算模式发生了重大变化，新的政府会计核算模式是政府单位同时进行财务会计核算和预算会计核算。</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pPr>
      <w:r>
        <w:rPr>
          <w:rFonts w:hint="eastAsia" w:asciiTheme="minorEastAsia" w:hAnsiTheme="minorEastAsia" w:eastAsiaTheme="minorEastAsia" w:cstheme="minorEastAsia"/>
          <w:color w:val="auto"/>
          <w:sz w:val="28"/>
          <w:szCs w:val="28"/>
          <w:lang w:val="en-US" w:eastAsia="zh-CN"/>
        </w:rPr>
        <w:t>由于会计集中核算工作专业性较强、标准化程度要求高、时效性要求高，会计集中核算人员需熟练掌握会计专业知识、会计处理方法、统计分析方法及相关软件操作技能。为确保能及时、准确地对坪山街道办事处机关事业单位及社区工作站的经济业务进行全面、系统地核算和审核，确保能及时为信息使用者提供准确、完整的财务会计信息和预算执行结果。坪山街道党政综合办（财管组）通过向第三方购买坪山街道办事处机关事业单位及社区工作站2022年度会计集中核算服务，以提高工作效率和防范风险的能力。</w:t>
      </w:r>
    </w:p>
    <w:p>
      <w:pPr>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firstLine="562" w:firstLineChars="200"/>
        <w:jc w:val="both"/>
        <w:textAlignment w:val="baseline"/>
        <w:rPr>
          <w:rFonts w:hint="eastAsia" w:asciiTheme="minorEastAsia" w:hAnsiTheme="minorEastAsia" w:eastAsiaTheme="minorEastAsia" w:cstheme="minorEastAsia"/>
          <w:color w:val="auto"/>
          <w:sz w:val="28"/>
          <w:szCs w:val="28"/>
          <w:lang w:val="en-US" w:eastAsia="zh-CN"/>
        </w:rPr>
      </w:pPr>
      <w:r>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t>二、服务内容</w:t>
      </w:r>
    </w:p>
    <w:tbl>
      <w:tblPr>
        <w:tblStyle w:val="7"/>
        <w:tblW w:w="96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26"/>
        <w:gridCol w:w="5991"/>
        <w:gridCol w:w="871"/>
        <w:gridCol w:w="2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序号</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服务内容</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数量</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对收支单据的真实性、合法性、合规性进行审核。</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12个月</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2</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每月核对现金账及库存现金的一致性；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每月核对零余额账户与代理银行账户发生额与余额的一致性；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每月核对自有账户与商业银行账户发生额与余额的一致性。</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项</w:t>
            </w:r>
          </w:p>
        </w:tc>
        <w:tc>
          <w:tcPr>
            <w:tcW w:w="2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3</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对经济业务进行财务会计核算和预算会计核算（包括：</w:t>
            </w:r>
            <w:r>
              <w:rPr>
                <w:rStyle w:val="25"/>
                <w:lang w:val="en-US" w:eastAsia="zh-CN" w:bidi="ar"/>
              </w:rPr>
              <w:t>①</w:t>
            </w:r>
            <w:r>
              <w:rPr>
                <w:rFonts w:hint="eastAsia" w:ascii="宋体" w:hAnsi="宋体" w:eastAsia="宋体" w:cs="宋体"/>
                <w:i w:val="0"/>
                <w:color w:val="000000"/>
                <w:kern w:val="0"/>
                <w:sz w:val="22"/>
                <w:szCs w:val="22"/>
                <w:u w:val="none"/>
                <w:lang w:val="en-US" w:eastAsia="zh-CN" w:bidi="ar"/>
              </w:rPr>
              <w:t>填制财务会计记账凭证、登记财务会计会计账簿、编制财务会计会计报表；</w:t>
            </w:r>
            <w:r>
              <w:rPr>
                <w:rFonts w:ascii="汉仪书宋二S" w:hAnsi="汉仪书宋二S" w:eastAsia="汉仪书宋二S" w:cs="汉仪书宋二S"/>
                <w:i w:val="0"/>
                <w:color w:val="000000"/>
                <w:kern w:val="0"/>
                <w:sz w:val="22"/>
                <w:szCs w:val="22"/>
                <w:u w:val="none"/>
                <w:lang w:val="en-US" w:eastAsia="zh-CN" w:bidi="ar"/>
              </w:rPr>
              <w:t>②</w:t>
            </w:r>
            <w:r>
              <w:rPr>
                <w:rFonts w:hint="eastAsia" w:ascii="宋体" w:hAnsi="宋体" w:eastAsia="宋体" w:cs="宋体"/>
                <w:i w:val="0"/>
                <w:color w:val="000000"/>
                <w:kern w:val="0"/>
                <w:sz w:val="22"/>
                <w:szCs w:val="22"/>
                <w:u w:val="none"/>
                <w:lang w:val="en-US" w:eastAsia="zh-CN" w:bidi="ar"/>
              </w:rPr>
              <w:t>填制预算会计记账凭证、登记预算会计会计账簿、编制预算会计会计报表）。</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12个月</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要求：用新的会计核算模式进行会计集中核算。</w:t>
            </w:r>
          </w:p>
          <w:p>
            <w:pPr>
              <w:keepNext w:val="0"/>
              <w:keepLines w:val="0"/>
              <w:widowControl/>
              <w:suppressLineNumbers w:val="0"/>
              <w:ind w:firstLine="440" w:firstLineChars="20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新的会计核算模式是政府单位同时进行财务会计核算（填制财务会计记账凭证、登记财务会计会计账簿、编制财务会计会计报表）和预算会计核算（填制预算会计记账凭证、登记预算会计会计账簿、编制预算会计会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4</w:t>
            </w:r>
          </w:p>
        </w:tc>
        <w:tc>
          <w:tcPr>
            <w:tcW w:w="5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会计资料整理、装订成册，并妥善保管至移交给档案室为止。</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12个月</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2"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5</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提供部门决算的基础数据。</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6</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登录</w:t>
            </w:r>
            <w:r>
              <w:rPr>
                <w:rStyle w:val="26"/>
                <w:lang w:val="en-US" w:eastAsia="zh-CN" w:bidi="ar"/>
              </w:rPr>
              <w:t>财政部统一报表系统填报内部控制报告（包括收集和整理内部控制报告填报工作所需上传的相关资料）。</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7</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协助查找相关会计资料（含原坪山办事处会计资料）。</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8</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协助完成财务会计方面的信息统计分析。</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9</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提供会计咨询服务。</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10</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当坪山街道办事处机关事业单位和社区工作站发生接受主管部门、纪检部门、审计部门、财政部门、税务部门等依照法律和有关规定进行的监督、审计、财务检查、税务检查等情况时，如实提供会计凭证、会计账簿、会计报表和其他有关资料、按要求统计信息及填报相关表格。</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11</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指导坪山街道办事处各预算单位在申请</w:t>
            </w:r>
            <w:r>
              <w:rPr>
                <w:rFonts w:hint="eastAsia" w:ascii="宋体" w:hAnsi="宋体" w:cs="宋体"/>
                <w:i w:val="0"/>
                <w:color w:val="000000"/>
                <w:kern w:val="0"/>
                <w:sz w:val="22"/>
                <w:szCs w:val="22"/>
                <w:u w:val="none"/>
                <w:lang w:val="en-US" w:eastAsia="zh-CN" w:bidi="ar"/>
              </w:rPr>
              <w:t>用款</w:t>
            </w:r>
            <w:r>
              <w:rPr>
                <w:rFonts w:hint="eastAsia" w:ascii="宋体" w:hAnsi="宋体" w:eastAsia="宋体" w:cs="宋体"/>
                <w:i w:val="0"/>
                <w:color w:val="000000"/>
                <w:kern w:val="0"/>
                <w:sz w:val="22"/>
                <w:szCs w:val="22"/>
                <w:u w:val="none"/>
                <w:lang w:val="en-US" w:eastAsia="zh-CN" w:bidi="ar"/>
              </w:rPr>
              <w:t>计划时正确选择经济科目。</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12个月</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8"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12</w:t>
            </w:r>
          </w:p>
        </w:tc>
        <w:tc>
          <w:tcPr>
            <w:tcW w:w="5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编制坪山街道办事处各预算单位政府财务报告</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bl>
    <w:p>
      <w:pPr>
        <w:pageBreakBefore w:val="0"/>
        <w:widowControl/>
        <w:kinsoku/>
        <w:wordWrap/>
        <w:overflowPunct/>
        <w:topLinePunct w:val="0"/>
        <w:autoSpaceDE/>
        <w:autoSpaceDN/>
        <w:bidi w:val="0"/>
        <w:adjustRightInd/>
        <w:snapToGrid/>
        <w:spacing w:beforeAutospacing="0" w:afterAutospacing="0" w:line="560" w:lineRule="exact"/>
        <w:ind w:firstLine="562" w:firstLineChars="200"/>
        <w:jc w:val="both"/>
        <w:textAlignment w:val="baseline"/>
        <w:rPr>
          <w:rStyle w:val="13"/>
          <w:rFonts w:hint="default" w:asciiTheme="minorEastAsia" w:hAnsiTheme="minorEastAsia" w:eastAsiaTheme="minorEastAsia" w:cstheme="minorEastAsia"/>
          <w:b/>
          <w:bCs/>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t>三、项目管理和服务要求：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jc w:val="both"/>
        <w:textAlignment w:val="baseline"/>
        <w:rPr>
          <w:rFonts w:hint="eastAsia" w:asciiTheme="minorEastAsia" w:hAnsiTheme="minorEastAsia" w:eastAsiaTheme="minorEastAsia" w:cstheme="minorEastAsia"/>
          <w:color w:val="auto"/>
          <w:sz w:val="28"/>
          <w:szCs w:val="28"/>
          <w:lang w:val="en-US" w:eastAsia="zh-CN"/>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t>（一）中标单位安排6人或6人以上人员到采购单位从事</w:t>
      </w:r>
      <w:r>
        <w:rPr>
          <w:rFonts w:hint="eastAsia" w:asciiTheme="minorEastAsia" w:hAnsiTheme="minorEastAsia" w:eastAsiaTheme="minorEastAsia" w:cstheme="minorEastAsia"/>
          <w:color w:val="auto"/>
          <w:sz w:val="28"/>
          <w:szCs w:val="28"/>
          <w:lang w:val="en-US" w:eastAsia="zh-CN"/>
        </w:rPr>
        <w:t>坪山街道办事处机关事业单位及社区工作站2022年度会计集中核算服务。安排工作人员需具备会计从业资格或会计类大专以上学历。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t>（二）中标单位在确定为成交单位起的3个工作日内与采购单位签订合同。</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t>（三）</w:t>
      </w:r>
      <w:r>
        <w:rPr>
          <w:rFonts w:ascii="宋体" w:hAnsi="宋体" w:eastAsia="宋体" w:cs="宋体"/>
          <w:color w:val="auto"/>
          <w:sz w:val="28"/>
          <w:szCs w:val="28"/>
        </w:rPr>
        <w:t>中标单位派出的会计集中核算项目工作人员应服从采购单位管理，坚守岗位，按时完成工作任务，严格遵守采购单位规定的作息时间，自觉维护采购单位荣誉，不得利用职务之便贪污舞弊，不以伪造或盗用采购单位印信文件等不正当手段来从事其他活动，自觉维护采购单位利益，不侵占采购单位、同事或他人财物、不贪占、不无故损毁采购单位财物，遵守采购单位保密规定，保守采购单位秘密，不将采购单位的任何材料带离工作场所，不向他人泄露采购单位秘密，不散播不利于采购单位的言论，不做中伤采购单位的事，自觉维护采购单位声誉。对严重违反采购单位规章制度的工作人员，采购单位有权要求更换，中标单位应当予以更换，工作人员触犯法律的，工作人员本人承担法律责任。</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t>（四）投标单位须配合采购单位的采购小组对投标单位证明文件的核证工作。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t>（五）为确保项目质量，中标单位不得将项目转包、分包。</w:t>
      </w:r>
    </w:p>
    <w:p>
      <w:pPr>
        <w:pStyle w:val="10"/>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textAlignment w:val="baseline"/>
        <w:rPr>
          <w:rFonts w:hint="eastAsia" w:asciiTheme="minorEastAsia" w:hAnsiTheme="minorEastAsia" w:eastAsiaTheme="minorEastAsia" w:cstheme="minorEastAsia"/>
          <w:color w:val="auto"/>
          <w:sz w:val="28"/>
          <w:szCs w:val="28"/>
          <w:lang w:val="en-US" w:eastAsia="zh-CN"/>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t>（六）投标单位若认为采购需求文件的技术要求或其他要求有倾向性或不公正性，可在采购需求公告期间提出，以维护采购行为的公平、公正。</w:t>
      </w:r>
    </w:p>
    <w:p>
      <w:pPr>
        <w:pageBreakBefore w:val="0"/>
        <w:widowControl/>
        <w:kinsoku/>
        <w:wordWrap/>
        <w:overflowPunct/>
        <w:topLinePunct w:val="0"/>
        <w:autoSpaceDE/>
        <w:autoSpaceDN/>
        <w:bidi w:val="0"/>
        <w:adjustRightInd/>
        <w:snapToGrid/>
        <w:spacing w:beforeAutospacing="0" w:afterAutospacing="0" w:line="560" w:lineRule="exact"/>
        <w:ind w:firstLine="562" w:firstLineChars="200"/>
        <w:jc w:val="both"/>
        <w:textAlignment w:val="baseline"/>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t>四、供应商资格要求</w:t>
      </w:r>
    </w:p>
    <w:p>
      <w:pPr>
        <w:keepLines w:val="0"/>
        <w:pageBreakBefore w:val="0"/>
        <w:numPr>
          <w:ilvl w:val="0"/>
          <w:numId w:val="0"/>
        </w:numPr>
        <w:kinsoku/>
        <w:wordWrap/>
        <w:overflowPunct/>
        <w:topLinePunct w:val="0"/>
        <w:autoSpaceDE/>
        <w:autoSpaceDN/>
        <w:bidi w:val="0"/>
        <w:adjustRightInd/>
        <w:snapToGrid/>
        <w:spacing w:line="560" w:lineRule="exact"/>
        <w:ind w:firstLine="560" w:firstLineChars="200"/>
        <w:rPr>
          <w:rFonts w:hint="eastAsia" w:asciiTheme="minorEastAsia" w:hAnsiTheme="minorEastAsia" w:eastAsiaTheme="minorEastAsia" w:cstheme="minorEastAsia"/>
          <w:color w:val="auto"/>
          <w:sz w:val="28"/>
          <w:szCs w:val="28"/>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t>（一）</w:t>
      </w:r>
      <w:r>
        <w:rPr>
          <w:rFonts w:hint="eastAsia" w:asciiTheme="minorEastAsia" w:hAnsiTheme="minorEastAsia" w:eastAsiaTheme="minorEastAsia" w:cstheme="minorEastAsia"/>
          <w:color w:val="auto"/>
          <w:sz w:val="28"/>
          <w:szCs w:val="28"/>
        </w:rPr>
        <w:t>投标</w:t>
      </w:r>
      <w:r>
        <w:rPr>
          <w:rFonts w:hint="eastAsia" w:asciiTheme="minorEastAsia" w:hAnsiTheme="minorEastAsia" w:eastAsiaTheme="minorEastAsia" w:cstheme="minorEastAsia"/>
          <w:color w:val="auto"/>
          <w:sz w:val="28"/>
          <w:szCs w:val="28"/>
          <w:lang w:val="en-US" w:eastAsia="zh-CN"/>
        </w:rPr>
        <w:t>单位</w:t>
      </w:r>
      <w:r>
        <w:rPr>
          <w:rFonts w:hint="eastAsia" w:asciiTheme="minorEastAsia" w:hAnsiTheme="minorEastAsia" w:eastAsiaTheme="minorEastAsia" w:cstheme="minorEastAsia"/>
          <w:color w:val="auto"/>
          <w:sz w:val="28"/>
          <w:szCs w:val="28"/>
        </w:rPr>
        <w:t>须为在中华人民共和国境内注册</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具有</w:t>
      </w:r>
      <w:r>
        <w:rPr>
          <w:rFonts w:hint="eastAsia" w:asciiTheme="minorEastAsia" w:hAnsiTheme="minorEastAsia" w:eastAsiaTheme="minorEastAsia" w:cstheme="minorEastAsia"/>
          <w:color w:val="auto"/>
          <w:sz w:val="28"/>
          <w:szCs w:val="28"/>
        </w:rPr>
        <w:t>独立法人</w:t>
      </w:r>
      <w:r>
        <w:rPr>
          <w:rFonts w:hint="eastAsia" w:asciiTheme="minorEastAsia" w:hAnsiTheme="minorEastAsia" w:eastAsiaTheme="minorEastAsia" w:cstheme="minorEastAsia"/>
          <w:color w:val="auto"/>
          <w:sz w:val="28"/>
          <w:szCs w:val="28"/>
          <w:lang w:val="en-US" w:eastAsia="zh-CN"/>
        </w:rPr>
        <w:t>资格或是具有独立承担民事责任能力的其他组织（独立法人提供营业执照扫描件或复印件；非法人组织则提供主管部门颁发或批准成立的证书或其他证明文件扫描件或复印件）。</w:t>
      </w:r>
    </w:p>
    <w:p>
      <w:pPr>
        <w:keepNext w:val="0"/>
        <w:keepLines w:val="0"/>
        <w:pageBreakBefore w:val="0"/>
        <w:widowControl w:val="0"/>
        <w:kinsoku/>
        <w:wordWrap/>
        <w:overflowPunct/>
        <w:topLinePunct w:val="0"/>
        <w:autoSpaceDE/>
        <w:autoSpaceDN/>
        <w:bidi w:val="0"/>
        <w:adjustRightInd/>
        <w:snapToGrid/>
        <w:spacing w:afterLines="0" w:line="560" w:lineRule="exact"/>
        <w:ind w:firstLine="560" w:firstLineChars="200"/>
        <w:textAlignment w:val="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二</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投标</w:t>
      </w:r>
      <w:r>
        <w:rPr>
          <w:rFonts w:hint="eastAsia" w:asciiTheme="minorEastAsia" w:hAnsiTheme="minorEastAsia" w:eastAsiaTheme="minorEastAsia" w:cstheme="minorEastAsia"/>
          <w:color w:val="auto"/>
          <w:sz w:val="28"/>
          <w:szCs w:val="28"/>
          <w:lang w:val="en-US" w:eastAsia="zh-CN"/>
        </w:rPr>
        <w:t>单位</w:t>
      </w:r>
      <w:r>
        <w:rPr>
          <w:rFonts w:hint="eastAsia" w:asciiTheme="minorEastAsia" w:hAnsiTheme="minorEastAsia" w:eastAsiaTheme="minorEastAsia" w:cstheme="minorEastAsia"/>
          <w:color w:val="auto"/>
          <w:sz w:val="28"/>
          <w:szCs w:val="28"/>
        </w:rPr>
        <w:t>参加本次政府采购活动前3年内</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在经营活动中没有重大违法记录</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三）投标单位应具有良好的商业信誉。拒绝因违法经营受到刑事处罚或者责令停产停业、吊销许可证或者执照、受到较大数额罚款行政处罚的投标单位参与本项目的采购活动。</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2" w:firstLineChars="200"/>
        <w:jc w:val="both"/>
        <w:textAlignment w:val="baseline"/>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t>五、评标定标方法</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t>本项目采用综合评分法，即投标文件满足采购需求文件全部实质性要求，且按照评审因素的量化指标评审得分最高的投标单位为中标候选单位的评标方法。</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t>确定中标单位按评审后得分由高到低顺序排列。得分相同的，按投标报价由低到高顺序排列。得分且投标报价相同的，按技术指标优劣顺序排列。</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t>采购单位的采购小组对每个通过资格性检查和符合性检查且报价不超过预算金额或投标控制价的投标单位进行评审、打分，然后汇总每个投标单位每项评分因素的评分。</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t>采购单位的采购小组在评标时，按照以下量化的评审因素，对进入该阶段评审的各投标文件进行分析和比较：</w:t>
      </w:r>
    </w:p>
    <w:p>
      <w:pPr>
        <w:pStyle w:val="18"/>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jc w:val="center"/>
        <w:textAlignment w:val="baseline"/>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rPr>
      </w:pPr>
      <w:r>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rPr>
        <w:t>评标信息</w:t>
      </w:r>
    </w:p>
    <w:tbl>
      <w:tblPr>
        <w:tblStyle w:val="7"/>
        <w:tblW w:w="93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080"/>
        <w:gridCol w:w="690"/>
        <w:gridCol w:w="1125"/>
        <w:gridCol w:w="4994"/>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3687" w:type="dxa"/>
            <w:gridSpan w:val="4"/>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1"/>
                <w:szCs w:val="21"/>
                <w:lang w:val="en-US" w:eastAsia="zh-CN" w:bidi="ar-SA"/>
              </w:rPr>
              <w:t>评分项</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1"/>
                <w:szCs w:val="21"/>
                <w:lang w:val="en-US" w:eastAsia="zh-CN" w:bidi="ar-SA"/>
              </w:rPr>
              <w:t>权重</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1"/>
                <w:szCs w:val="21"/>
                <w:lang w:val="en-US" w:eastAsia="zh-CN" w:bidi="ar-S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3687" w:type="dxa"/>
            <w:gridSpan w:val="4"/>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t>价格指标</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t>20</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t>评分因素</w:t>
            </w:r>
          </w:p>
        </w:tc>
        <w:tc>
          <w:tcPr>
            <w:tcW w:w="6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t>权重</w:t>
            </w:r>
          </w:p>
        </w:tc>
        <w:tc>
          <w:tcPr>
            <w:tcW w:w="11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t>评分方式</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t>评分准则</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t>价格高低</w:t>
            </w:r>
          </w:p>
        </w:tc>
        <w:tc>
          <w:tcPr>
            <w:tcW w:w="6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t>20</w:t>
            </w:r>
          </w:p>
        </w:tc>
        <w:tc>
          <w:tcPr>
            <w:tcW w:w="11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采购小组打分</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left"/>
              <w:textAlignment w:val="baseline"/>
              <w:rPr>
                <w:rStyle w:val="13"/>
                <w:rFonts w:hint="eastAsia" w:asciiTheme="minorEastAsia" w:hAnsiTheme="minorEastAsia" w:eastAsiaTheme="minorEastAsia" w:cstheme="minorEastAsia"/>
                <w:b w:val="0"/>
                <w:bCs/>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满足采购需求中供应商资格要求，且投标价格最低的投标报价为评标基准价，其价格分为满分；其它投标单位的价格分统一按照下列公式计算：</w:t>
            </w: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br w:type="textWrapping"/>
            </w: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投标报价得分=（评标基准价/投标报价）×价格权值×100。</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687" w:type="dxa"/>
            <w:gridSpan w:val="4"/>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t>技术指标</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t>45</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评分因素</w:t>
            </w:r>
          </w:p>
        </w:tc>
        <w:tc>
          <w:tcPr>
            <w:tcW w:w="6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权重</w:t>
            </w:r>
          </w:p>
        </w:tc>
        <w:tc>
          <w:tcPr>
            <w:tcW w:w="11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评分方式</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评分准则</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default" w:asciiTheme="minorEastAsia" w:hAnsiTheme="minorEastAsia" w:eastAsiaTheme="minorEastAsia" w:cstheme="minorEastAsia"/>
                <w:b w:val="0"/>
                <w:i w:val="0"/>
                <w:caps w:val="0"/>
                <w:color w:val="auto"/>
                <w:spacing w:val="0"/>
                <w:w w:val="100"/>
                <w:kern w:val="0"/>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项目服务方案</w:t>
            </w:r>
          </w:p>
        </w:tc>
        <w:tc>
          <w:tcPr>
            <w:tcW w:w="6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15</w:t>
            </w:r>
          </w:p>
        </w:tc>
        <w:tc>
          <w:tcPr>
            <w:tcW w:w="11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采购小组打分</w:t>
            </w:r>
          </w:p>
        </w:tc>
        <w:tc>
          <w:tcPr>
            <w:tcW w:w="4994"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（一）评分内容：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项目整体设想及规划，管理目标是否符合项目要求</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根据</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 xml:space="preserve">文件的需求和投标文件响应情况进行全面打分。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（二）评分依据：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1、投标文件响应该项内容全面；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2、投标文件响应该项内容具体；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3、投标文件响应该项内容针对性强；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4、投标文件响应该项内容科学合理；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5、投标文件响应该项内容可操作性强。 </w:t>
            </w:r>
          </w:p>
          <w:p>
            <w:pPr>
              <w:pStyle w:val="2"/>
              <w:pageBreakBefore w:val="0"/>
              <w:numPr>
                <w:ilvl w:val="0"/>
                <w:numId w:val="0"/>
              </w:numPr>
              <w:kinsoku/>
              <w:wordWrap/>
              <w:overflowPunct/>
              <w:topLinePunct w:val="0"/>
              <w:autoSpaceDE/>
              <w:autoSpaceDN/>
              <w:bidi w:val="0"/>
              <w:adjustRightInd/>
              <w:snapToGrid/>
              <w:spacing w:line="560" w:lineRule="exact"/>
              <w:ind w:left="0" w:leftChars="0"/>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Fonts w:hint="eastAsia" w:asciiTheme="minorEastAsia" w:hAnsiTheme="minorEastAsia" w:eastAsiaTheme="minorEastAsia" w:cstheme="minorEastAsia"/>
                <w:color w:val="auto"/>
                <w:sz w:val="21"/>
                <w:szCs w:val="21"/>
              </w:rPr>
              <w:t>满足以上五项要求的得</w:t>
            </w:r>
            <w:r>
              <w:rPr>
                <w:rFonts w:hint="eastAsia" w:asciiTheme="minorEastAsia" w:hAnsiTheme="minorEastAsia" w:eastAsiaTheme="minorEastAsia" w:cstheme="minorEastAsia"/>
                <w:color w:val="auto"/>
                <w:sz w:val="21"/>
                <w:szCs w:val="21"/>
                <w:lang w:val="en-US" w:eastAsia="zh-CN"/>
              </w:rPr>
              <w:t>100%</w:t>
            </w:r>
            <w:r>
              <w:rPr>
                <w:rFonts w:hint="eastAsia" w:asciiTheme="minorEastAsia" w:hAnsiTheme="minorEastAsia" w:eastAsiaTheme="minorEastAsia" w:cstheme="minorEastAsia"/>
                <w:color w:val="auto"/>
                <w:sz w:val="21"/>
                <w:szCs w:val="21"/>
              </w:rPr>
              <w:t>；满足以上四项要求的得</w:t>
            </w:r>
            <w:r>
              <w:rPr>
                <w:rFonts w:hint="eastAsia" w:asciiTheme="minorEastAsia" w:hAnsiTheme="minorEastAsia" w:eastAsiaTheme="minorEastAsia" w:cstheme="minorEastAsia"/>
                <w:color w:val="auto"/>
                <w:sz w:val="21"/>
                <w:szCs w:val="21"/>
                <w:lang w:val="en-US" w:eastAsia="zh-CN"/>
              </w:rPr>
              <w:t>80%</w:t>
            </w:r>
            <w:r>
              <w:rPr>
                <w:rFonts w:hint="eastAsia" w:asciiTheme="minorEastAsia" w:hAnsiTheme="minorEastAsia" w:eastAsiaTheme="minorEastAsia" w:cstheme="minorEastAsia"/>
                <w:color w:val="auto"/>
                <w:sz w:val="21"/>
                <w:szCs w:val="21"/>
              </w:rPr>
              <w:t>；满足以上三项要求的得</w:t>
            </w:r>
            <w:r>
              <w:rPr>
                <w:rFonts w:hint="eastAsia" w:asciiTheme="minorEastAsia" w:hAnsiTheme="minorEastAsia" w:eastAsiaTheme="minorEastAsia" w:cstheme="minorEastAsia"/>
                <w:color w:val="auto"/>
                <w:sz w:val="21"/>
                <w:szCs w:val="21"/>
                <w:lang w:val="en-US" w:eastAsia="zh-CN"/>
              </w:rPr>
              <w:t>60%</w:t>
            </w:r>
            <w:r>
              <w:rPr>
                <w:rFonts w:hint="eastAsia" w:asciiTheme="minorEastAsia" w:hAnsiTheme="minorEastAsia" w:eastAsiaTheme="minorEastAsia" w:cstheme="minorEastAsia"/>
                <w:color w:val="auto"/>
                <w:sz w:val="21"/>
                <w:szCs w:val="21"/>
              </w:rPr>
              <w:t>；满足以上两项要求的得</w:t>
            </w:r>
            <w:r>
              <w:rPr>
                <w:rFonts w:hint="eastAsia" w:asciiTheme="minorEastAsia" w:hAnsiTheme="minorEastAsia" w:eastAsiaTheme="minorEastAsia" w:cstheme="minorEastAsia"/>
                <w:color w:val="auto"/>
                <w:sz w:val="21"/>
                <w:szCs w:val="21"/>
                <w:lang w:val="en-US" w:eastAsia="zh-CN"/>
              </w:rPr>
              <w:t>40%</w:t>
            </w:r>
            <w:r>
              <w:rPr>
                <w:rFonts w:hint="eastAsia" w:asciiTheme="minorEastAsia" w:hAnsiTheme="minorEastAsia" w:eastAsiaTheme="minorEastAsia" w:cstheme="minorEastAsia"/>
                <w:color w:val="auto"/>
                <w:sz w:val="21"/>
                <w:szCs w:val="21"/>
              </w:rPr>
              <w:t>；其他情况的，不得分。</w:t>
            </w:r>
          </w:p>
        </w:tc>
        <w:tc>
          <w:tcPr>
            <w:tcW w:w="705"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wordWrap/>
              <w:overflowPunct/>
              <w:topLinePunct w:val="0"/>
              <w:autoSpaceDE/>
              <w:autoSpaceDN/>
              <w:bidi w:val="0"/>
              <w:adjustRightInd/>
              <w:snapToGrid/>
              <w:spacing w:beforeAutospacing="0" w:afterAutospacing="0" w:line="560" w:lineRule="exact"/>
              <w:ind w:left="0" w:leftChars="0"/>
              <w:jc w:val="left"/>
              <w:textAlignment w:val="baseline"/>
              <w:rPr>
                <w:rStyle w:val="13"/>
                <w:rFonts w:hint="eastAsia" w:asciiTheme="minorEastAsia" w:hAnsiTheme="minorEastAsia" w:eastAsiaTheme="minorEastAsia" w:cstheme="minorEastAsia"/>
                <w:b w:val="0"/>
                <w:i w:val="0"/>
                <w:caps w:val="0"/>
                <w:color w:val="auto"/>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8"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snapToGrid/>
              <w:spacing w:line="560" w:lineRule="exact"/>
              <w:ind w:left="0" w:lef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adjustRightInd/>
              <w:snapToGrid/>
              <w:spacing w:line="560" w:lineRule="exact"/>
              <w:ind w:left="0" w:leftChars="0"/>
              <w:jc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rPr>
              <w:t>进度计划及服务质量保障</w:t>
            </w:r>
          </w:p>
        </w:tc>
        <w:tc>
          <w:tcPr>
            <w:tcW w:w="690"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snapToGrid/>
              <w:spacing w:line="560" w:lineRule="exact"/>
              <w:ind w:left="0" w:lef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15</w:t>
            </w:r>
          </w:p>
        </w:tc>
        <w:tc>
          <w:tcPr>
            <w:tcW w:w="1125"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snapToGrid/>
              <w:spacing w:line="560" w:lineRule="exact"/>
              <w:ind w:left="0" w:lef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采购小组打分</w:t>
            </w:r>
          </w:p>
        </w:tc>
        <w:tc>
          <w:tcPr>
            <w:tcW w:w="4994"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（一）评分内容：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项目整体</w:t>
            </w:r>
            <w:r>
              <w:rPr>
                <w:rFonts w:hint="eastAsia" w:asciiTheme="minorEastAsia" w:hAnsiTheme="minorEastAsia" w:eastAsiaTheme="minorEastAsia" w:cstheme="minorEastAsia"/>
                <w:color w:val="auto"/>
                <w:sz w:val="21"/>
                <w:szCs w:val="21"/>
                <w:lang w:val="en-US" w:eastAsia="zh-CN"/>
              </w:rPr>
              <w:t>进度计划及服务质量保障是否符合项目要求。</w:t>
            </w:r>
            <w:r>
              <w:rPr>
                <w:rFonts w:hint="eastAsia" w:asciiTheme="minorEastAsia" w:hAnsiTheme="minorEastAsia" w:eastAsiaTheme="minorEastAsia" w:cstheme="minorEastAsia"/>
                <w:color w:val="auto"/>
                <w:sz w:val="21"/>
                <w:szCs w:val="21"/>
              </w:rPr>
              <w:t>根据</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 xml:space="preserve">文件的需求和投标文件响应情况进行全面打分。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（二）评分依据：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1、投标文件响应该项内容全面；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2、投标文件响应该项内容具体；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3、投标文件响应该项内容针对性强；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4、投标文件响应该项内容科学合理；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5、投标文件响应该项内容可操作性强。 </w:t>
            </w:r>
          </w:p>
          <w:p>
            <w:pPr>
              <w:pStyle w:val="2"/>
              <w:pageBreakBefore w:val="0"/>
              <w:kinsoku/>
              <w:wordWrap/>
              <w:overflowPunct/>
              <w:topLinePunct w:val="0"/>
              <w:autoSpaceDE/>
              <w:autoSpaceDN/>
              <w:bidi w:val="0"/>
              <w:adjustRightInd/>
              <w:snapToGrid/>
              <w:spacing w:line="560" w:lineRule="exact"/>
              <w:ind w:left="0" w:left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满足以上五项要求的得</w:t>
            </w:r>
            <w:r>
              <w:rPr>
                <w:rFonts w:hint="eastAsia" w:asciiTheme="minorEastAsia" w:hAnsiTheme="minorEastAsia" w:eastAsiaTheme="minorEastAsia" w:cstheme="minorEastAsia"/>
                <w:color w:val="auto"/>
                <w:sz w:val="21"/>
                <w:szCs w:val="21"/>
                <w:lang w:val="en-US" w:eastAsia="zh-CN"/>
              </w:rPr>
              <w:t>100%</w:t>
            </w:r>
            <w:r>
              <w:rPr>
                <w:rFonts w:hint="eastAsia" w:asciiTheme="minorEastAsia" w:hAnsiTheme="minorEastAsia" w:eastAsiaTheme="minorEastAsia" w:cstheme="minorEastAsia"/>
                <w:color w:val="auto"/>
                <w:sz w:val="21"/>
                <w:szCs w:val="21"/>
              </w:rPr>
              <w:t>；满足以上四项要求的得</w:t>
            </w:r>
            <w:r>
              <w:rPr>
                <w:rFonts w:hint="eastAsia" w:asciiTheme="minorEastAsia" w:hAnsiTheme="minorEastAsia" w:eastAsiaTheme="minorEastAsia" w:cstheme="minorEastAsia"/>
                <w:color w:val="auto"/>
                <w:sz w:val="21"/>
                <w:szCs w:val="21"/>
                <w:lang w:val="en-US" w:eastAsia="zh-CN"/>
              </w:rPr>
              <w:t>80%</w:t>
            </w:r>
            <w:r>
              <w:rPr>
                <w:rFonts w:hint="eastAsia" w:asciiTheme="minorEastAsia" w:hAnsiTheme="minorEastAsia" w:eastAsiaTheme="minorEastAsia" w:cstheme="minorEastAsia"/>
                <w:color w:val="auto"/>
                <w:sz w:val="21"/>
                <w:szCs w:val="21"/>
              </w:rPr>
              <w:t>；满足以上三项要求的得</w:t>
            </w:r>
            <w:r>
              <w:rPr>
                <w:rFonts w:hint="eastAsia" w:asciiTheme="minorEastAsia" w:hAnsiTheme="minorEastAsia" w:eastAsiaTheme="minorEastAsia" w:cstheme="minorEastAsia"/>
                <w:color w:val="auto"/>
                <w:sz w:val="21"/>
                <w:szCs w:val="21"/>
                <w:lang w:val="en-US" w:eastAsia="zh-CN"/>
              </w:rPr>
              <w:t>60%</w:t>
            </w:r>
            <w:r>
              <w:rPr>
                <w:rFonts w:hint="eastAsia" w:asciiTheme="minorEastAsia" w:hAnsiTheme="minorEastAsia" w:eastAsiaTheme="minorEastAsia" w:cstheme="minorEastAsia"/>
                <w:color w:val="auto"/>
                <w:sz w:val="21"/>
                <w:szCs w:val="21"/>
              </w:rPr>
              <w:t>；满足以上两项要求的得</w:t>
            </w:r>
            <w:r>
              <w:rPr>
                <w:rFonts w:hint="eastAsia" w:asciiTheme="minorEastAsia" w:hAnsiTheme="minorEastAsia" w:eastAsiaTheme="minorEastAsia" w:cstheme="minorEastAsia"/>
                <w:color w:val="auto"/>
                <w:sz w:val="21"/>
                <w:szCs w:val="21"/>
                <w:lang w:val="en-US" w:eastAsia="zh-CN"/>
              </w:rPr>
              <w:t>40%</w:t>
            </w:r>
            <w:r>
              <w:rPr>
                <w:rFonts w:hint="eastAsia" w:asciiTheme="minorEastAsia" w:hAnsiTheme="minorEastAsia" w:eastAsiaTheme="minorEastAsia" w:cstheme="minorEastAsia"/>
                <w:color w:val="auto"/>
                <w:sz w:val="21"/>
                <w:szCs w:val="21"/>
              </w:rPr>
              <w:t>；其他情况的，不得分。</w:t>
            </w:r>
          </w:p>
        </w:tc>
        <w:tc>
          <w:tcPr>
            <w:tcW w:w="705"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wordWrap/>
              <w:overflowPunct/>
              <w:topLinePunct w:val="0"/>
              <w:autoSpaceDE/>
              <w:autoSpaceDN/>
              <w:bidi w:val="0"/>
              <w:adjustRightInd/>
              <w:snapToGrid/>
              <w:spacing w:beforeAutospacing="0" w:afterAutospacing="0" w:line="560" w:lineRule="exact"/>
              <w:ind w:left="0" w:leftChars="0"/>
              <w:jc w:val="left"/>
              <w:textAlignment w:val="baseline"/>
              <w:rPr>
                <w:rStyle w:val="13"/>
                <w:rFonts w:hint="eastAsia" w:asciiTheme="minorEastAsia" w:hAnsiTheme="minorEastAsia" w:eastAsiaTheme="minorEastAsia" w:cstheme="minorEastAsia"/>
                <w:b w:val="0"/>
                <w:i w:val="0"/>
                <w:caps w:val="0"/>
                <w:color w:val="auto"/>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8"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Fonts w:hint="eastAsia" w:asciiTheme="minorEastAsia" w:hAnsiTheme="minorEastAsia" w:eastAsiaTheme="minorEastAsia" w:cstheme="minorEastAsia"/>
                <w:b w:val="0"/>
                <w:i w:val="0"/>
                <w:caps w:val="0"/>
                <w:color w:val="auto"/>
                <w:spacing w:val="0"/>
                <w:w w:val="100"/>
                <w:kern w:val="0"/>
                <w:sz w:val="21"/>
                <w:szCs w:val="21"/>
                <w:lang w:val="en-US" w:eastAsia="zh-CN" w:bidi="ar-SA"/>
              </w:rPr>
            </w:pPr>
            <w:r>
              <w:rPr>
                <w:rFonts w:hint="eastAsia" w:asciiTheme="minorEastAsia" w:hAnsiTheme="minorEastAsia" w:eastAsiaTheme="minorEastAsia" w:cstheme="minorEastAsia"/>
                <w:color w:val="auto"/>
                <w:sz w:val="21"/>
                <w:szCs w:val="21"/>
              </w:rPr>
              <w:t>员工日常管理计划及流程</w:t>
            </w:r>
          </w:p>
        </w:tc>
        <w:tc>
          <w:tcPr>
            <w:tcW w:w="6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15</w:t>
            </w:r>
          </w:p>
        </w:tc>
        <w:tc>
          <w:tcPr>
            <w:tcW w:w="11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Fonts w:hint="eastAsia" w:asciiTheme="minorEastAsia" w:hAnsiTheme="minorEastAsia" w:eastAsiaTheme="minorEastAsia" w:cstheme="minorEastAsia"/>
                <w:color w:val="auto"/>
                <w:sz w:val="21"/>
                <w:szCs w:val="21"/>
              </w:rPr>
              <w:t>采购小组打分</w:t>
            </w:r>
          </w:p>
        </w:tc>
        <w:tc>
          <w:tcPr>
            <w:tcW w:w="4994"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（一）评分内容：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项目员工日常管理计划及流程</w:t>
            </w:r>
            <w:r>
              <w:rPr>
                <w:rFonts w:hint="eastAsia" w:asciiTheme="minorEastAsia" w:hAnsiTheme="minorEastAsia" w:eastAsiaTheme="minorEastAsia" w:cstheme="minorEastAsia"/>
                <w:color w:val="auto"/>
                <w:sz w:val="21"/>
                <w:szCs w:val="21"/>
                <w:lang w:val="en-US" w:eastAsia="zh-CN"/>
              </w:rPr>
              <w:t>是否</w:t>
            </w:r>
            <w:r>
              <w:rPr>
                <w:rFonts w:hint="eastAsia" w:asciiTheme="minorEastAsia" w:hAnsiTheme="minorEastAsia" w:eastAsiaTheme="minorEastAsia" w:cstheme="minorEastAsia"/>
                <w:color w:val="auto"/>
                <w:sz w:val="21"/>
                <w:szCs w:val="21"/>
              </w:rPr>
              <w:t>符合</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单位整体需求。根据</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文件的需求和投标文件响应情况进行全面打分。</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（二）评分依据：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1、投标文件响应该项内容全面；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2、投标文件响应该项内容具体；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3、投标文件响应该项内容针对性强；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4、投标文件响应该项内容科学合理； </w:t>
            </w:r>
          </w:p>
          <w:p>
            <w:pPr>
              <w:pageBreakBefore w:val="0"/>
              <w:kinsoku/>
              <w:wordWrap/>
              <w:overflowPunct/>
              <w:topLinePunct w:val="0"/>
              <w:autoSpaceDE/>
              <w:autoSpaceDN/>
              <w:bidi w:val="0"/>
              <w:adjustRightInd/>
              <w:snapToGrid/>
              <w:spacing w:line="560" w:lineRule="exact"/>
              <w:ind w:left="0" w:left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5、投标文件响应该项内容可操作性强。 </w:t>
            </w:r>
          </w:p>
          <w:p>
            <w:pPr>
              <w:pStyle w:val="2"/>
              <w:pageBreakBefore w:val="0"/>
              <w:kinsoku/>
              <w:wordWrap/>
              <w:overflowPunct/>
              <w:topLinePunct w:val="0"/>
              <w:autoSpaceDE/>
              <w:autoSpaceDN/>
              <w:bidi w:val="0"/>
              <w:adjustRightInd/>
              <w:snapToGrid/>
              <w:spacing w:line="560" w:lineRule="exact"/>
              <w:ind w:left="0" w:leftChars="0"/>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Fonts w:hint="eastAsia" w:asciiTheme="minorEastAsia" w:hAnsiTheme="minorEastAsia" w:eastAsiaTheme="minorEastAsia" w:cstheme="minorEastAsia"/>
                <w:color w:val="auto"/>
                <w:sz w:val="21"/>
                <w:szCs w:val="21"/>
              </w:rPr>
              <w:t>满足以上五项要求的得</w:t>
            </w:r>
            <w:r>
              <w:rPr>
                <w:rFonts w:hint="eastAsia" w:asciiTheme="minorEastAsia" w:hAnsiTheme="minorEastAsia" w:eastAsiaTheme="minorEastAsia" w:cstheme="minorEastAsia"/>
                <w:color w:val="auto"/>
                <w:sz w:val="21"/>
                <w:szCs w:val="21"/>
                <w:lang w:val="en-US" w:eastAsia="zh-CN"/>
              </w:rPr>
              <w:t>100%</w:t>
            </w:r>
            <w:r>
              <w:rPr>
                <w:rFonts w:hint="eastAsia" w:asciiTheme="minorEastAsia" w:hAnsiTheme="minorEastAsia" w:eastAsiaTheme="minorEastAsia" w:cstheme="minorEastAsia"/>
                <w:color w:val="auto"/>
                <w:sz w:val="21"/>
                <w:szCs w:val="21"/>
              </w:rPr>
              <w:t>；满足以上四项要求的得</w:t>
            </w:r>
            <w:r>
              <w:rPr>
                <w:rFonts w:hint="eastAsia" w:asciiTheme="minorEastAsia" w:hAnsiTheme="minorEastAsia" w:eastAsiaTheme="minorEastAsia" w:cstheme="minorEastAsia"/>
                <w:color w:val="auto"/>
                <w:sz w:val="21"/>
                <w:szCs w:val="21"/>
                <w:lang w:val="en-US" w:eastAsia="zh-CN"/>
              </w:rPr>
              <w:t>80%</w:t>
            </w:r>
            <w:r>
              <w:rPr>
                <w:rFonts w:hint="eastAsia" w:asciiTheme="minorEastAsia" w:hAnsiTheme="minorEastAsia" w:eastAsiaTheme="minorEastAsia" w:cstheme="minorEastAsia"/>
                <w:color w:val="auto"/>
                <w:sz w:val="21"/>
                <w:szCs w:val="21"/>
              </w:rPr>
              <w:t>；满足以上三项要求的得</w:t>
            </w:r>
            <w:r>
              <w:rPr>
                <w:rFonts w:hint="eastAsia" w:asciiTheme="minorEastAsia" w:hAnsiTheme="minorEastAsia" w:eastAsiaTheme="minorEastAsia" w:cstheme="minorEastAsia"/>
                <w:color w:val="auto"/>
                <w:sz w:val="21"/>
                <w:szCs w:val="21"/>
                <w:lang w:val="en-US" w:eastAsia="zh-CN"/>
              </w:rPr>
              <w:t>60%</w:t>
            </w:r>
            <w:r>
              <w:rPr>
                <w:rFonts w:hint="eastAsia" w:asciiTheme="minorEastAsia" w:hAnsiTheme="minorEastAsia" w:eastAsiaTheme="minorEastAsia" w:cstheme="minorEastAsia"/>
                <w:color w:val="auto"/>
                <w:sz w:val="21"/>
                <w:szCs w:val="21"/>
              </w:rPr>
              <w:t>；满足以上两项要求的得</w:t>
            </w:r>
            <w:r>
              <w:rPr>
                <w:rFonts w:hint="eastAsia" w:asciiTheme="minorEastAsia" w:hAnsiTheme="minorEastAsia" w:eastAsiaTheme="minorEastAsia" w:cstheme="minorEastAsia"/>
                <w:color w:val="auto"/>
                <w:sz w:val="21"/>
                <w:szCs w:val="21"/>
                <w:lang w:val="en-US" w:eastAsia="zh-CN"/>
              </w:rPr>
              <w:t>40%</w:t>
            </w:r>
            <w:r>
              <w:rPr>
                <w:rFonts w:hint="eastAsia" w:asciiTheme="minorEastAsia" w:hAnsiTheme="minorEastAsia" w:eastAsiaTheme="minorEastAsia" w:cstheme="minorEastAsia"/>
                <w:color w:val="auto"/>
                <w:sz w:val="21"/>
                <w:szCs w:val="21"/>
              </w:rPr>
              <w:t>；其他情况的，不得分。</w:t>
            </w:r>
          </w:p>
        </w:tc>
        <w:tc>
          <w:tcPr>
            <w:tcW w:w="705" w:type="dxa"/>
            <w:tcBorders>
              <w:top w:val="single" w:color="000000" w:sz="4" w:space="0"/>
              <w:left w:val="single" w:color="000000" w:sz="4" w:space="0"/>
              <w:bottom w:val="single" w:color="000000" w:sz="4" w:space="0"/>
              <w:right w:val="single" w:color="000000" w:sz="4" w:space="0"/>
            </w:tcBorders>
            <w:vAlign w:val="top"/>
          </w:tcPr>
          <w:p>
            <w:pPr>
              <w:pageBreakBefore w:val="0"/>
              <w:widowControl/>
              <w:kinsoku/>
              <w:wordWrap/>
              <w:overflowPunct/>
              <w:topLinePunct w:val="0"/>
              <w:autoSpaceDE/>
              <w:autoSpaceDN/>
              <w:bidi w:val="0"/>
              <w:adjustRightInd/>
              <w:snapToGrid/>
              <w:spacing w:beforeAutospacing="0" w:afterAutospacing="0" w:line="560" w:lineRule="exact"/>
              <w:ind w:left="0" w:leftChars="0"/>
              <w:jc w:val="left"/>
              <w:textAlignment w:val="baseline"/>
              <w:rPr>
                <w:rStyle w:val="13"/>
                <w:rFonts w:hint="eastAsia" w:asciiTheme="minorEastAsia" w:hAnsiTheme="minorEastAsia" w:eastAsiaTheme="minorEastAsia" w:cstheme="minorEastAsia"/>
                <w:b w:val="0"/>
                <w:i w:val="0"/>
                <w:caps w:val="0"/>
                <w:color w:val="auto"/>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3687" w:type="dxa"/>
            <w:gridSpan w:val="4"/>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t>综合实力指标</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t>35</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评分因素</w:t>
            </w:r>
          </w:p>
        </w:tc>
        <w:tc>
          <w:tcPr>
            <w:tcW w:w="69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权重</w:t>
            </w:r>
          </w:p>
        </w:tc>
        <w:tc>
          <w:tcPr>
            <w:tcW w:w="11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评分方式</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评分准则</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p>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相关认证情况</w:t>
            </w: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default"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10</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采购小组打分</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 xml:space="preserve">（一）评分内容： </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 xml:space="preserve">投标单位需具有以下认证证书： </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 xml:space="preserve">1、质量管理体系认证证书得35%； </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 xml:space="preserve">2、反贿赂管理体系认证证书得35%； </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3、职业健康安全管理体系认证证书得30%；</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 xml:space="preserve"> 以上三项累计最高得100%。 </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 xml:space="preserve">（二）评分标准： </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 xml:space="preserve">投标单位需提供有效的认证证书复印件加盖投标单位公章，原件备查。提供证明材料不清晰，或在评分中出现无证明材料或采购小组无法凭所提供材料判断是否得分的情况，一律作不得分处理。 </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left"/>
              <w:textAlignment w:val="baseline"/>
              <w:rPr>
                <w:rStyle w:val="13"/>
                <w:rFonts w:hint="eastAsia" w:asciiTheme="minorEastAsia" w:hAnsiTheme="minorEastAsia" w:eastAsiaTheme="minorEastAsia" w:cstheme="minorEastAsia"/>
                <w:b w:val="0"/>
                <w:i w:val="0"/>
                <w:caps w:val="0"/>
                <w:color w:val="auto"/>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p>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投标单位奖项（荣誉、表彰）情况</w:t>
            </w: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5</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采购小组打分</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评分内容：</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1.2018年1月至本项目发布采购公告之日，获得“广东省诚信示范企业”证书得50%；</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2.2018年1月至本项目发布采购公告之日，获得“守合同重信用” 荣誉的得50%。</w:t>
            </w:r>
          </w:p>
          <w:p>
            <w:pPr>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评分标准：</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 xml:space="preserve">提供相关奖项（荣誉、表彰）证书复印件并加盖投标单位公章，原件备查。提供证明材料不清晰，或在评分中出现无证明资料或采购小组无法凭所提供资料判断是否得分的情况，一律作不得分处理。 </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left"/>
              <w:textAlignment w:val="baseline"/>
              <w:rPr>
                <w:rStyle w:val="13"/>
                <w:rFonts w:hint="eastAsia" w:asciiTheme="minorEastAsia" w:hAnsiTheme="minorEastAsia" w:eastAsiaTheme="minorEastAsia" w:cstheme="minorEastAsia"/>
                <w:b w:val="0"/>
                <w:i w:val="0"/>
                <w:caps w:val="0"/>
                <w:color w:val="auto"/>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p>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 xml:space="preserve">诚信档案 </w:t>
            </w: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5</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采购小组打分</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 xml:space="preserve"> （一）评分内容：</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default"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根据深圳市财政委员会政府采购诚信管理相关规定，对投标单位被记录诚信档案的情况进行评审；（对于受过行政处罚的供应商，行政处罚期满后，可参与政府采购活动，其诚信分不再扣减，否则不得分）。</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（二）评分标准：</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提供《诚信承诺函》（格式自拟）并加盖投标单位公章，如若投标单位承诺与实际情况不相符，将按照虚假投标的情况报相关主管部门处理。</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left"/>
              <w:textAlignment w:val="baseline"/>
              <w:rPr>
                <w:rStyle w:val="13"/>
                <w:rFonts w:hint="eastAsia" w:asciiTheme="minorEastAsia" w:hAnsiTheme="minorEastAsia" w:eastAsiaTheme="minorEastAsia" w:cstheme="minorEastAsia"/>
                <w:b w:val="0"/>
                <w:i w:val="0"/>
                <w:caps w:val="0"/>
                <w:color w:val="auto"/>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4" w:hRule="atLeast"/>
          <w:jc w:val="center"/>
        </w:trPr>
        <w:tc>
          <w:tcPr>
            <w:tcW w:w="792"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p>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4</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highlight w:val="none"/>
                <w:lang w:val="en-US" w:eastAsia="zh-CN" w:bidi="ar-SA"/>
              </w:rPr>
              <w:t>同类项目业绩</w:t>
            </w: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15</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17"/>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采购小组打分</w:t>
            </w:r>
          </w:p>
        </w:tc>
        <w:tc>
          <w:tcPr>
            <w:tcW w:w="4994"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Theme="minorEastAsia" w:hAnsiTheme="minorEastAsia" w:eastAsiaTheme="minorEastAsia" w:cstheme="minorEastAsia"/>
                <w:color w:val="auto"/>
                <w:highlight w:val="none"/>
                <w:lang w:val="en-US" w:eastAsia="zh-CN"/>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（一）评分内容：</w:t>
            </w:r>
          </w:p>
          <w:p>
            <w:pPr>
              <w:pageBreakBefore w:val="0"/>
              <w:numPr>
                <w:ilvl w:val="0"/>
                <w:numId w:val="0"/>
              </w:numPr>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投标单位具有2018年1月至本项目发布采购公告之日政府部门财务会计业务项目经验、数据统计分析业务项目经验等，并且该项目经采购单位验收合格的，每提供一个得50%，最高得100%。每项业绩须按以下要求提供证明文件（一年一签的长期服务续签合同只计算一个业绩）：</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Fonts w:hint="eastAsia" w:asciiTheme="minorEastAsia" w:hAnsiTheme="minorEastAsia" w:eastAsiaTheme="minorEastAsia" w:cstheme="minorEastAsia"/>
                <w:color w:val="auto"/>
                <w:highlight w:val="none"/>
                <w:lang w:val="en-US" w:eastAsia="zh-CN"/>
              </w:rPr>
            </w:pPr>
            <w:r>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t>（二）评分标准：</w:t>
            </w:r>
          </w:p>
          <w:p>
            <w:pPr>
              <w:pageBreakBefore w:val="0"/>
              <w:numPr>
                <w:ilvl w:val="0"/>
                <w:numId w:val="0"/>
              </w:numPr>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需提供合同关键页和采购单位出具带有公章的验收材料扫描件或复印件（关键页为合同首页和合同签字盖章页）原件备查；</w:t>
            </w:r>
          </w:p>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eastAsia" w:asciiTheme="minorEastAsia" w:hAnsiTheme="minorEastAsia" w:eastAsiaTheme="minorEastAsia" w:cstheme="minorEastAsia"/>
                <w:b w:val="0"/>
                <w:i w:val="0"/>
                <w:caps w:val="0"/>
                <w:color w:val="auto"/>
                <w:spacing w:val="0"/>
                <w:w w:val="100"/>
                <w:kern w:val="2"/>
                <w:sz w:val="21"/>
                <w:szCs w:val="21"/>
                <w:lang w:val="en-US" w:eastAsia="zh-CN" w:bidi="ar-SA"/>
              </w:rPr>
            </w:pPr>
            <w:r>
              <w:rPr>
                <w:rFonts w:hint="eastAsia" w:asciiTheme="minorEastAsia" w:hAnsiTheme="minorEastAsia" w:eastAsiaTheme="minorEastAsia" w:cstheme="minorEastAsia"/>
                <w:color w:val="auto"/>
                <w:highlight w:val="none"/>
                <w:lang w:val="en-US" w:eastAsia="zh-CN"/>
              </w:rPr>
              <w:t>未按要求提供或提供不清晰导致采购小组无法判断的，不得分。</w:t>
            </w:r>
          </w:p>
        </w:tc>
        <w:tc>
          <w:tcPr>
            <w:tcW w:w="70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beforeAutospacing="0" w:afterAutospacing="0" w:line="560" w:lineRule="exact"/>
              <w:ind w:left="0" w:leftChars="0"/>
              <w:jc w:val="left"/>
              <w:textAlignment w:val="baseline"/>
              <w:rPr>
                <w:rStyle w:val="13"/>
                <w:rFonts w:hint="eastAsia" w:asciiTheme="minorEastAsia" w:hAnsiTheme="minorEastAsia" w:eastAsiaTheme="minorEastAsia" w:cstheme="minorEastAsia"/>
                <w:b w:val="0"/>
                <w:i w:val="0"/>
                <w:caps w:val="0"/>
                <w:color w:val="auto"/>
                <w:spacing w:val="0"/>
                <w:w w:val="100"/>
                <w:kern w:val="0"/>
                <w:sz w:val="21"/>
                <w:szCs w:val="21"/>
                <w:lang w:val="en-US" w:eastAsia="zh-CN" w:bidi="ar-SA"/>
              </w:rPr>
            </w:pPr>
          </w:p>
        </w:tc>
      </w:tr>
    </w:tbl>
    <w:p>
      <w:pPr>
        <w:pageBreakBefore w:val="0"/>
        <w:widowControl/>
        <w:kinsoku/>
        <w:wordWrap/>
        <w:overflowPunct/>
        <w:topLinePunct w:val="0"/>
        <w:autoSpaceDE/>
        <w:autoSpaceDN/>
        <w:bidi w:val="0"/>
        <w:adjustRightInd/>
        <w:snapToGrid/>
        <w:spacing w:beforeAutospacing="0" w:afterAutospacing="0" w:line="560" w:lineRule="exact"/>
        <w:ind w:left="0" w:leftChars="0"/>
        <w:jc w:val="both"/>
        <w:textAlignment w:val="baseline"/>
        <w:rPr>
          <w:rStyle w:val="13"/>
          <w:rFonts w:hint="default" w:asciiTheme="minorEastAsia" w:hAnsiTheme="minorEastAsia" w:eastAsiaTheme="minorEastAsia" w:cstheme="minorEastAsia"/>
          <w:b w:val="0"/>
          <w:i w:val="0"/>
          <w:caps w:val="0"/>
          <w:vanish/>
          <w:color w:val="auto"/>
          <w:spacing w:val="0"/>
          <w:w w:val="100"/>
          <w:kern w:val="2"/>
          <w:sz w:val="21"/>
          <w:szCs w:val="21"/>
          <w:lang w:val="en-US" w:eastAsia="zh-CN" w:bidi="ar-SA"/>
        </w:rPr>
      </w:pPr>
      <w:r>
        <w:rPr>
          <w:rStyle w:val="13"/>
          <w:rFonts w:hint="eastAsia" w:asciiTheme="minorEastAsia" w:hAnsiTheme="minorEastAsia" w:eastAsiaTheme="minorEastAsia" w:cstheme="minorEastAsia"/>
          <w:b w:val="0"/>
          <w:i w:val="0"/>
          <w:caps w:val="0"/>
          <w:vanish/>
          <w:color w:val="auto"/>
          <w:spacing w:val="0"/>
          <w:w w:val="100"/>
          <w:kern w:val="2"/>
          <w:sz w:val="21"/>
          <w:szCs w:val="21"/>
          <w:lang w:val="en-US" w:eastAsia="zh-CN" w:bidi="ar-SA"/>
        </w:rPr>
        <w:t xml:space="preserve">   </w:t>
      </w:r>
    </w:p>
    <w:p>
      <w:pPr>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562" w:firstLineChars="200"/>
        <w:jc w:val="both"/>
        <w:textAlignment w:val="baseline"/>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t>六、商务需求</w:t>
      </w:r>
    </w:p>
    <w:p>
      <w:pPr>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562" w:firstLineChars="200"/>
        <w:jc w:val="both"/>
        <w:textAlignment w:val="baseline"/>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t>（一）服务期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2022年1月1日至2022年12月31日</w:t>
      </w:r>
      <w:r>
        <w:rPr>
          <w:rFonts w:hint="eastAsia" w:asciiTheme="minorEastAsia" w:hAnsiTheme="minorEastAsia" w:eastAsiaTheme="minorEastAsia" w:cstheme="minorEastAsia"/>
          <w:color w:val="auto"/>
          <w:sz w:val="28"/>
          <w:szCs w:val="28"/>
        </w:rPr>
        <w:t>。</w:t>
      </w:r>
    </w:p>
    <w:p>
      <w:pPr>
        <w:pageBreakBefore w:val="0"/>
        <w:widowControl/>
        <w:kinsoku/>
        <w:wordWrap/>
        <w:overflowPunct/>
        <w:topLinePunct w:val="0"/>
        <w:autoSpaceDE/>
        <w:autoSpaceDN/>
        <w:bidi w:val="0"/>
        <w:adjustRightInd/>
        <w:snapToGrid/>
        <w:spacing w:beforeAutospacing="0" w:afterAutospacing="0" w:line="560" w:lineRule="exact"/>
        <w:ind w:firstLine="562" w:firstLineChars="200"/>
        <w:jc w:val="both"/>
        <w:textAlignment w:val="baseline"/>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t>（二）服务地点</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t>深圳市坪山区坪山街道办事处。</w:t>
      </w:r>
    </w:p>
    <w:p>
      <w:pPr>
        <w:pageBreakBefore w:val="0"/>
        <w:widowControl/>
        <w:kinsoku/>
        <w:wordWrap/>
        <w:overflowPunct/>
        <w:topLinePunct w:val="0"/>
        <w:autoSpaceDE/>
        <w:autoSpaceDN/>
        <w:bidi w:val="0"/>
        <w:adjustRightInd/>
        <w:snapToGrid/>
        <w:spacing w:beforeAutospacing="0" w:afterAutospacing="0" w:line="560" w:lineRule="exact"/>
        <w:ind w:firstLine="562" w:firstLineChars="200"/>
        <w:jc w:val="both"/>
        <w:textAlignment w:val="baseline"/>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t>（三）报价要求</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t>（1）本项目预算总价为</w:t>
      </w:r>
      <w:r>
        <w:rPr>
          <w:rFonts w:hint="eastAsia" w:asciiTheme="minorEastAsia" w:hAnsiTheme="minorEastAsia" w:eastAsiaTheme="minorEastAsia" w:cstheme="minorEastAsia"/>
          <w:color w:val="auto"/>
          <w:sz w:val="28"/>
          <w:szCs w:val="28"/>
          <w:lang w:val="en-US" w:eastAsia="zh-CN"/>
        </w:rPr>
        <w:t>75</w:t>
      </w:r>
      <w:r>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t>（含）万元。</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t>（2）本项目服务费采用包干制，应包括服务成本、法定税费和企业的利润。一经中标，报价总价作为中标单位与采购单位签定的合同金额，合同期限内不做调整。</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t>（3）投标单位的报价不得超过本项目预算总价。</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t>（4）投标单位的报价，应当是本项目采购范围和采购需求文件上所列的各项内容中所述的全部，不得以任何理由予以重复。</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t>（5）投标单位不得期望通过索赔等方式获取补偿，否则，除可能遭到拒绝外，还可能将被作为不良行为记录在案，并可能影响其以后参加政府采购的项目投标。各投标单位在报价时，应充分考虑报价的风险。</w:t>
      </w:r>
    </w:p>
    <w:p>
      <w:pPr>
        <w:pageBreakBefore w:val="0"/>
        <w:widowControl/>
        <w:kinsoku/>
        <w:wordWrap/>
        <w:overflowPunct/>
        <w:topLinePunct w:val="0"/>
        <w:autoSpaceDE/>
        <w:autoSpaceDN/>
        <w:bidi w:val="0"/>
        <w:adjustRightInd/>
        <w:snapToGrid/>
        <w:spacing w:beforeAutospacing="0" w:afterAutospacing="0" w:line="560" w:lineRule="exact"/>
        <w:ind w:firstLine="562" w:firstLineChars="200"/>
        <w:jc w:val="both"/>
        <w:textAlignment w:val="baseline"/>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t>（四）付款方式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40" w:firstLineChars="300"/>
        <w:textAlignment w:val="auto"/>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pPr>
      <w:r>
        <w:rPr>
          <w:rFonts w:hint="eastAsia" w:asciiTheme="minorEastAsia" w:hAnsiTheme="minorEastAsia" w:eastAsiaTheme="minorEastAsia" w:cstheme="minorEastAsia"/>
          <w:color w:val="auto"/>
          <w:sz w:val="28"/>
          <w:szCs w:val="28"/>
          <w:lang w:val="en-US" w:eastAsia="zh-CN"/>
        </w:rPr>
        <w:t>合同签订时进行具体约定。</w:t>
      </w:r>
    </w:p>
    <w:p>
      <w:pPr>
        <w:pageBreakBefore w:val="0"/>
        <w:widowControl/>
        <w:kinsoku/>
        <w:wordWrap/>
        <w:overflowPunct/>
        <w:topLinePunct w:val="0"/>
        <w:autoSpaceDE/>
        <w:autoSpaceDN/>
        <w:bidi w:val="0"/>
        <w:adjustRightInd/>
        <w:snapToGrid/>
        <w:spacing w:beforeAutospacing="0" w:afterAutospacing="0" w:line="560" w:lineRule="exact"/>
        <w:ind w:firstLine="562" w:firstLineChars="200"/>
        <w:jc w:val="both"/>
        <w:textAlignment w:val="baseline"/>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t>（五）保密责任</w:t>
      </w:r>
      <w:bookmarkStart w:id="0" w:name="_GoBack"/>
      <w:bookmarkEnd w:id="0"/>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t>中标单位必须严格遵守国家《保密法》，不得泄露《保密法》及地方保密法规所规定的保密事项。如中标单位违反保密规定，泄露保密法规定的保密事项，采购单位有权追究中标单位相关法律责任。</w:t>
      </w:r>
    </w:p>
    <w:p>
      <w:pPr>
        <w:pStyle w:val="20"/>
        <w:pageBreakBefore w:val="0"/>
        <w:widowControl/>
        <w:numPr>
          <w:ilvl w:val="0"/>
          <w:numId w:val="0"/>
        </w:numPr>
        <w:kinsoku/>
        <w:wordWrap/>
        <w:overflowPunct/>
        <w:topLinePunct w:val="0"/>
        <w:autoSpaceDE/>
        <w:autoSpaceDN/>
        <w:bidi w:val="0"/>
        <w:adjustRightInd/>
        <w:snapToGrid/>
        <w:spacing w:beforeAutospacing="0" w:after="0" w:afterAutospacing="0" w:line="560" w:lineRule="exact"/>
        <w:ind w:firstLine="562" w:firstLineChars="200"/>
        <w:jc w:val="both"/>
        <w:textAlignment w:val="baseline"/>
        <w:rPr>
          <w:rStyle w:val="13"/>
          <w:rFonts w:hint="eastAsia" w:asciiTheme="minorEastAsia" w:hAnsiTheme="minorEastAsia" w:eastAsiaTheme="minorEastAsia" w:cstheme="minorEastAsia"/>
          <w:b/>
          <w:bCs/>
          <w:i w:val="0"/>
          <w:caps w:val="0"/>
          <w:color w:val="auto"/>
          <w:spacing w:val="0"/>
          <w:w w:val="100"/>
          <w:sz w:val="28"/>
          <w:szCs w:val="28"/>
          <w:lang w:val="en-US" w:eastAsia="zh-CN"/>
        </w:rPr>
      </w:pPr>
      <w:r>
        <w:rPr>
          <w:rStyle w:val="13"/>
          <w:rFonts w:hint="eastAsia" w:asciiTheme="minorEastAsia" w:hAnsiTheme="minorEastAsia" w:eastAsiaTheme="minorEastAsia" w:cstheme="minorEastAsia"/>
          <w:b/>
          <w:bCs/>
          <w:i w:val="0"/>
          <w:caps w:val="0"/>
          <w:color w:val="auto"/>
          <w:spacing w:val="0"/>
          <w:w w:val="100"/>
          <w:sz w:val="28"/>
          <w:szCs w:val="28"/>
          <w:lang w:val="en-US" w:eastAsia="zh-CN"/>
        </w:rPr>
        <w:t>（六）不可抗力</w:t>
      </w:r>
    </w:p>
    <w:p>
      <w:pPr>
        <w:numPr>
          <w:ilvl w:val="0"/>
          <w:numId w:val="0"/>
        </w:numPr>
        <w:rPr>
          <w:rFonts w:hint="eastAsia" w:asciiTheme="minorEastAsia" w:hAnsiTheme="minorEastAsia" w:eastAsiaTheme="minorEastAsia" w:cstheme="minorEastAsia"/>
          <w:color w:val="auto"/>
          <w:sz w:val="28"/>
          <w:szCs w:val="28"/>
          <w:lang w:val="en-US" w:eastAsia="zh-CN"/>
        </w:rPr>
      </w:pPr>
      <w:r>
        <w:rPr>
          <w:rFonts w:hint="eastAsia"/>
          <w:color w:val="auto"/>
          <w:lang w:val="en-US" w:eastAsia="zh-CN"/>
        </w:rPr>
        <w:t xml:space="preserve">   </w:t>
      </w:r>
      <w:r>
        <w:rPr>
          <w:rFonts w:hint="eastAsia" w:asciiTheme="minorEastAsia" w:hAnsiTheme="minorEastAsia" w:eastAsiaTheme="minorEastAsia" w:cstheme="minorEastAsia"/>
          <w:color w:val="auto"/>
          <w:sz w:val="28"/>
          <w:szCs w:val="28"/>
          <w:lang w:val="en-US" w:eastAsia="zh-CN"/>
        </w:rPr>
        <w:t xml:space="preserve">  如发生地震、台风、水灾、战争、法律变更等不可预见且不可避免的不可抗力，遭受不可抗力的一方已经尽了最大努力，本项目合同仍无法完全或部分履行，迟延履行的，可以不承担违约责任，直至不可抗力事件消除为止。遭受不可抗力一方应当及时将事实说明与证明材料等交予另一方。不可抗力事件消失后，采购单位与中标单位双方应当及时协商本项目合同的继续履行或解除等相关事宜。</w:t>
      </w:r>
    </w:p>
    <w:p>
      <w:pPr>
        <w:pStyle w:val="20"/>
        <w:pageBreakBefore w:val="0"/>
        <w:widowControl/>
        <w:kinsoku/>
        <w:wordWrap/>
        <w:overflowPunct/>
        <w:topLinePunct w:val="0"/>
        <w:autoSpaceDE/>
        <w:autoSpaceDN/>
        <w:bidi w:val="0"/>
        <w:adjustRightInd/>
        <w:snapToGrid/>
        <w:spacing w:beforeAutospacing="0" w:after="0" w:afterAutospacing="0" w:line="560" w:lineRule="exact"/>
        <w:ind w:left="0" w:leftChars="0" w:firstLine="562" w:firstLineChars="200"/>
        <w:jc w:val="both"/>
        <w:textAlignment w:val="baseline"/>
        <w:rPr>
          <w:rStyle w:val="13"/>
          <w:rFonts w:hint="default" w:asciiTheme="minorEastAsia" w:hAnsiTheme="minorEastAsia" w:eastAsiaTheme="minorEastAsia" w:cstheme="minorEastAsia"/>
          <w:b/>
          <w:bCs/>
          <w:i w:val="0"/>
          <w:caps w:val="0"/>
          <w:color w:val="auto"/>
          <w:spacing w:val="0"/>
          <w:w w:val="100"/>
          <w:sz w:val="28"/>
          <w:szCs w:val="28"/>
          <w:lang w:val="en-US" w:eastAsia="zh-CN"/>
        </w:rPr>
      </w:pPr>
      <w:r>
        <w:rPr>
          <w:rStyle w:val="13"/>
          <w:rFonts w:hint="eastAsia" w:asciiTheme="minorEastAsia" w:hAnsiTheme="minorEastAsia" w:eastAsiaTheme="minorEastAsia" w:cstheme="minorEastAsia"/>
          <w:b/>
          <w:bCs/>
          <w:i w:val="0"/>
          <w:caps w:val="0"/>
          <w:color w:val="auto"/>
          <w:spacing w:val="0"/>
          <w:w w:val="100"/>
          <w:sz w:val="28"/>
          <w:szCs w:val="28"/>
          <w:lang w:val="en-US" w:eastAsia="zh-CN"/>
        </w:rPr>
        <w:t>（七）争议的解决</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default" w:asciiTheme="minorEastAsia" w:hAnsiTheme="minorEastAsia" w:eastAsiaTheme="minorEastAsia" w:cstheme="minorEastAsia"/>
          <w:b w:val="0"/>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t>采购单位与中标单位双方因为本项目合同的订立、效力、履行和解释等发生的任何争议，应通过友好协商解决。如果协商不成的，任何一方均可向采购单位所在地人民法院提起诉讼。</w:t>
      </w:r>
    </w:p>
    <w:p>
      <w:pPr>
        <w:pageBreakBefore w:val="0"/>
        <w:widowControl/>
        <w:kinsoku/>
        <w:wordWrap/>
        <w:overflowPunct/>
        <w:topLinePunct w:val="0"/>
        <w:autoSpaceDE/>
        <w:autoSpaceDN/>
        <w:bidi w:val="0"/>
        <w:adjustRightInd/>
        <w:snapToGrid/>
        <w:spacing w:beforeAutospacing="0" w:afterAutospacing="0" w:line="560" w:lineRule="exact"/>
        <w:ind w:left="0" w:leftChars="0" w:firstLine="562"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2"/>
          <w:sz w:val="28"/>
          <w:szCs w:val="28"/>
          <w:lang w:val="en-US" w:eastAsia="zh-CN" w:bidi="ar-SA"/>
        </w:rPr>
      </w:pPr>
      <w:r>
        <w:rPr>
          <w:rStyle w:val="13"/>
          <w:rFonts w:hint="eastAsia" w:asciiTheme="minorEastAsia" w:hAnsiTheme="minorEastAsia" w:eastAsiaTheme="minorEastAsia" w:cstheme="minorEastAsia"/>
          <w:b/>
          <w:bCs/>
          <w:i w:val="0"/>
          <w:caps w:val="0"/>
          <w:color w:val="auto"/>
          <w:spacing w:val="0"/>
          <w:w w:val="100"/>
          <w:kern w:val="2"/>
          <w:sz w:val="28"/>
          <w:szCs w:val="28"/>
          <w:lang w:val="en-US" w:eastAsia="zh-CN" w:bidi="ar-SA"/>
        </w:rPr>
        <w:t>七、分项报价清单</w:t>
      </w:r>
    </w:p>
    <w:tbl>
      <w:tblPr>
        <w:tblStyle w:val="7"/>
        <w:tblW w:w="96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36"/>
        <w:gridCol w:w="5016"/>
        <w:gridCol w:w="782"/>
        <w:gridCol w:w="899"/>
        <w:gridCol w:w="717"/>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序号</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服务内容</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单价（元）</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数量</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金额（元）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对收支单据的真实性、合法性、合规性进行审核。</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12个月</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4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每月核对现金账及库存现金的一致性；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每月核对零余额账户与代理银行账户发生额与余额的一致性；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每月核对自有账户与商业银行账户发生额与余额的一致性。</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sz w:val="21"/>
                <w:szCs w:val="21"/>
                <w:u w:val="none"/>
                <w:lang w:val="en-US"/>
              </w:rPr>
            </w:pPr>
            <w:r>
              <w:rPr>
                <w:rFonts w:hint="eastAsia" w:ascii="宋体" w:hAnsi="宋体" w:cs="宋体"/>
                <w:i w:val="0"/>
                <w:color w:val="000000"/>
                <w:kern w:val="0"/>
                <w:sz w:val="22"/>
                <w:szCs w:val="22"/>
                <w:u w:val="none"/>
                <w:lang w:val="en-US" w:eastAsia="zh-CN" w:bidi="ar"/>
              </w:rPr>
              <w:t>1项</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3</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对经济业务进行财务会计核算和预算会计核算（包括：</w:t>
            </w:r>
            <w:r>
              <w:rPr>
                <w:rFonts w:ascii="东文宋体" w:hAnsi="东文宋体" w:eastAsia="东文宋体" w:cs="东文宋体"/>
                <w:i w:val="0"/>
                <w:color w:val="000000"/>
                <w:kern w:val="0"/>
                <w:sz w:val="22"/>
                <w:szCs w:val="22"/>
                <w:u w:val="none"/>
                <w:lang w:val="en-US" w:eastAsia="zh-CN" w:bidi="ar"/>
              </w:rPr>
              <w:t>①</w:t>
            </w:r>
            <w:r>
              <w:rPr>
                <w:rFonts w:hint="eastAsia" w:ascii="宋体" w:hAnsi="宋体" w:eastAsia="宋体" w:cs="宋体"/>
                <w:i w:val="0"/>
                <w:color w:val="000000"/>
                <w:kern w:val="0"/>
                <w:sz w:val="22"/>
                <w:szCs w:val="22"/>
                <w:u w:val="none"/>
                <w:lang w:val="en-US" w:eastAsia="zh-CN" w:bidi="ar"/>
              </w:rPr>
              <w:t>填制财务会计记账凭证、登记财务会计会计账簿、编制财务会计会计报表；</w:t>
            </w:r>
            <w:r>
              <w:rPr>
                <w:rFonts w:ascii="汉仪书宋二S" w:hAnsi="汉仪书宋二S" w:eastAsia="汉仪书宋二S" w:cs="汉仪书宋二S"/>
                <w:i w:val="0"/>
                <w:color w:val="000000"/>
                <w:kern w:val="0"/>
                <w:sz w:val="22"/>
                <w:szCs w:val="22"/>
                <w:u w:val="none"/>
                <w:lang w:val="en-US" w:eastAsia="zh-CN" w:bidi="ar"/>
              </w:rPr>
              <w:t>②</w:t>
            </w:r>
            <w:r>
              <w:rPr>
                <w:rFonts w:hint="eastAsia" w:ascii="宋体" w:hAnsi="宋体" w:eastAsia="宋体" w:cs="宋体"/>
                <w:i w:val="0"/>
                <w:color w:val="000000"/>
                <w:kern w:val="0"/>
                <w:sz w:val="22"/>
                <w:szCs w:val="22"/>
                <w:u w:val="none"/>
                <w:lang w:val="en-US" w:eastAsia="zh-CN" w:bidi="ar"/>
              </w:rPr>
              <w:t>填制预算会计记账凭证、登记预算会计会计账簿、编制预算会计会计报表）。</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12个月</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40" w:firstLineChars="20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要求：用新的会计核算模式进行会计集中核算。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新的会计核算模式是政府单位同时进行财务会计核算（填制财务会计记账凭证、登记财务会计会计账簿、编制财务会计会计报表）和预算会计核算（填制预算会计记账凭证、登记预算会计会计账簿、编制预算会计会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4</w:t>
            </w:r>
          </w:p>
        </w:tc>
        <w:tc>
          <w:tcPr>
            <w:tcW w:w="5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会计资料整理、装订成册，并妥善保管至移交给档案室为止。</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12个月</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6"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5</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提供部门决算的基础数据。</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6</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登录</w:t>
            </w:r>
            <w:r>
              <w:rPr>
                <w:rFonts w:hint="eastAsia" w:ascii="宋体" w:hAnsi="宋体" w:eastAsia="宋体" w:cs="宋体"/>
                <w:i w:val="0"/>
                <w:color w:val="333333"/>
                <w:kern w:val="0"/>
                <w:sz w:val="22"/>
                <w:szCs w:val="22"/>
                <w:u w:val="none"/>
                <w:lang w:val="en-US" w:eastAsia="zh-CN" w:bidi="ar"/>
              </w:rPr>
              <w:t>财政部统一报表系统填报内部控制报告（包括收集和整理内部控制报告填报工作所需上传的相关资料）。</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7</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协助查找相关会计资料（含原坪山办事处会计资料）。</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6"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8</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协助完成财务会计方面的信息统计分析。</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8"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9</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提供会计咨询服务。</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10</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当坪山街道办事处机关事业单位和社区工作站发生接受主管部门、纪检部门、审计部门、财政部门、税务部门等依照法律和有关规定进行的监督、审计、财务检查、税务检查等情况时，如实提供会计凭证、会计账簿、会计报表和其他有关资料、按要求统计信息及填报相关表格。</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11</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指导坪山街道办事处各预算单位在申请</w:t>
            </w:r>
            <w:r>
              <w:rPr>
                <w:rFonts w:hint="eastAsia" w:ascii="宋体" w:hAnsi="宋体" w:cs="宋体"/>
                <w:i w:val="0"/>
                <w:color w:val="000000"/>
                <w:kern w:val="0"/>
                <w:sz w:val="22"/>
                <w:szCs w:val="22"/>
                <w:u w:val="none"/>
                <w:lang w:val="en-US" w:eastAsia="zh-CN" w:bidi="ar"/>
              </w:rPr>
              <w:t>用款</w:t>
            </w:r>
            <w:r>
              <w:rPr>
                <w:rFonts w:hint="eastAsia" w:ascii="宋体" w:hAnsi="宋体" w:eastAsia="宋体" w:cs="宋体"/>
                <w:i w:val="0"/>
                <w:color w:val="000000"/>
                <w:kern w:val="0"/>
                <w:sz w:val="22"/>
                <w:szCs w:val="22"/>
                <w:u w:val="none"/>
                <w:lang w:val="en-US" w:eastAsia="zh-CN" w:bidi="ar"/>
              </w:rPr>
              <w:t>计划时正确选择经济科目。</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12个月</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4"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12</w:t>
            </w:r>
          </w:p>
        </w:tc>
        <w:tc>
          <w:tcPr>
            <w:tcW w:w="50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编制坪山街道办事处各预算单位政府财务报告</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2"/>
                <w:szCs w:val="22"/>
                <w:u w:val="none"/>
                <w:lang w:val="en-US" w:eastAsia="zh-CN" w:bidi="ar"/>
              </w:rPr>
              <w:t>1项</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2" w:hRule="atLeast"/>
        </w:trPr>
        <w:tc>
          <w:tcPr>
            <w:tcW w:w="55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合计</w:t>
            </w:r>
            <w:r>
              <w:rPr>
                <w:rFonts w:hint="eastAsia" w:ascii="宋体" w:hAnsi="宋体" w:cs="宋体"/>
                <w:i w:val="0"/>
                <w:color w:val="000000"/>
                <w:kern w:val="0"/>
                <w:sz w:val="22"/>
                <w:szCs w:val="22"/>
                <w:u w:val="none"/>
                <w:lang w:val="en-US" w:eastAsia="zh-CN" w:bidi="ar"/>
              </w:rPr>
              <w:t>（元）</w:t>
            </w:r>
          </w:p>
        </w:tc>
        <w:tc>
          <w:tcPr>
            <w:tcW w:w="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21"/>
                <w:szCs w:val="21"/>
                <w:u w:val="none"/>
                <w:lang w:val="en-US" w:eastAsia="zh-CN"/>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r>
    </w:tbl>
    <w:p>
      <w:pPr>
        <w:pStyle w:val="22"/>
        <w:pageBreakBefore w:val="0"/>
        <w:widowControl/>
        <w:kinsoku/>
        <w:wordWrap/>
        <w:overflowPunct/>
        <w:topLinePunct w:val="0"/>
        <w:autoSpaceDE/>
        <w:autoSpaceDN/>
        <w:bidi w:val="0"/>
        <w:adjustRightInd/>
        <w:snapToGrid/>
        <w:spacing w:beforeAutospacing="0" w:afterAutospacing="0" w:line="560" w:lineRule="exact"/>
        <w:ind w:left="0" w:leftChars="0" w:firstLine="560" w:firstLineChars="200"/>
        <w:jc w:val="both"/>
        <w:textAlignment w:val="baseline"/>
        <w:rPr>
          <w:rStyle w:val="13"/>
          <w:rFonts w:hint="eastAsia" w:asciiTheme="minorEastAsia" w:hAnsiTheme="minorEastAsia" w:eastAsiaTheme="minorEastAsia" w:cstheme="minorEastAsia"/>
          <w:b w:val="0"/>
          <w:i w:val="0"/>
          <w:caps w:val="0"/>
          <w:color w:val="auto"/>
          <w:spacing w:val="0"/>
          <w:w w:val="100"/>
          <w:kern w:val="0"/>
          <w:sz w:val="28"/>
          <w:szCs w:val="28"/>
          <w:lang w:val="en-US" w:eastAsia="zh-CN" w:bidi="ar-SA"/>
        </w:rPr>
      </w:pPr>
    </w:p>
    <w:sectPr>
      <w:footerReference r:id="rId3" w:type="default"/>
      <w:pgSz w:w="11906" w:h="16838"/>
      <w:pgMar w:top="1134" w:right="1134" w:bottom="1134" w:left="1134" w:header="851" w:footer="992" w:gutter="0"/>
      <w:lnNumType w:countBy="0"/>
      <w:pgNumType w:fmt="decimal"/>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auto"/>
    <w:pitch w:val="default"/>
    <w:sig w:usb0="00000000" w:usb1="00000000" w:usb2="0000003F" w:usb3="00000000" w:csb0="003F01FF" w:csb1="00000000"/>
  </w:font>
  <w:font w:name="东文宋体">
    <w:altName w:val="宋体"/>
    <w:panose1 w:val="00000000000000000000"/>
    <w:charset w:val="00"/>
    <w:family w:val="auto"/>
    <w:pitch w:val="default"/>
    <w:sig w:usb0="00000000" w:usb1="00000000" w:usb2="00000000" w:usb3="00000000" w:csb0="00000000" w:csb1="00000000"/>
  </w:font>
  <w:font w:name="汉仪书宋二S">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32C36"/>
    <w:multiLevelType w:val="singleLevel"/>
    <w:tmpl w:val="E6E32C36"/>
    <w:lvl w:ilvl="0" w:tentative="0">
      <w:start w:val="1"/>
      <w:numFmt w:val="chineseCounting"/>
      <w:suff w:val="nothing"/>
      <w:lvlText w:val="（%1）"/>
      <w:lvlJc w:val="left"/>
      <w:pPr>
        <w:widowControl/>
        <w:textAlignment w:val="baseline"/>
      </w:pPr>
      <w:rPr>
        <w:rStyle w:val="1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E6E12"/>
    <w:rsid w:val="04584F31"/>
    <w:rsid w:val="0474341B"/>
    <w:rsid w:val="07724EFB"/>
    <w:rsid w:val="081B7AC3"/>
    <w:rsid w:val="0A7E328E"/>
    <w:rsid w:val="0A877E63"/>
    <w:rsid w:val="0CE973DD"/>
    <w:rsid w:val="0DC435C2"/>
    <w:rsid w:val="0DCE073E"/>
    <w:rsid w:val="0E3626FA"/>
    <w:rsid w:val="0E4F3BFD"/>
    <w:rsid w:val="0F404A12"/>
    <w:rsid w:val="0F6B7036"/>
    <w:rsid w:val="10831D94"/>
    <w:rsid w:val="11183026"/>
    <w:rsid w:val="11224FCD"/>
    <w:rsid w:val="11E73A92"/>
    <w:rsid w:val="12604E7A"/>
    <w:rsid w:val="127C10D1"/>
    <w:rsid w:val="129B7508"/>
    <w:rsid w:val="12DC001A"/>
    <w:rsid w:val="130506AE"/>
    <w:rsid w:val="13597155"/>
    <w:rsid w:val="151A7548"/>
    <w:rsid w:val="16602388"/>
    <w:rsid w:val="183A0149"/>
    <w:rsid w:val="1881506A"/>
    <w:rsid w:val="18CB02D0"/>
    <w:rsid w:val="18E210A9"/>
    <w:rsid w:val="1A9F000D"/>
    <w:rsid w:val="1AB9073E"/>
    <w:rsid w:val="1B3D6AE4"/>
    <w:rsid w:val="1B5040A2"/>
    <w:rsid w:val="1B646353"/>
    <w:rsid w:val="1C5713DD"/>
    <w:rsid w:val="1E5C2FF5"/>
    <w:rsid w:val="1F496F21"/>
    <w:rsid w:val="231769EF"/>
    <w:rsid w:val="25C32550"/>
    <w:rsid w:val="27964550"/>
    <w:rsid w:val="2C4962AB"/>
    <w:rsid w:val="30513885"/>
    <w:rsid w:val="308D7D10"/>
    <w:rsid w:val="31232C9E"/>
    <w:rsid w:val="31D044AB"/>
    <w:rsid w:val="32151090"/>
    <w:rsid w:val="339F5DFD"/>
    <w:rsid w:val="358C5D2A"/>
    <w:rsid w:val="35B46430"/>
    <w:rsid w:val="39271FF3"/>
    <w:rsid w:val="3AAA1A52"/>
    <w:rsid w:val="3AD25E77"/>
    <w:rsid w:val="3B3567E9"/>
    <w:rsid w:val="3C492805"/>
    <w:rsid w:val="3D8847CA"/>
    <w:rsid w:val="3DE1143E"/>
    <w:rsid w:val="3EEF3279"/>
    <w:rsid w:val="3FC9233B"/>
    <w:rsid w:val="40414782"/>
    <w:rsid w:val="40F47EA4"/>
    <w:rsid w:val="416C0E1F"/>
    <w:rsid w:val="41D70154"/>
    <w:rsid w:val="42A72C36"/>
    <w:rsid w:val="43287AB1"/>
    <w:rsid w:val="43A030C1"/>
    <w:rsid w:val="456F7CE8"/>
    <w:rsid w:val="463F0B63"/>
    <w:rsid w:val="473752C9"/>
    <w:rsid w:val="474A7FE7"/>
    <w:rsid w:val="47E6039B"/>
    <w:rsid w:val="485E2260"/>
    <w:rsid w:val="487B2F60"/>
    <w:rsid w:val="49025928"/>
    <w:rsid w:val="4940594B"/>
    <w:rsid w:val="498370FE"/>
    <w:rsid w:val="49A1095A"/>
    <w:rsid w:val="49F340A6"/>
    <w:rsid w:val="4C2A031E"/>
    <w:rsid w:val="4C4F4CB7"/>
    <w:rsid w:val="4E246BCD"/>
    <w:rsid w:val="4F6F18F8"/>
    <w:rsid w:val="4F8A2931"/>
    <w:rsid w:val="4FC311F3"/>
    <w:rsid w:val="50AA4C73"/>
    <w:rsid w:val="50F65111"/>
    <w:rsid w:val="55190D6E"/>
    <w:rsid w:val="55D100BC"/>
    <w:rsid w:val="56A07CBD"/>
    <w:rsid w:val="57286A5E"/>
    <w:rsid w:val="57292201"/>
    <w:rsid w:val="585876FE"/>
    <w:rsid w:val="599663CC"/>
    <w:rsid w:val="59D01DE9"/>
    <w:rsid w:val="5C255EAB"/>
    <w:rsid w:val="5CC40370"/>
    <w:rsid w:val="5E231570"/>
    <w:rsid w:val="5E983E2B"/>
    <w:rsid w:val="5EC25E1F"/>
    <w:rsid w:val="5EE34CBB"/>
    <w:rsid w:val="5F383A0F"/>
    <w:rsid w:val="5F410651"/>
    <w:rsid w:val="60CF461B"/>
    <w:rsid w:val="61D16383"/>
    <w:rsid w:val="62896716"/>
    <w:rsid w:val="637A18CB"/>
    <w:rsid w:val="651E6D7A"/>
    <w:rsid w:val="66C45433"/>
    <w:rsid w:val="66DC32E7"/>
    <w:rsid w:val="687D7E97"/>
    <w:rsid w:val="69924491"/>
    <w:rsid w:val="69AB12AE"/>
    <w:rsid w:val="6A0B10FF"/>
    <w:rsid w:val="6A4A74D6"/>
    <w:rsid w:val="6A8D737E"/>
    <w:rsid w:val="6A9A623C"/>
    <w:rsid w:val="6B1C40D6"/>
    <w:rsid w:val="6CBA6DDA"/>
    <w:rsid w:val="6CDB5927"/>
    <w:rsid w:val="6CDD7905"/>
    <w:rsid w:val="6D2B2AC9"/>
    <w:rsid w:val="6D6F6378"/>
    <w:rsid w:val="6E8855E9"/>
    <w:rsid w:val="6F2A449A"/>
    <w:rsid w:val="6F317539"/>
    <w:rsid w:val="6FC848DF"/>
    <w:rsid w:val="706766D2"/>
    <w:rsid w:val="71AD3EB5"/>
    <w:rsid w:val="71F11FED"/>
    <w:rsid w:val="73590AF8"/>
    <w:rsid w:val="740F016D"/>
    <w:rsid w:val="743F5A6F"/>
    <w:rsid w:val="766E7A68"/>
    <w:rsid w:val="76BB2A51"/>
    <w:rsid w:val="788B05A9"/>
    <w:rsid w:val="79C44501"/>
    <w:rsid w:val="7A123B42"/>
    <w:rsid w:val="7CD219E2"/>
    <w:rsid w:val="7D6F495B"/>
    <w:rsid w:val="7E2B4CB1"/>
    <w:rsid w:val="7ECC3009"/>
    <w:rsid w:val="7EDB329E"/>
    <w:rsid w:val="7F965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jc w:val="both"/>
      <w:textAlignment w:val="baseline"/>
    </w:pPr>
    <w:rPr>
      <w:rFonts w:ascii="Calibri" w:hAnsi="Calibri" w:eastAsia="宋体" w:cstheme="minorBidi"/>
      <w:kern w:val="2"/>
      <w:sz w:val="21"/>
      <w:szCs w:val="24"/>
      <w:lang w:val="en-US" w:eastAsia="zh-CN" w:bidi="ar-SA"/>
    </w:rPr>
  </w:style>
  <w:style w:type="paragraph" w:styleId="3">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caption"/>
    <w:basedOn w:val="1"/>
    <w:next w:val="1"/>
    <w:qFormat/>
    <w:uiPriority w:val="0"/>
    <w:pPr>
      <w:spacing w:before="152" w:after="160"/>
      <w:jc w:val="both"/>
      <w:textAlignment w:val="baseline"/>
    </w:pPr>
    <w:rPr>
      <w:rFonts w:ascii="Arial" w:hAnsi="Arial" w:eastAsia="黑体"/>
      <w:kern w:val="2"/>
      <w:sz w:val="20"/>
      <w:szCs w:val="20"/>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next w:val="11"/>
    <w:qFormat/>
    <w:uiPriority w:val="34"/>
    <w:pPr>
      <w:ind w:firstLine="420" w:firstLineChars="200"/>
    </w:pPr>
    <w:rPr>
      <w:rFonts w:ascii="Calibri" w:hAnsi="Calibri"/>
      <w:kern w:val="0"/>
      <w:sz w:val="20"/>
      <w:szCs w:val="20"/>
    </w:rPr>
  </w:style>
  <w:style w:type="paragraph" w:customStyle="1" w:styleId="11">
    <w:name w:val="xl591"/>
    <w:basedOn w:val="1"/>
    <w:next w:val="4"/>
    <w:qFormat/>
    <w:uiPriority w:val="99"/>
    <w:pPr>
      <w:widowControl/>
      <w:spacing w:before="100" w:beforeAutospacing="1" w:after="100" w:afterAutospacing="1"/>
      <w:jc w:val="left"/>
    </w:pPr>
    <w:rPr>
      <w:rFonts w:ascii="宋体" w:hAnsi="宋体" w:cs="宋体"/>
      <w:kern w:val="0"/>
      <w:sz w:val="24"/>
    </w:rPr>
  </w:style>
  <w:style w:type="character" w:customStyle="1" w:styleId="12">
    <w:name w:val="UserStyle_0"/>
    <w:basedOn w:val="13"/>
    <w:link w:val="1"/>
    <w:qFormat/>
    <w:uiPriority w:val="0"/>
    <w:rPr>
      <w:rFonts w:ascii="宋体" w:hAnsi="宋体" w:eastAsia="宋体"/>
      <w:color w:val="000000"/>
      <w:sz w:val="20"/>
      <w:szCs w:val="20"/>
    </w:rPr>
  </w:style>
  <w:style w:type="character" w:customStyle="1" w:styleId="13">
    <w:name w:val="NormalCharacter"/>
    <w:link w:val="1"/>
    <w:semiHidden/>
    <w:qFormat/>
    <w:uiPriority w:val="0"/>
  </w:style>
  <w:style w:type="table" w:customStyle="1" w:styleId="14">
    <w:name w:val="TableNormal"/>
    <w:semiHidden/>
    <w:qFormat/>
    <w:uiPriority w:val="0"/>
  </w:style>
  <w:style w:type="character" w:customStyle="1" w:styleId="15">
    <w:name w:val="UserStyle_1"/>
    <w:basedOn w:val="13"/>
    <w:link w:val="1"/>
    <w:qFormat/>
    <w:uiPriority w:val="0"/>
    <w:rPr>
      <w:rFonts w:ascii="宋体" w:hAnsi="宋体" w:eastAsia="宋体"/>
      <w:color w:val="000000"/>
      <w:sz w:val="20"/>
      <w:szCs w:val="20"/>
    </w:rPr>
  </w:style>
  <w:style w:type="paragraph" w:customStyle="1" w:styleId="16">
    <w:name w:val="AnnotationText"/>
    <w:basedOn w:val="1"/>
    <w:qFormat/>
    <w:uiPriority w:val="0"/>
    <w:pPr>
      <w:jc w:val="left"/>
      <w:textAlignment w:val="baseline"/>
    </w:pPr>
  </w:style>
  <w:style w:type="paragraph" w:customStyle="1" w:styleId="17">
    <w:name w:val="TOC1"/>
    <w:basedOn w:val="1"/>
    <w:next w:val="1"/>
    <w:qFormat/>
    <w:uiPriority w:val="0"/>
    <w:pPr>
      <w:spacing w:line="340" w:lineRule="exact"/>
      <w:jc w:val="both"/>
      <w:textAlignment w:val="baseline"/>
    </w:pPr>
    <w:rPr>
      <w:rFonts w:ascii="Calibri" w:hAnsi="Calibri" w:eastAsia="宋体"/>
      <w:kern w:val="2"/>
      <w:sz w:val="21"/>
      <w:szCs w:val="20"/>
      <w:lang w:val="en-US" w:eastAsia="zh-CN" w:bidi="ar-SA"/>
    </w:rPr>
  </w:style>
  <w:style w:type="paragraph" w:customStyle="1" w:styleId="18">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paragraph" w:customStyle="1" w:styleId="19">
    <w:name w:val="UserStyle_2"/>
    <w:qFormat/>
    <w:uiPriority w:val="0"/>
    <w:pPr>
      <w:framePr w:wrap="around" w:vAnchor="margin" w:hAnchor="text" w:yAlign="inline"/>
      <w:spacing w:line="560" w:lineRule="exact"/>
      <w:jc w:val="both"/>
      <w:textAlignment w:val="baseline"/>
    </w:pPr>
    <w:rPr>
      <w:rFonts w:ascii="Arial Unicode MS" w:hAnsi="Arial Unicode MS" w:eastAsia="Arial Unicode MS" w:cstheme="minorBidi"/>
      <w:color w:val="000000"/>
      <w:kern w:val="0"/>
      <w:sz w:val="30"/>
      <w:szCs w:val="30"/>
      <w:lang w:val="en-US" w:eastAsia="zh-CN" w:bidi="ar-SA"/>
    </w:rPr>
  </w:style>
  <w:style w:type="paragraph" w:customStyle="1" w:styleId="20">
    <w:name w:val="BodyText"/>
    <w:basedOn w:val="1"/>
    <w:next w:val="1"/>
    <w:qFormat/>
    <w:uiPriority w:val="0"/>
    <w:pPr>
      <w:spacing w:after="120"/>
      <w:jc w:val="both"/>
      <w:textAlignment w:val="baseline"/>
    </w:pPr>
  </w:style>
  <w:style w:type="paragraph" w:customStyle="1" w:styleId="21">
    <w:name w:val="UserStyle_3"/>
    <w:basedOn w:val="1"/>
    <w:next w:val="4"/>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paragraph" w:customStyle="1" w:styleId="22">
    <w:name w:val="UserStyle_4"/>
    <w:basedOn w:val="1"/>
    <w:next w:val="21"/>
    <w:qFormat/>
    <w:uiPriority w:val="0"/>
    <w:pPr>
      <w:ind w:firstLine="420" w:firstLineChars="200"/>
      <w:jc w:val="both"/>
      <w:textAlignment w:val="baseline"/>
    </w:pPr>
    <w:rPr>
      <w:rFonts w:ascii="Calibri" w:hAnsi="Calibri" w:eastAsia="宋体"/>
      <w:kern w:val="0"/>
      <w:sz w:val="20"/>
      <w:szCs w:val="20"/>
      <w:lang w:val="en-US" w:eastAsia="zh-CN" w:bidi="ar-SA"/>
    </w:rPr>
  </w:style>
  <w:style w:type="character" w:customStyle="1" w:styleId="23">
    <w:name w:val="font31"/>
    <w:basedOn w:val="9"/>
    <w:qFormat/>
    <w:uiPriority w:val="0"/>
    <w:rPr>
      <w:rFonts w:hint="eastAsia" w:ascii="宋体" w:hAnsi="宋体" w:eastAsia="宋体" w:cs="宋体"/>
      <w:color w:val="000000"/>
      <w:sz w:val="22"/>
      <w:szCs w:val="22"/>
      <w:u w:val="none"/>
    </w:rPr>
  </w:style>
  <w:style w:type="character" w:customStyle="1" w:styleId="24">
    <w:name w:val="font11"/>
    <w:basedOn w:val="9"/>
    <w:qFormat/>
    <w:uiPriority w:val="0"/>
    <w:rPr>
      <w:rFonts w:hint="eastAsia" w:ascii="宋体" w:hAnsi="宋体" w:eastAsia="宋体" w:cs="宋体"/>
      <w:color w:val="333333"/>
      <w:sz w:val="22"/>
      <w:szCs w:val="22"/>
      <w:u w:val="none"/>
    </w:rPr>
  </w:style>
  <w:style w:type="character" w:customStyle="1" w:styleId="25">
    <w:name w:val="font21"/>
    <w:basedOn w:val="9"/>
    <w:qFormat/>
    <w:uiPriority w:val="0"/>
    <w:rPr>
      <w:rFonts w:ascii="东文宋体" w:hAnsi="东文宋体" w:eastAsia="东文宋体" w:cs="东文宋体"/>
      <w:color w:val="000000"/>
      <w:sz w:val="22"/>
      <w:szCs w:val="22"/>
      <w:u w:val="none"/>
    </w:rPr>
  </w:style>
  <w:style w:type="character" w:customStyle="1" w:styleId="26">
    <w:name w:val="font01"/>
    <w:basedOn w:val="9"/>
    <w:uiPriority w:val="0"/>
    <w:rPr>
      <w:rFonts w:hint="eastAsia" w:ascii="宋体" w:hAnsi="宋体" w:eastAsia="宋体" w:cs="宋体"/>
      <w:color w:val="333333"/>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Office_11.8.2.9017_F1E327BC-269C-435d-A152-05C5408002CA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2021-08-26T11:39:00Z</dcterms:created>
  <dc:creator>Administrator</dc:creator>
  <cp:lastModifiedBy>lyx</cp:lastModifiedBy>
  <cp:lastPrinted>2021-12-19T11:11:00Z</cp:lastPrinted>
  <dcterms:modified xsi:type="dcterms:W3CDTF">2021-12-24T01:23:00Z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