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jc w:val="center"/>
        <w:rPr>
          <w:rFonts w:ascii="黑体" w:hAnsi="Arial" w:eastAsia="黑体" w:cs="Arial"/>
          <w:sz w:val="52"/>
          <w:szCs w:val="52"/>
        </w:rPr>
      </w:pPr>
      <w:r>
        <w:rPr>
          <w:rFonts w:hint="eastAsia" w:ascii="黑体" w:hAnsi="Arial" w:eastAsia="黑体" w:cs="Arial"/>
          <w:sz w:val="52"/>
          <w:szCs w:val="52"/>
        </w:rPr>
        <w:t>【服务类】</w:t>
      </w:r>
    </w:p>
    <w:p>
      <w:pPr>
        <w:spacing w:line="560" w:lineRule="exact"/>
        <w:jc w:val="center"/>
        <w:rPr>
          <w:rFonts w:ascii="宋体" w:hAnsi="宋体"/>
          <w:b/>
          <w:sz w:val="44"/>
          <w:szCs w:val="44"/>
        </w:rPr>
      </w:pPr>
    </w:p>
    <w:p>
      <w:pPr>
        <w:pStyle w:val="2"/>
        <w:rPr>
          <w:rFonts w:ascii="宋体" w:hAnsi="宋体"/>
          <w:b/>
          <w:sz w:val="44"/>
          <w:szCs w:val="44"/>
        </w:rPr>
      </w:pPr>
    </w:p>
    <w:p>
      <w:pPr>
        <w:jc w:val="center"/>
        <w:rPr>
          <w:rFonts w:ascii="华文宋体" w:hAnsi="华文宋体" w:eastAsia="华文宋体" w:cs="华文宋体"/>
          <w:b/>
          <w:sz w:val="44"/>
          <w:szCs w:val="44"/>
        </w:rPr>
      </w:pPr>
      <w:r>
        <w:rPr>
          <w:rFonts w:hint="eastAsia"/>
          <w:b/>
          <w:sz w:val="44"/>
          <w:szCs w:val="44"/>
        </w:rPr>
        <w:t>项目编号：</w:t>
      </w:r>
      <w:r>
        <w:rPr>
          <w:rFonts w:hint="eastAsia" w:ascii="华文宋体" w:hAnsi="华文宋体" w:eastAsia="华文宋体" w:cs="华文宋体"/>
          <w:b/>
          <w:sz w:val="44"/>
          <w:szCs w:val="44"/>
        </w:rPr>
        <w:t>KZSC2021013</w:t>
      </w:r>
    </w:p>
    <w:p>
      <w:pPr>
        <w:rPr>
          <w:sz w:val="52"/>
          <w:szCs w:val="52"/>
        </w:rPr>
      </w:pPr>
    </w:p>
    <w:p>
      <w:pPr>
        <w:widowControl/>
        <w:jc w:val="center"/>
        <w:rPr>
          <w:rFonts w:ascii="宋体" w:cs="宋体"/>
          <w:kern w:val="0"/>
          <w:sz w:val="44"/>
          <w:szCs w:val="44"/>
        </w:rPr>
      </w:pPr>
    </w:p>
    <w:p>
      <w:pPr>
        <w:widowControl/>
        <w:jc w:val="center"/>
        <w:rPr>
          <w:rFonts w:ascii="宋体" w:hAnsi="宋体" w:cs="宋体"/>
          <w:b/>
          <w:kern w:val="0"/>
          <w:sz w:val="52"/>
          <w:szCs w:val="52"/>
        </w:rPr>
      </w:pPr>
      <w:r>
        <w:rPr>
          <w:rFonts w:hint="eastAsia" w:ascii="宋体" w:hAnsi="宋体" w:cs="宋体"/>
          <w:b/>
          <w:kern w:val="0"/>
          <w:sz w:val="52"/>
          <w:szCs w:val="52"/>
        </w:rPr>
        <w:t>坑梓街道办事处</w:t>
      </w:r>
    </w:p>
    <w:p>
      <w:pPr>
        <w:widowControl/>
        <w:jc w:val="center"/>
        <w:rPr>
          <w:rFonts w:ascii="宋体" w:cs="宋体"/>
          <w:b/>
          <w:kern w:val="0"/>
          <w:sz w:val="44"/>
          <w:szCs w:val="44"/>
        </w:rPr>
      </w:pPr>
      <w:r>
        <w:rPr>
          <w:rFonts w:hint="eastAsia" w:ascii="宋体" w:hAnsi="宋体" w:cs="宋体"/>
          <w:b/>
          <w:kern w:val="0"/>
          <w:sz w:val="44"/>
          <w:szCs w:val="44"/>
        </w:rPr>
        <w:t>2021年较大面积产业用地专项行动任务测绘服务</w:t>
      </w:r>
      <w:r>
        <w:rPr>
          <w:rFonts w:hint="default" w:ascii="宋体" w:hAnsi="宋体" w:cs="宋体"/>
          <w:b/>
          <w:kern w:val="0"/>
          <w:sz w:val="44"/>
          <w:szCs w:val="44"/>
          <w:lang w:val="en"/>
        </w:rPr>
        <w:t>项目</w:t>
      </w:r>
      <w:r>
        <w:rPr>
          <w:rFonts w:hint="eastAsia" w:ascii="宋体" w:hAnsi="宋体" w:cs="宋体"/>
          <w:b/>
          <w:kern w:val="0"/>
          <w:sz w:val="44"/>
          <w:szCs w:val="44"/>
        </w:rPr>
        <w:t>(自行采购)</w:t>
      </w:r>
    </w:p>
    <w:p>
      <w:pPr>
        <w:widowControl/>
        <w:spacing w:line="560" w:lineRule="exact"/>
        <w:ind w:left="720" w:firstLine="640" w:firstLineChars="200"/>
        <w:jc w:val="left"/>
        <w:rPr>
          <w:rFonts w:ascii="仿宋" w:hAnsi="仿宋" w:eastAsia="仿宋" w:cs="宋体"/>
          <w:kern w:val="0"/>
          <w:sz w:val="32"/>
          <w:szCs w:val="32"/>
        </w:rPr>
      </w:pPr>
    </w:p>
    <w:p>
      <w:pPr>
        <w:widowControl/>
        <w:spacing w:line="560" w:lineRule="exact"/>
        <w:ind w:left="720" w:firstLine="640" w:firstLineChars="200"/>
        <w:jc w:val="left"/>
        <w:rPr>
          <w:rFonts w:ascii="仿宋" w:hAnsi="仿宋" w:eastAsia="仿宋" w:cs="宋体"/>
          <w:kern w:val="0"/>
          <w:sz w:val="32"/>
          <w:szCs w:val="32"/>
        </w:rPr>
      </w:pPr>
    </w:p>
    <w:p>
      <w:pPr>
        <w:widowControl/>
        <w:spacing w:line="560" w:lineRule="exact"/>
        <w:jc w:val="left"/>
        <w:rPr>
          <w:rFonts w:ascii="仿宋" w:hAnsi="仿宋" w:eastAsia="仿宋" w:cs="宋体"/>
          <w:kern w:val="0"/>
          <w:sz w:val="32"/>
          <w:szCs w:val="32"/>
        </w:rPr>
      </w:pPr>
    </w:p>
    <w:p>
      <w:pPr>
        <w:widowControl/>
        <w:spacing w:line="560" w:lineRule="exact"/>
        <w:ind w:left="720" w:firstLine="640" w:firstLineChars="200"/>
        <w:jc w:val="left"/>
        <w:rPr>
          <w:rFonts w:ascii="仿宋" w:hAnsi="仿宋" w:eastAsia="仿宋" w:cs="宋体"/>
          <w:kern w:val="0"/>
          <w:sz w:val="32"/>
          <w:szCs w:val="32"/>
        </w:rPr>
      </w:pPr>
    </w:p>
    <w:p>
      <w:pPr>
        <w:widowControl/>
        <w:spacing w:line="560" w:lineRule="exact"/>
        <w:rPr>
          <w:rFonts w:ascii="楷体" w:hAnsi="楷体" w:eastAsia="楷体" w:cs="楷体"/>
          <w:spacing w:val="-20"/>
          <w:kern w:val="0"/>
          <w:sz w:val="32"/>
          <w:szCs w:val="32"/>
        </w:rPr>
      </w:pPr>
    </w:p>
    <w:p>
      <w:pPr>
        <w:rPr>
          <w:sz w:val="52"/>
          <w:szCs w:val="52"/>
        </w:rPr>
      </w:pPr>
    </w:p>
    <w:p>
      <w:pPr>
        <w:jc w:val="center"/>
        <w:rPr>
          <w:sz w:val="44"/>
          <w:szCs w:val="44"/>
        </w:rPr>
      </w:pPr>
      <w:r>
        <w:rPr>
          <w:rFonts w:hint="eastAsia"/>
          <w:sz w:val="44"/>
          <w:szCs w:val="44"/>
        </w:rPr>
        <w:t>深圳市坪山区坑梓街道办事处</w:t>
      </w:r>
    </w:p>
    <w:p>
      <w:pPr>
        <w:jc w:val="center"/>
        <w:rPr>
          <w:sz w:val="44"/>
          <w:szCs w:val="44"/>
        </w:rPr>
      </w:pPr>
      <w:r>
        <w:rPr>
          <w:rFonts w:hint="eastAsia"/>
          <w:sz w:val="44"/>
          <w:szCs w:val="44"/>
        </w:rPr>
        <w:t>二〇二一年十</w:t>
      </w:r>
      <w:r>
        <w:rPr>
          <w:rFonts w:hint="default"/>
          <w:sz w:val="44"/>
          <w:szCs w:val="44"/>
          <w:lang w:val="en"/>
        </w:rPr>
        <w:t>二</w:t>
      </w:r>
      <w:bookmarkStart w:id="2" w:name="_GoBack"/>
      <w:bookmarkEnd w:id="2"/>
      <w:r>
        <w:rPr>
          <w:rFonts w:hint="eastAsia"/>
          <w:sz w:val="44"/>
          <w:szCs w:val="44"/>
        </w:rPr>
        <w:t>月</w:t>
      </w:r>
    </w:p>
    <w:p>
      <w:pPr>
        <w:pStyle w:val="3"/>
      </w:pPr>
      <w:bookmarkStart w:id="0" w:name="_Toc39851075"/>
      <w:r>
        <w:rPr>
          <w:rFonts w:hint="eastAsia"/>
        </w:rPr>
        <w:t>关键信息</w:t>
      </w:r>
      <w:bookmarkEnd w:id="0"/>
    </w:p>
    <w:p/>
    <w:p>
      <w:pPr>
        <w:jc w:val="center"/>
        <w:rPr>
          <w:b/>
          <w:sz w:val="28"/>
          <w:szCs w:val="28"/>
        </w:rPr>
      </w:pPr>
      <w:r>
        <w:rPr>
          <w:rFonts w:hint="eastAsia"/>
          <w:b/>
          <w:sz w:val="28"/>
          <w:szCs w:val="28"/>
        </w:rPr>
        <w:t>项目信息</w:t>
      </w:r>
    </w:p>
    <w:tbl>
      <w:tblPr>
        <w:tblStyle w:val="10"/>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rFonts w:hint="eastAsia"/>
                <w:szCs w:val="21"/>
              </w:rPr>
              <w:t>招标</w:t>
            </w:r>
            <w:r>
              <w:rPr>
                <w:szCs w:val="21"/>
              </w:rPr>
              <w:t>编号</w:t>
            </w:r>
          </w:p>
        </w:tc>
        <w:tc>
          <w:tcPr>
            <w:tcW w:w="6620" w:type="dxa"/>
            <w:vAlign w:val="center"/>
          </w:tcPr>
          <w:p>
            <w:pPr>
              <w:rPr>
                <w:szCs w:val="21"/>
              </w:rPr>
            </w:pPr>
            <w:r>
              <w:rPr>
                <w:rFonts w:hint="eastAsia"/>
                <w:szCs w:val="21"/>
              </w:rPr>
              <w:t xml:space="preserve"> KZSC2021013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szCs w:val="21"/>
              </w:rPr>
              <w:t>项目名称</w:t>
            </w:r>
          </w:p>
        </w:tc>
        <w:tc>
          <w:tcPr>
            <w:tcW w:w="6620" w:type="dxa"/>
            <w:vAlign w:val="center"/>
          </w:tcPr>
          <w:p>
            <w:r>
              <w:rPr>
                <w:rFonts w:hint="eastAsia"/>
                <w:szCs w:val="21"/>
              </w:rPr>
              <w:t>坑梓街道办事处2021年较大面积产业用地专项行动任务测绘服务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szCs w:val="21"/>
              </w:rPr>
              <w:t>项目类型</w:t>
            </w:r>
          </w:p>
        </w:tc>
        <w:tc>
          <w:tcPr>
            <w:tcW w:w="6620" w:type="dxa"/>
            <w:vAlign w:val="center"/>
          </w:tcPr>
          <w:p>
            <w:pPr>
              <w:rPr>
                <w:szCs w:val="21"/>
              </w:rPr>
            </w:pPr>
            <w:r>
              <w:rPr>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10" w:type="dxa"/>
            <w:vAlign w:val="center"/>
          </w:tcPr>
          <w:p>
            <w:pPr>
              <w:rPr>
                <w:szCs w:val="21"/>
              </w:rPr>
            </w:pPr>
            <w:r>
              <w:rPr>
                <w:szCs w:val="21"/>
              </w:rPr>
              <w:t>采购方式</w:t>
            </w:r>
          </w:p>
        </w:tc>
        <w:tc>
          <w:tcPr>
            <w:tcW w:w="6620" w:type="dxa"/>
            <w:vAlign w:val="center"/>
          </w:tcPr>
          <w:p>
            <w:pPr>
              <w:rPr>
                <w:szCs w:val="21"/>
              </w:rPr>
            </w:pPr>
            <w:r>
              <w:rPr>
                <w:szCs w:val="21"/>
              </w:rPr>
              <w:t>公开招标</w:t>
            </w:r>
            <w:r>
              <w:rPr>
                <w:rFonts w:hint="eastAsia"/>
                <w:szCs w:val="21"/>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10" w:type="dxa"/>
            <w:vAlign w:val="center"/>
          </w:tcPr>
          <w:p>
            <w:pPr>
              <w:rPr>
                <w:szCs w:val="21"/>
              </w:rPr>
            </w:pPr>
            <w:r>
              <w:rPr>
                <w:rFonts w:hint="eastAsia"/>
                <w:szCs w:val="21"/>
              </w:rPr>
              <w:t>评标方式</w:t>
            </w:r>
          </w:p>
        </w:tc>
        <w:tc>
          <w:tcPr>
            <w:tcW w:w="6620" w:type="dxa"/>
            <w:vAlign w:val="center"/>
          </w:tcPr>
          <w:p>
            <w:pPr>
              <w:rPr>
                <w:szCs w:val="21"/>
              </w:rPr>
            </w:pPr>
            <w:r>
              <w:rPr>
                <w:rFonts w:hint="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szCs w:val="21"/>
              </w:rPr>
              <w:t>货币类型</w:t>
            </w:r>
          </w:p>
        </w:tc>
        <w:tc>
          <w:tcPr>
            <w:tcW w:w="6620" w:type="dxa"/>
            <w:vAlign w:val="center"/>
          </w:tcPr>
          <w:p>
            <w:pPr>
              <w:rPr>
                <w:szCs w:val="21"/>
              </w:rPr>
            </w:pPr>
            <w:r>
              <w:rPr>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rFonts w:hint="eastAsia"/>
                <w:szCs w:val="21"/>
              </w:rPr>
              <w:t>投标保证金</w:t>
            </w:r>
          </w:p>
        </w:tc>
        <w:tc>
          <w:tcPr>
            <w:tcW w:w="6620" w:type="dxa"/>
            <w:vAlign w:val="center"/>
          </w:tcPr>
          <w:p>
            <w:pPr>
              <w:rPr>
                <w:szCs w:val="21"/>
              </w:rPr>
            </w:pPr>
            <w:r>
              <w:rPr>
                <w:rFonts w:hint="eastAsia"/>
                <w:szCs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rFonts w:hint="eastAsia"/>
                <w:szCs w:val="21"/>
              </w:rPr>
              <w:t>履约保证金</w:t>
            </w:r>
          </w:p>
        </w:tc>
        <w:tc>
          <w:tcPr>
            <w:tcW w:w="6620" w:type="dxa"/>
            <w:vAlign w:val="center"/>
          </w:tcPr>
          <w:p>
            <w:pP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szCs w:val="21"/>
              </w:rPr>
              <w:t>投标文件份数</w:t>
            </w:r>
          </w:p>
        </w:tc>
        <w:tc>
          <w:tcPr>
            <w:tcW w:w="6620" w:type="dxa"/>
            <w:vAlign w:val="center"/>
          </w:tcPr>
          <w:p>
            <w:pPr>
              <w:rPr>
                <w:szCs w:val="21"/>
              </w:rPr>
            </w:pPr>
            <w:r>
              <w:rPr>
                <w:rFonts w:hint="eastAsia" w:ascii="宋体" w:hAnsi="宋体"/>
                <w:szCs w:val="21"/>
              </w:rPr>
              <w:t>正本1份，副本9份,开标文件1份</w:t>
            </w:r>
            <w:r>
              <w:rPr>
                <w:rFonts w:hint="eastAsia" w:ascii="宋体" w:hAnsi="宋体"/>
              </w:rPr>
              <w:t>及</w:t>
            </w:r>
            <w:r>
              <w:rPr>
                <w:rFonts w:hint="eastAsia" w:ascii="宋体" w:hAnsi="宋体"/>
                <w:szCs w:val="21"/>
              </w:rPr>
              <w:t>投标文件备份</w:t>
            </w:r>
            <w:r>
              <w:rPr>
                <w:rFonts w:hint="eastAsia" w:ascii="宋体" w:hAnsi="宋体"/>
              </w:rPr>
              <w:t>文档一份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10" w:type="dxa"/>
            <w:vAlign w:val="center"/>
          </w:tcPr>
          <w:p>
            <w:pPr>
              <w:rPr>
                <w:szCs w:val="21"/>
              </w:rPr>
            </w:pPr>
            <w:r>
              <w:rPr>
                <w:rFonts w:hint="eastAsia"/>
                <w:szCs w:val="21"/>
              </w:rPr>
              <w:t>项目实施单位</w:t>
            </w:r>
          </w:p>
        </w:tc>
        <w:tc>
          <w:tcPr>
            <w:tcW w:w="6620" w:type="dxa"/>
            <w:vAlign w:val="center"/>
          </w:tcPr>
          <w:p>
            <w:pPr>
              <w:rPr>
                <w:szCs w:val="21"/>
              </w:rPr>
            </w:pPr>
            <w:r>
              <w:rPr>
                <w:rFonts w:hint="eastAsia"/>
                <w:szCs w:val="21"/>
              </w:rPr>
              <w:t xml:space="preserve"> 深圳市坪山区坑梓街道办事处公共事务中心城市更新和土地整备部</w:t>
            </w:r>
          </w:p>
        </w:tc>
      </w:tr>
    </w:tbl>
    <w:p>
      <w:pPr>
        <w:jc w:val="center"/>
        <w:rPr>
          <w:sz w:val="24"/>
          <w:shd w:val="clear" w:color="FFFFFF" w:fill="D9D9D9"/>
        </w:rPr>
      </w:pPr>
    </w:p>
    <w:p>
      <w:pPr>
        <w:jc w:val="center"/>
        <w:rPr>
          <w:b/>
          <w:sz w:val="28"/>
          <w:szCs w:val="28"/>
        </w:rPr>
      </w:pPr>
      <w:r>
        <w:rPr>
          <w:sz w:val="24"/>
          <w:shd w:val="clear" w:color="FFFFFF" w:fill="D9D9D9"/>
        </w:rPr>
        <w:br w:type="page"/>
      </w:r>
      <w:r>
        <w:rPr>
          <w:rFonts w:hint="eastAsia" w:ascii="宋体" w:hAnsi="宋体" w:eastAsia="黑体"/>
          <w:b/>
          <w:bCs/>
          <w:kern w:val="44"/>
          <w:sz w:val="28"/>
          <w:szCs w:val="44"/>
        </w:rPr>
        <w:t>投标文件初审表</w:t>
      </w:r>
    </w:p>
    <w:p>
      <w:pPr>
        <w:rPr>
          <w:b/>
        </w:rPr>
      </w:pPr>
    </w:p>
    <w:p>
      <w:pPr>
        <w:spacing w:before="156" w:beforeLines="50" w:after="156" w:afterLines="50"/>
        <w:rPr>
          <w:b/>
          <w:bCs/>
          <w:sz w:val="22"/>
        </w:rPr>
      </w:pPr>
      <w:r>
        <w:rPr>
          <w:rFonts w:hint="eastAsia"/>
          <w:b/>
          <w:bCs/>
          <w:sz w:val="22"/>
        </w:rPr>
        <w:t>凡有下列情形之一的，其投标文件作无效处理：</w:t>
      </w:r>
    </w:p>
    <w:tbl>
      <w:tblPr>
        <w:tblStyle w:val="10"/>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313" w:type="dxa"/>
            <w:gridSpan w:val="2"/>
            <w:vAlign w:val="center"/>
          </w:tcPr>
          <w:p>
            <w:pPr>
              <w:jc w:val="center"/>
              <w:rPr>
                <w:b/>
              </w:rPr>
            </w:pPr>
            <w:r>
              <w:rPr>
                <w:b/>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8" w:type="dxa"/>
            <w:vAlign w:val="center"/>
          </w:tcPr>
          <w:p>
            <w:pPr>
              <w:numPr>
                <w:ilvl w:val="0"/>
                <w:numId w:val="1"/>
              </w:numPr>
            </w:pPr>
          </w:p>
        </w:tc>
        <w:tc>
          <w:tcPr>
            <w:tcW w:w="7645" w:type="dxa"/>
            <w:vAlign w:val="center"/>
          </w:tcPr>
          <w:p>
            <w:r>
              <w:rPr>
                <w:rFonts w:hint="eastAsia"/>
              </w:rPr>
              <w:t>不具备采购文件所列的资格要求，或未提交相应的资格证明资料（详见采购公告）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8" w:type="dxa"/>
            <w:vAlign w:val="center"/>
          </w:tcPr>
          <w:p>
            <w:pPr>
              <w:numPr>
                <w:ilvl w:val="0"/>
                <w:numId w:val="1"/>
              </w:numPr>
              <w:jc w:val="center"/>
            </w:pPr>
          </w:p>
        </w:tc>
        <w:tc>
          <w:tcPr>
            <w:tcW w:w="7645" w:type="dxa"/>
            <w:vAlign w:val="center"/>
          </w:tcPr>
          <w:p>
            <w:r>
              <w:rPr>
                <w:rFonts w:hint="eastAsia"/>
              </w:rPr>
              <w:t>不具备国家有关法律规定的有关资质的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313" w:type="dxa"/>
            <w:gridSpan w:val="2"/>
            <w:vAlign w:val="center"/>
          </w:tcPr>
          <w:p>
            <w:pPr>
              <w:jc w:val="center"/>
              <w:rPr>
                <w:b/>
              </w:rPr>
            </w:pPr>
            <w:r>
              <w:rPr>
                <w:b/>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numPr>
                <w:ilvl w:val="0"/>
                <w:numId w:val="2"/>
              </w:numPr>
              <w:jc w:val="center"/>
            </w:pPr>
          </w:p>
        </w:tc>
        <w:tc>
          <w:tcPr>
            <w:tcW w:w="7645" w:type="dxa"/>
            <w:vAlign w:val="center"/>
          </w:tcPr>
          <w:p>
            <w: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numPr>
                <w:ilvl w:val="0"/>
                <w:numId w:val="2"/>
              </w:numPr>
              <w:jc w:val="center"/>
            </w:pPr>
          </w:p>
        </w:tc>
        <w:tc>
          <w:tcPr>
            <w:tcW w:w="7645" w:type="dxa"/>
            <w:vAlign w:val="center"/>
          </w:tcPr>
          <w:p>
            <w:r>
              <w:t>采购文件未规定允许有替代方案时，同时提供两套或两套以上的投标方案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68" w:type="dxa"/>
            <w:vAlign w:val="center"/>
          </w:tcPr>
          <w:p>
            <w:pPr>
              <w:numPr>
                <w:ilvl w:val="0"/>
                <w:numId w:val="2"/>
              </w:numPr>
              <w:jc w:val="center"/>
            </w:pPr>
          </w:p>
        </w:tc>
        <w:tc>
          <w:tcPr>
            <w:tcW w:w="7645" w:type="dxa"/>
            <w:vAlign w:val="center"/>
          </w:tcPr>
          <w:p>
            <w:r>
              <w:t>投标总价或分项报价高于财政预算限额的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68" w:type="dxa"/>
            <w:vAlign w:val="center"/>
          </w:tcPr>
          <w:p>
            <w:pPr>
              <w:numPr>
                <w:ilvl w:val="0"/>
                <w:numId w:val="2"/>
              </w:numPr>
              <w:jc w:val="center"/>
            </w:pPr>
          </w:p>
        </w:tc>
        <w:tc>
          <w:tcPr>
            <w:tcW w:w="7645" w:type="dxa"/>
            <w:vAlign w:val="center"/>
          </w:tcPr>
          <w:p>
            <w:r>
              <w:t>同一项目出现两个或以上报价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68" w:type="dxa"/>
            <w:vAlign w:val="center"/>
          </w:tcPr>
          <w:p>
            <w:pPr>
              <w:numPr>
                <w:ilvl w:val="0"/>
                <w:numId w:val="2"/>
              </w:numPr>
              <w:jc w:val="center"/>
            </w:pPr>
          </w:p>
        </w:tc>
        <w:tc>
          <w:tcPr>
            <w:tcW w:w="7645" w:type="dxa"/>
            <w:vAlign w:val="center"/>
          </w:tcPr>
          <w:p>
            <w:r>
              <w:rPr>
                <w:rFonts w:hint="eastAsia"/>
              </w:rPr>
              <w:t>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8" w:type="dxa"/>
            <w:vAlign w:val="center"/>
          </w:tcPr>
          <w:p>
            <w:pPr>
              <w:numPr>
                <w:ilvl w:val="0"/>
                <w:numId w:val="2"/>
              </w:numPr>
              <w:jc w:val="center"/>
            </w:pPr>
          </w:p>
        </w:tc>
        <w:tc>
          <w:tcPr>
            <w:tcW w:w="7645" w:type="dxa"/>
            <w:vAlign w:val="center"/>
          </w:tcPr>
          <w:p>
            <w:r>
              <w:t>投标报价有缺漏项目或对采购文件规定的服务清单项目及数量进行修改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8" w:type="dxa"/>
            <w:vAlign w:val="center"/>
          </w:tcPr>
          <w:p>
            <w:pPr>
              <w:numPr>
                <w:ilvl w:val="0"/>
                <w:numId w:val="2"/>
              </w:numPr>
              <w:jc w:val="center"/>
            </w:pPr>
          </w:p>
        </w:tc>
        <w:tc>
          <w:tcPr>
            <w:tcW w:w="7645" w:type="dxa"/>
            <w:vAlign w:val="center"/>
          </w:tcPr>
          <w:p>
            <w:r>
              <w:t>投标文件载明的服务期（完工期）超过采购文件规定的期限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8" w:type="dxa"/>
            <w:vAlign w:val="center"/>
          </w:tcPr>
          <w:p>
            <w:pPr>
              <w:numPr>
                <w:ilvl w:val="0"/>
                <w:numId w:val="2"/>
              </w:numPr>
              <w:jc w:val="center"/>
            </w:pPr>
          </w:p>
        </w:tc>
        <w:tc>
          <w:tcPr>
            <w:tcW w:w="7645" w:type="dxa"/>
            <w:vAlign w:val="center"/>
          </w:tcPr>
          <w:p>
            <w:r>
              <w:t>投标文件载明的免费保修期低于采购文件规定的期限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68" w:type="dxa"/>
            <w:vAlign w:val="center"/>
          </w:tcPr>
          <w:p>
            <w:pPr>
              <w:numPr>
                <w:ilvl w:val="0"/>
                <w:numId w:val="2"/>
              </w:numPr>
              <w:jc w:val="center"/>
            </w:pPr>
          </w:p>
        </w:tc>
        <w:tc>
          <w:tcPr>
            <w:tcW w:w="7645" w:type="dxa"/>
            <w:vAlign w:val="center"/>
          </w:tcPr>
          <w:p>
            <w:r>
              <w:t xml:space="preserve">所投产品、工程、服务在质量、技术、方案等方面没有实质性满足采购文件要求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2"/>
              </w:numPr>
              <w:jc w:val="center"/>
            </w:pPr>
          </w:p>
        </w:tc>
        <w:tc>
          <w:tcPr>
            <w:tcW w:w="7645" w:type="dxa"/>
            <w:vAlign w:val="center"/>
          </w:tcPr>
          <w:p>
            <w:r>
              <w:rPr>
                <w:rFonts w:hint="eastAsia"/>
              </w:rPr>
              <w:t>未按采购文件要求的格式和内容提供</w:t>
            </w:r>
            <w:r>
              <w:t>《</w:t>
            </w:r>
            <w:r>
              <w:rPr>
                <w:rFonts w:hint="eastAsia"/>
              </w:rPr>
              <w:t>投标函》、《政府采购投标承诺函》；未按采购文件对投标文件组成的要求提供投标文件的（投标文件组成不完整）；投标文件的数量、制作、密封、标记、盖章不符合采购文件要求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68" w:type="dxa"/>
            <w:vAlign w:val="center"/>
          </w:tcPr>
          <w:p>
            <w:pPr>
              <w:numPr>
                <w:ilvl w:val="0"/>
                <w:numId w:val="2"/>
              </w:numPr>
              <w:jc w:val="center"/>
            </w:pPr>
          </w:p>
        </w:tc>
        <w:tc>
          <w:tcPr>
            <w:tcW w:w="7645" w:type="dxa"/>
            <w:vAlign w:val="center"/>
          </w:tcPr>
          <w:p>
            <w:r>
              <w:t>法律、法规规定的其他情形</w:t>
            </w:r>
          </w:p>
        </w:tc>
      </w:tr>
    </w:tbl>
    <w:p>
      <w:pPr>
        <w:rPr>
          <w:rFonts w:ascii="华文中宋" w:hAnsi="华文中宋" w:eastAsia="华文中宋"/>
          <w:b/>
          <w:sz w:val="120"/>
          <w:szCs w:val="120"/>
          <w:shd w:val="clear" w:color="FFFFFF" w:fill="D9D9D9"/>
        </w:rPr>
      </w:pPr>
    </w:p>
    <w:p>
      <w:pPr>
        <w:widowControl/>
        <w:spacing w:line="560" w:lineRule="exact"/>
        <w:jc w:val="left"/>
        <w:rPr>
          <w:rFonts w:ascii="仿宋" w:hAnsi="仿宋" w:eastAsia="仿宋" w:cs="宋体"/>
          <w:kern w:val="0"/>
          <w:sz w:val="32"/>
          <w:szCs w:val="32"/>
        </w:rPr>
      </w:pPr>
    </w:p>
    <w:p>
      <w:pPr>
        <w:rPr>
          <w:rFonts w:ascii="黑体" w:hAnsi="宋体" w:eastAsia="黑体" w:cs="宋体"/>
          <w:sz w:val="36"/>
          <w:szCs w:val="36"/>
        </w:rPr>
        <w:sectPr>
          <w:footerReference r:id="rId3" w:type="default"/>
          <w:pgSz w:w="11906" w:h="16838"/>
          <w:pgMar w:top="1418" w:right="1474" w:bottom="1091" w:left="1588" w:header="851" w:footer="992" w:gutter="0"/>
          <w:pgNumType w:start="1"/>
          <w:cols w:space="720" w:num="1"/>
          <w:docGrid w:type="lines" w:linePitch="312" w:charSpace="0"/>
        </w:sectPr>
      </w:pPr>
    </w:p>
    <w:p>
      <w:pPr>
        <w:widowControl/>
        <w:numPr>
          <w:ilvl w:val="0"/>
          <w:numId w:val="3"/>
        </w:numPr>
        <w:tabs>
          <w:tab w:val="left" w:pos="0"/>
        </w:tabs>
        <w:spacing w:line="480" w:lineRule="exact"/>
        <w:jc w:val="left"/>
        <w:rPr>
          <w:rFonts w:ascii="黑体" w:hAnsi="宋体" w:eastAsia="黑体" w:cs="宋体"/>
          <w:b/>
          <w:kern w:val="0"/>
          <w:sz w:val="32"/>
          <w:szCs w:val="32"/>
        </w:rPr>
      </w:pPr>
      <w:r>
        <w:rPr>
          <w:rFonts w:hint="eastAsia" w:ascii="黑体" w:hAnsi="宋体" w:eastAsia="黑体" w:cs="宋体"/>
          <w:b/>
          <w:kern w:val="0"/>
          <w:sz w:val="32"/>
          <w:szCs w:val="32"/>
        </w:rPr>
        <w:t>采购项目概况</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根据《中共深圳市坪山区委办公室</w:t>
      </w:r>
      <w:r>
        <w:rPr>
          <w:rFonts w:ascii="仿宋" w:hAnsi="仿宋" w:eastAsia="仿宋" w:cs="仿宋"/>
          <w:sz w:val="30"/>
          <w:szCs w:val="30"/>
        </w:rPr>
        <w:t xml:space="preserve"> </w:t>
      </w:r>
      <w:r>
        <w:rPr>
          <w:rFonts w:hint="eastAsia" w:ascii="仿宋" w:hAnsi="仿宋" w:eastAsia="仿宋" w:cs="仿宋"/>
          <w:sz w:val="30"/>
          <w:szCs w:val="30"/>
        </w:rPr>
        <w:t>深圳市坪山区人民政府办公室关于印发</w:t>
      </w:r>
      <w:r>
        <w:rPr>
          <w:rFonts w:ascii="仿宋" w:hAnsi="仿宋" w:eastAsia="仿宋" w:cs="仿宋"/>
          <w:sz w:val="30"/>
          <w:szCs w:val="30"/>
        </w:rPr>
        <w:t>&lt;</w:t>
      </w:r>
      <w:r>
        <w:rPr>
          <w:rFonts w:hint="eastAsia" w:ascii="仿宋" w:hAnsi="仿宋" w:eastAsia="仿宋" w:cs="仿宋"/>
          <w:sz w:val="30"/>
          <w:szCs w:val="30"/>
        </w:rPr>
        <w:t>坪山区</w:t>
      </w:r>
      <w:r>
        <w:rPr>
          <w:rFonts w:ascii="仿宋" w:hAnsi="仿宋" w:eastAsia="仿宋" w:cs="仿宋"/>
          <w:sz w:val="30"/>
          <w:szCs w:val="30"/>
        </w:rPr>
        <w:t>2019</w:t>
      </w:r>
      <w:r>
        <w:rPr>
          <w:rFonts w:hint="eastAsia" w:ascii="仿宋" w:hAnsi="仿宋" w:eastAsia="仿宋" w:cs="仿宋"/>
          <w:sz w:val="30"/>
          <w:szCs w:val="30"/>
        </w:rPr>
        <w:t>年重点项目征拆大兵团作战工作方案</w:t>
      </w:r>
      <w:r>
        <w:rPr>
          <w:rFonts w:ascii="仿宋" w:hAnsi="仿宋" w:eastAsia="仿宋" w:cs="仿宋"/>
          <w:sz w:val="30"/>
          <w:szCs w:val="30"/>
        </w:rPr>
        <w:t>&gt;</w:t>
      </w:r>
      <w:r>
        <w:rPr>
          <w:rFonts w:hint="eastAsia" w:ascii="仿宋" w:hAnsi="仿宋" w:eastAsia="仿宋" w:cs="仿宋"/>
          <w:sz w:val="30"/>
          <w:szCs w:val="30"/>
        </w:rPr>
        <w:t>的通知》（深坪办〔</w:t>
      </w:r>
      <w:r>
        <w:rPr>
          <w:rFonts w:ascii="仿宋" w:hAnsi="仿宋" w:eastAsia="仿宋" w:cs="仿宋"/>
          <w:sz w:val="30"/>
          <w:szCs w:val="30"/>
        </w:rPr>
        <w:t>2019</w:t>
      </w:r>
      <w:r>
        <w:rPr>
          <w:rFonts w:hint="eastAsia" w:ascii="仿宋" w:hAnsi="仿宋" w:eastAsia="仿宋" w:cs="仿宋"/>
          <w:sz w:val="30"/>
          <w:szCs w:val="30"/>
        </w:rPr>
        <w:t>〕</w:t>
      </w:r>
      <w:r>
        <w:rPr>
          <w:rFonts w:ascii="仿宋" w:hAnsi="仿宋" w:eastAsia="仿宋" w:cs="仿宋"/>
          <w:sz w:val="30"/>
          <w:szCs w:val="30"/>
        </w:rPr>
        <w:t>1</w:t>
      </w:r>
      <w:r>
        <w:rPr>
          <w:rFonts w:hint="eastAsia" w:ascii="仿宋" w:hAnsi="仿宋" w:eastAsia="仿宋" w:cs="仿宋"/>
          <w:sz w:val="30"/>
          <w:szCs w:val="30"/>
        </w:rPr>
        <w:t>号）、《深圳市坪山区城市更新和土地整备局文件</w:t>
      </w:r>
      <w:r>
        <w:rPr>
          <w:rFonts w:ascii="仿宋" w:hAnsi="仿宋" w:eastAsia="仿宋" w:cs="仿宋"/>
          <w:sz w:val="30"/>
          <w:szCs w:val="30"/>
        </w:rPr>
        <w:t xml:space="preserve"> </w:t>
      </w:r>
      <w:r>
        <w:rPr>
          <w:rFonts w:hint="eastAsia" w:ascii="仿宋" w:hAnsi="仿宋" w:eastAsia="仿宋" w:cs="仿宋"/>
          <w:sz w:val="30"/>
          <w:szCs w:val="30"/>
        </w:rPr>
        <w:t>关于开展深圳市高新区坪山园区较大面积产业空间土地整备工作的通知》（深坪更新整备〔</w:t>
      </w:r>
      <w:r>
        <w:rPr>
          <w:rFonts w:ascii="仿宋" w:hAnsi="仿宋" w:eastAsia="仿宋" w:cs="仿宋"/>
          <w:sz w:val="30"/>
          <w:szCs w:val="30"/>
        </w:rPr>
        <w:t>2019</w:t>
      </w:r>
      <w:r>
        <w:rPr>
          <w:rFonts w:hint="eastAsia" w:ascii="仿宋" w:hAnsi="仿宋" w:eastAsia="仿宋" w:cs="仿宋"/>
          <w:sz w:val="30"/>
          <w:szCs w:val="30"/>
        </w:rPr>
        <w:t>〕</w:t>
      </w:r>
      <w:r>
        <w:rPr>
          <w:rFonts w:ascii="仿宋" w:hAnsi="仿宋" w:eastAsia="仿宋" w:cs="仿宋"/>
          <w:sz w:val="30"/>
          <w:szCs w:val="30"/>
        </w:rPr>
        <w:t>118</w:t>
      </w:r>
      <w:r>
        <w:rPr>
          <w:rFonts w:hint="eastAsia" w:ascii="仿宋" w:hAnsi="仿宋" w:eastAsia="仿宋" w:cs="仿宋"/>
          <w:sz w:val="30"/>
          <w:szCs w:val="30"/>
        </w:rPr>
        <w:t>号）以及《深圳市坪山区人民政府办公室关于印发</w:t>
      </w:r>
      <w:r>
        <w:rPr>
          <w:rFonts w:ascii="仿宋" w:hAnsi="仿宋" w:eastAsia="仿宋" w:cs="仿宋"/>
          <w:sz w:val="30"/>
          <w:szCs w:val="30"/>
        </w:rPr>
        <w:t>&lt;</w:t>
      </w:r>
      <w:r>
        <w:rPr>
          <w:rFonts w:hint="eastAsia" w:ascii="仿宋" w:hAnsi="仿宋" w:eastAsia="仿宋" w:cs="仿宋"/>
          <w:sz w:val="30"/>
          <w:szCs w:val="30"/>
        </w:rPr>
        <w:t>深圳市高新区坪山园区较大面积产业空间土地整备工作方案</w:t>
      </w:r>
      <w:r>
        <w:rPr>
          <w:rFonts w:ascii="仿宋" w:hAnsi="仿宋" w:eastAsia="仿宋" w:cs="仿宋"/>
          <w:sz w:val="30"/>
          <w:szCs w:val="30"/>
        </w:rPr>
        <w:t>&gt;</w:t>
      </w:r>
      <w:r>
        <w:rPr>
          <w:rFonts w:hint="eastAsia" w:ascii="仿宋" w:hAnsi="仿宋" w:eastAsia="仿宋" w:cs="仿宋"/>
          <w:sz w:val="30"/>
          <w:szCs w:val="30"/>
        </w:rPr>
        <w:t>的通知》的总体要求，为深入贯彻落实《深圳市坪山区城市更新和土地整备局文件</w:t>
      </w:r>
      <w:r>
        <w:rPr>
          <w:rFonts w:ascii="仿宋" w:hAnsi="仿宋" w:eastAsia="仿宋" w:cs="仿宋"/>
          <w:sz w:val="30"/>
          <w:szCs w:val="30"/>
        </w:rPr>
        <w:t xml:space="preserve"> </w:t>
      </w:r>
      <w:r>
        <w:rPr>
          <w:rFonts w:hint="eastAsia" w:ascii="仿宋" w:hAnsi="仿宋" w:eastAsia="仿宋" w:cs="仿宋"/>
          <w:sz w:val="30"/>
          <w:szCs w:val="30"/>
        </w:rPr>
        <w:t>关于开展深圳市高新区坪山园区较大面积产业空间土地整备工作的通知》（深坪更新整备〔</w:t>
      </w:r>
      <w:r>
        <w:rPr>
          <w:rFonts w:ascii="仿宋" w:hAnsi="仿宋" w:eastAsia="仿宋" w:cs="仿宋"/>
          <w:sz w:val="30"/>
          <w:szCs w:val="30"/>
        </w:rPr>
        <w:t>2019</w:t>
      </w:r>
      <w:r>
        <w:rPr>
          <w:rFonts w:hint="eastAsia" w:ascii="仿宋" w:hAnsi="仿宋" w:eastAsia="仿宋" w:cs="仿宋"/>
          <w:sz w:val="30"/>
          <w:szCs w:val="30"/>
        </w:rPr>
        <w:t>〕</w:t>
      </w:r>
      <w:r>
        <w:rPr>
          <w:rFonts w:ascii="仿宋" w:hAnsi="仿宋" w:eastAsia="仿宋" w:cs="仿宋"/>
          <w:sz w:val="30"/>
          <w:szCs w:val="30"/>
        </w:rPr>
        <w:t>118</w:t>
      </w:r>
      <w:r>
        <w:rPr>
          <w:rFonts w:hint="eastAsia" w:ascii="仿宋" w:hAnsi="仿宋" w:eastAsia="仿宋" w:cs="仿宋"/>
          <w:sz w:val="30"/>
          <w:szCs w:val="30"/>
        </w:rPr>
        <w:t>号）的工作部署和要求，现由坑梓街道办事处负责</w:t>
      </w:r>
      <w:r>
        <w:rPr>
          <w:rFonts w:ascii="仿宋" w:hAnsi="仿宋" w:eastAsia="仿宋" w:cs="仿宋"/>
          <w:sz w:val="30"/>
          <w:szCs w:val="30"/>
        </w:rPr>
        <w:t>2021</w:t>
      </w:r>
      <w:r>
        <w:rPr>
          <w:rFonts w:hint="eastAsia" w:ascii="仿宋" w:hAnsi="仿宋" w:eastAsia="仿宋" w:cs="仿宋"/>
          <w:sz w:val="30"/>
          <w:szCs w:val="30"/>
        </w:rPr>
        <w:t>年较大面积产业用地专项行动任务测绘服务采购及招标工作。</w:t>
      </w:r>
    </w:p>
    <w:p>
      <w:pPr>
        <w:pStyle w:val="2"/>
        <w:rPr>
          <w:rFonts w:ascii="仿宋" w:hAnsi="仿宋" w:eastAsia="仿宋" w:cs="仿宋"/>
          <w:b/>
          <w:bCs/>
          <w:sz w:val="30"/>
          <w:szCs w:val="30"/>
        </w:rPr>
      </w:pPr>
      <w:r>
        <w:rPr>
          <w:rFonts w:hint="eastAsia" w:ascii="黑体" w:hAnsi="宋体" w:eastAsia="黑体" w:cs="宋体"/>
          <w:b/>
          <w:kern w:val="0"/>
          <w:sz w:val="32"/>
          <w:szCs w:val="32"/>
        </w:rPr>
        <w:t>二、技术需求</w:t>
      </w:r>
    </w:p>
    <w:p>
      <w:pPr>
        <w:numPr>
          <w:ilvl w:val="0"/>
          <w:numId w:val="4"/>
        </w:numPr>
        <w:spacing w:line="360" w:lineRule="auto"/>
        <w:rPr>
          <w:rFonts w:ascii="仿宋" w:hAnsi="仿宋" w:eastAsia="仿宋"/>
          <w:b/>
          <w:color w:val="000000"/>
          <w:sz w:val="30"/>
          <w:szCs w:val="30"/>
        </w:rPr>
      </w:pPr>
      <w:r>
        <w:rPr>
          <w:rFonts w:hint="eastAsia" w:ascii="仿宋" w:hAnsi="仿宋" w:eastAsia="仿宋"/>
          <w:b/>
          <w:color w:val="000000"/>
          <w:sz w:val="30"/>
          <w:szCs w:val="30"/>
        </w:rPr>
        <w:t>工作范围</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深圳市坪山区坑梓街道行政辖区范围（具体范围由业主提供）</w:t>
      </w:r>
    </w:p>
    <w:p>
      <w:pPr>
        <w:numPr>
          <w:ilvl w:val="0"/>
          <w:numId w:val="4"/>
        </w:numPr>
        <w:spacing w:line="360" w:lineRule="auto"/>
        <w:rPr>
          <w:rFonts w:ascii="仿宋" w:hAnsi="仿宋" w:eastAsia="仿宋"/>
          <w:b/>
          <w:color w:val="000000"/>
          <w:sz w:val="30"/>
          <w:szCs w:val="30"/>
        </w:rPr>
      </w:pPr>
      <w:r>
        <w:rPr>
          <w:rFonts w:hint="eastAsia" w:ascii="仿宋" w:hAnsi="仿宋" w:eastAsia="仿宋"/>
          <w:b/>
          <w:color w:val="000000"/>
          <w:sz w:val="30"/>
          <w:szCs w:val="30"/>
        </w:rPr>
        <w:t>工作内容</w:t>
      </w:r>
    </w:p>
    <w:tbl>
      <w:tblPr>
        <w:tblStyle w:val="10"/>
        <w:tblpPr w:leftFromText="180" w:rightFromText="180" w:vertAnchor="text" w:horzAnchor="margin" w:tblpXSpec="center" w:tblpY="376"/>
        <w:tblW w:w="7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5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heme="minorBidi"/>
                <w:b/>
                <w:color w:val="000000"/>
                <w:sz w:val="30"/>
                <w:szCs w:val="30"/>
              </w:rPr>
            </w:pPr>
            <w:r>
              <w:rPr>
                <w:rFonts w:hint="eastAsia" w:ascii="仿宋_GB2312" w:hAnsi="仿宋" w:eastAsia="仿宋_GB2312"/>
                <w:b/>
                <w:color w:val="000000"/>
                <w:sz w:val="30"/>
                <w:szCs w:val="30"/>
              </w:rPr>
              <w:t>序号</w:t>
            </w:r>
          </w:p>
        </w:tc>
        <w:tc>
          <w:tcPr>
            <w:tcW w:w="56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heme="minorBidi"/>
                <w:b/>
                <w:color w:val="000000"/>
                <w:sz w:val="30"/>
                <w:szCs w:val="30"/>
              </w:rPr>
            </w:pPr>
            <w:r>
              <w:rPr>
                <w:rFonts w:hint="eastAsia" w:ascii="仿宋_GB2312" w:hAnsi="仿宋" w:eastAsia="仿宋_GB2312"/>
                <w:b/>
                <w:color w:val="000000"/>
                <w:sz w:val="30"/>
                <w:szCs w:val="30"/>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heme="minorBidi"/>
                <w:sz w:val="30"/>
                <w:szCs w:val="30"/>
              </w:rPr>
            </w:pPr>
            <w:r>
              <w:rPr>
                <w:rFonts w:hint="eastAsia" w:ascii="仿宋_GB2312" w:hAnsi="仿宋" w:eastAsia="仿宋_GB2312"/>
                <w:sz w:val="30"/>
                <w:szCs w:val="30"/>
              </w:rPr>
              <w:t>1</w:t>
            </w:r>
          </w:p>
        </w:tc>
        <w:tc>
          <w:tcPr>
            <w:tcW w:w="56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heme="minorBidi"/>
                <w:sz w:val="30"/>
                <w:szCs w:val="30"/>
              </w:rPr>
            </w:pPr>
            <w:r>
              <w:rPr>
                <w:rFonts w:hint="eastAsia" w:ascii="仿宋_GB2312" w:hAnsi="宋体" w:eastAsia="仿宋_GB2312" w:cs="宋体"/>
                <w:kern w:val="0"/>
                <w:sz w:val="30"/>
                <w:szCs w:val="30"/>
              </w:rPr>
              <w:t>土地位置（界线）测量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heme="minorBidi"/>
                <w:sz w:val="30"/>
                <w:szCs w:val="30"/>
              </w:rPr>
            </w:pPr>
            <w:r>
              <w:rPr>
                <w:rFonts w:hint="eastAsia" w:ascii="仿宋_GB2312" w:hAnsi="仿宋" w:eastAsia="仿宋_GB2312"/>
                <w:sz w:val="30"/>
                <w:szCs w:val="30"/>
              </w:rPr>
              <w:t>2</w:t>
            </w:r>
          </w:p>
        </w:tc>
        <w:tc>
          <w:tcPr>
            <w:tcW w:w="56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地类范围测点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2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theme="minorBidi"/>
                <w:sz w:val="30"/>
                <w:szCs w:val="30"/>
              </w:rPr>
            </w:pPr>
            <w:r>
              <w:rPr>
                <w:rFonts w:hint="eastAsia" w:ascii="仿宋_GB2312" w:hAnsi="仿宋" w:eastAsia="仿宋_GB2312"/>
                <w:sz w:val="30"/>
                <w:szCs w:val="30"/>
              </w:rPr>
              <w:t>3</w:t>
            </w:r>
          </w:p>
        </w:tc>
        <w:tc>
          <w:tcPr>
            <w:tcW w:w="56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权属范围测点</w:t>
            </w:r>
          </w:p>
        </w:tc>
      </w:tr>
    </w:tbl>
    <w:p>
      <w:pPr>
        <w:numPr>
          <w:ilvl w:val="0"/>
          <w:numId w:val="4"/>
        </w:numPr>
        <w:spacing w:line="360" w:lineRule="auto"/>
        <w:rPr>
          <w:rFonts w:ascii="仿宋" w:hAnsi="仿宋" w:eastAsia="仿宋" w:cstheme="minorBidi"/>
          <w:b/>
          <w:color w:val="000000"/>
          <w:sz w:val="30"/>
          <w:szCs w:val="30"/>
        </w:rPr>
      </w:pPr>
      <w:r>
        <w:rPr>
          <w:rFonts w:hint="eastAsia" w:ascii="仿宋" w:hAnsi="仿宋" w:eastAsia="仿宋"/>
          <w:b/>
          <w:color w:val="000000"/>
          <w:sz w:val="30"/>
          <w:szCs w:val="30"/>
        </w:rPr>
        <w:t>执行技术标准</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1、国家规定的技术标准与规范：</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（1）《城市测量规范》（CJJ/T8-2011）；</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（2）《1：500、1：1000、1：2000 地形图图式》（GB/T20257.1-2017）</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（3）《房产测量规范》（GB/T17986.1-2000）</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（4）《卫星定位城市测量技术标准》（CJJ/T73-2019）；</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（5）《测绘成果质量检查与验收》（CB/T24356-2009）</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2、深圳市的有关技术和规范：</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（1）《深圳市房屋建筑面积测绘技术规范》（SZJG  T22-2015 ）；</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（2）《深圳市基础测绘技术规程》（原深圳市国土资源和房产管理局，2000 年10 月）。</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3、坐标系统</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平面坐标系采用CGCS2000坐标系；</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高程系统采用1956年黄海高程系。</w:t>
      </w:r>
    </w:p>
    <w:p>
      <w:pPr>
        <w:pStyle w:val="2"/>
        <w:rPr>
          <w:rFonts w:ascii="黑体" w:hAnsi="宋体" w:eastAsia="黑体" w:cs="宋体"/>
          <w:b/>
          <w:kern w:val="0"/>
          <w:sz w:val="32"/>
          <w:szCs w:val="32"/>
        </w:rPr>
      </w:pPr>
      <w:r>
        <w:rPr>
          <w:rFonts w:hint="eastAsia" w:ascii="黑体" w:hAnsi="宋体" w:eastAsia="黑体" w:cs="宋体"/>
          <w:b/>
          <w:kern w:val="0"/>
          <w:sz w:val="32"/>
          <w:szCs w:val="32"/>
        </w:rPr>
        <w:t>三、供应商资格要求</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投标人须是在中华人民共和国境内注册，具有独立法人资格和独立承担民事责任的能力（提供营业执照扫描件或事业单位法人证等法人证明扫描件，原件备查）；总公司或者分公司只允许一家投标，不允许同时参与本项目投标，以分公司名义参与投标的，须提供总公司或具有独立法人的上一级公司出具的愿为其参与本项目投标的行为以及履约等行为承担民事责任的加盖总公司公章的授权函，以及提供总、分公司的营业执照扫描件，原件备查；</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投标人参与本项目投标前三年内（投标人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的情况（提供诚信承诺函，格式自拟）</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如响应供应商之间存在关联关系，且确实可能影响该项目开标的公平公正的，招标人或采购人有权暂停项目了解情况，响应供应商应当全权配合；经确认存在上述关联关系的，取消响应资格，作废标处理；中标后确认上述关联关系的，根据采购相关法律法规追究相应供应商法律责任。；</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4、投标人需具备乙级测绘资质（需包含工程测量、不动产测绘）及以上；</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5、本项目不接受联合体投标。</w:t>
      </w:r>
    </w:p>
    <w:p>
      <w:pPr>
        <w:pStyle w:val="2"/>
        <w:rPr>
          <w:rFonts w:ascii="黑体" w:hAnsi="宋体" w:eastAsia="黑体" w:cs="宋体"/>
          <w:b/>
          <w:kern w:val="0"/>
          <w:sz w:val="32"/>
          <w:szCs w:val="32"/>
        </w:rPr>
      </w:pPr>
      <w:r>
        <w:rPr>
          <w:rFonts w:hint="eastAsia" w:ascii="黑体" w:hAnsi="宋体" w:eastAsia="黑体" w:cs="宋体"/>
          <w:b/>
          <w:kern w:val="0"/>
          <w:sz w:val="32"/>
          <w:szCs w:val="32"/>
        </w:rPr>
        <w:t>四、评标定标方法</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本项目采用综合评分法，评审后得分由高到低顺序排列，得分相同的，按投标报价由低到高顺序排列。得分且投标报价相同的，按商务指标优劣顺序排列。</w:t>
      </w:r>
    </w:p>
    <w:p>
      <w:pPr>
        <w:tabs>
          <w:tab w:val="left" w:pos="360"/>
        </w:tabs>
        <w:spacing w:line="300" w:lineRule="auto"/>
        <w:jc w:val="center"/>
        <w:outlineLvl w:val="0"/>
        <w:rPr>
          <w:rFonts w:ascii="仿宋_GB2312" w:hAnsi="宋体" w:eastAsia="仿宋_GB2312"/>
          <w:b/>
          <w:bCs/>
          <w:sz w:val="28"/>
        </w:rPr>
      </w:pPr>
      <w:r>
        <w:rPr>
          <w:rFonts w:hint="eastAsia" w:ascii="仿宋_GB2312" w:hAnsi="宋体" w:eastAsia="仿宋_GB2312"/>
          <w:b/>
          <w:bCs/>
          <w:sz w:val="28"/>
        </w:rPr>
        <w:t>评分标准和细则</w:t>
      </w:r>
    </w:p>
    <w:tbl>
      <w:tblPr>
        <w:tblStyle w:val="10"/>
        <w:tblW w:w="9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498"/>
        <w:gridCol w:w="1531"/>
        <w:gridCol w:w="1136"/>
        <w:gridCol w:w="5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contextualSpacing/>
              <w:jc w:val="center"/>
              <w:rPr>
                <w:rFonts w:ascii="仿宋_GB2312" w:hAnsi="宋体" w:eastAsia="仿宋_GB2312" w:cs="宋体"/>
                <w:b/>
                <w:bCs/>
                <w:szCs w:val="21"/>
              </w:rPr>
            </w:pPr>
            <w:bookmarkStart w:id="1" w:name="InsertEnd"/>
            <w:bookmarkEnd w:id="1"/>
            <w:r>
              <w:rPr>
                <w:rFonts w:hint="eastAsia" w:ascii="仿宋_GB2312" w:hAnsi="宋体" w:eastAsia="仿宋_GB2312" w:cs="宋体"/>
                <w:b/>
                <w:bCs/>
                <w:szCs w:val="21"/>
              </w:rPr>
              <w:t>序号</w:t>
            </w:r>
          </w:p>
        </w:tc>
        <w:tc>
          <w:tcPr>
            <w:tcW w:w="3165" w:type="dxa"/>
            <w:gridSpan w:val="3"/>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评分项</w:t>
            </w:r>
          </w:p>
        </w:tc>
        <w:tc>
          <w:tcPr>
            <w:tcW w:w="5482" w:type="dxa"/>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1</w:t>
            </w:r>
          </w:p>
        </w:tc>
        <w:tc>
          <w:tcPr>
            <w:tcW w:w="3165" w:type="dxa"/>
            <w:gridSpan w:val="3"/>
            <w:vMerge w:val="restart"/>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价格部分</w:t>
            </w:r>
          </w:p>
        </w:tc>
        <w:tc>
          <w:tcPr>
            <w:tcW w:w="5482" w:type="dxa"/>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65" w:type="dxa"/>
            <w:vMerge w:val="restart"/>
            <w:vAlign w:val="center"/>
          </w:tcPr>
          <w:p>
            <w:pPr>
              <w:contextualSpacing/>
              <w:jc w:val="center"/>
              <w:rPr>
                <w:rFonts w:ascii="仿宋_GB2312" w:hAnsi="宋体" w:eastAsia="仿宋_GB2312" w:cs="宋体"/>
                <w:b/>
                <w:bCs/>
                <w:szCs w:val="21"/>
              </w:rPr>
            </w:pPr>
          </w:p>
        </w:tc>
        <w:tc>
          <w:tcPr>
            <w:tcW w:w="3165" w:type="dxa"/>
            <w:gridSpan w:val="3"/>
            <w:vMerge w:val="continue"/>
            <w:vAlign w:val="center"/>
          </w:tcPr>
          <w:p>
            <w:pPr>
              <w:contextualSpacing/>
              <w:jc w:val="center"/>
              <w:rPr>
                <w:rFonts w:ascii="仿宋_GB2312" w:hAnsi="宋体" w:eastAsia="仿宋_GB2312" w:cs="宋体"/>
                <w:b/>
                <w:bCs/>
                <w:szCs w:val="21"/>
              </w:rPr>
            </w:pPr>
          </w:p>
        </w:tc>
        <w:tc>
          <w:tcPr>
            <w:tcW w:w="5482" w:type="dxa"/>
            <w:vAlign w:val="center"/>
          </w:tcPr>
          <w:p>
            <w:pPr>
              <w:contextualSpacing/>
              <w:jc w:val="center"/>
              <w:rPr>
                <w:rFonts w:ascii="仿宋_GB2312" w:eastAsia="仿宋_GB2312"/>
              </w:rPr>
            </w:pPr>
            <w:r>
              <w:rPr>
                <w:rFonts w:hint="eastAsia" w:ascii="仿宋_GB2312" w:eastAsia="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465" w:type="dxa"/>
            <w:vMerge w:val="continue"/>
            <w:vAlign w:val="center"/>
          </w:tcPr>
          <w:p>
            <w:pPr>
              <w:pStyle w:val="2"/>
              <w:rPr>
                <w:rFonts w:ascii="仿宋_GB2312" w:eastAsia="仿宋_GB2312"/>
              </w:rPr>
            </w:pPr>
          </w:p>
        </w:tc>
        <w:tc>
          <w:tcPr>
            <w:tcW w:w="3165" w:type="dxa"/>
            <w:gridSpan w:val="3"/>
            <w:vMerge w:val="continue"/>
            <w:vAlign w:val="center"/>
          </w:tcPr>
          <w:p>
            <w:pPr>
              <w:pStyle w:val="2"/>
              <w:rPr>
                <w:rFonts w:ascii="仿宋_GB2312" w:eastAsia="仿宋_GB2312"/>
              </w:rPr>
            </w:pPr>
          </w:p>
        </w:tc>
        <w:tc>
          <w:tcPr>
            <w:tcW w:w="5482" w:type="dxa"/>
            <w:vAlign w:val="center"/>
          </w:tcPr>
          <w:p>
            <w:pPr>
              <w:ind w:right="-73" w:rightChars="-35"/>
              <w:rPr>
                <w:rFonts w:ascii="仿宋_GB2312" w:hAnsi="宋体" w:eastAsia="仿宋_GB2312" w:cs="宋体"/>
                <w:szCs w:val="21"/>
              </w:rPr>
            </w:pPr>
            <w:r>
              <w:rPr>
                <w:rFonts w:hint="eastAsia" w:ascii="仿宋_GB2312" w:hAnsi="宋体" w:eastAsia="仿宋_GB2312" w:cs="宋体"/>
                <w:szCs w:val="21"/>
              </w:rPr>
              <w:t>价格分计算方法：采用低价优先法计算，即满足招标文件要求且投标价格最低的投标报价为评标基准价，其价格分为满分。其他投标人的价格分统一按照下列公式计算：</w:t>
            </w:r>
          </w:p>
          <w:p>
            <w:pPr>
              <w:ind w:right="-73" w:rightChars="-35"/>
              <w:rPr>
                <w:rFonts w:ascii="仿宋_GB2312" w:hAnsi="宋体" w:eastAsia="仿宋_GB2312" w:cs="宋体"/>
                <w:szCs w:val="21"/>
              </w:rPr>
            </w:pPr>
            <w:r>
              <w:rPr>
                <w:rFonts w:hint="eastAsia" w:ascii="仿宋_GB2312" w:hAnsi="宋体" w:eastAsia="仿宋_GB2312" w:cs="宋体"/>
                <w:szCs w:val="21"/>
              </w:rPr>
              <w:t xml:space="preserve">投标报价得分=(评标基准价／投标报价)×100 </w:t>
            </w:r>
          </w:p>
          <w:p>
            <w:pPr>
              <w:ind w:right="-73" w:rightChars="-35"/>
              <w:rPr>
                <w:rFonts w:ascii="仿宋_GB2312" w:hAnsi="宋体" w:eastAsia="仿宋_GB2312" w:cs="宋体"/>
                <w:szCs w:val="21"/>
              </w:rPr>
            </w:pPr>
            <w:r>
              <w:rPr>
                <w:rFonts w:hint="eastAsia" w:ascii="仿宋_GB2312" w:hAnsi="宋体" w:eastAsia="仿宋_GB2312" w:cs="宋体"/>
                <w:szCs w:val="21"/>
              </w:rPr>
              <w:t>评标总得分＝F1×A1＋F2×A2＋……＋Fn×An</w:t>
            </w:r>
          </w:p>
          <w:p>
            <w:pPr>
              <w:ind w:right="-73" w:rightChars="-35"/>
              <w:rPr>
                <w:rFonts w:ascii="仿宋_GB2312" w:hAnsi="宋体" w:eastAsia="仿宋_GB2312" w:cs="宋体"/>
                <w:szCs w:val="21"/>
              </w:rPr>
            </w:pPr>
            <w:r>
              <w:rPr>
                <w:rFonts w:hint="eastAsia" w:ascii="仿宋_GB2312" w:hAnsi="宋体" w:eastAsia="仿宋_GB2312" w:cs="宋体"/>
                <w:szCs w:val="21"/>
              </w:rPr>
              <w:t>F1、F2……Fn分别为各项评审因素的得分；</w:t>
            </w:r>
          </w:p>
          <w:p>
            <w:pPr>
              <w:ind w:right="-73" w:rightChars="-35"/>
              <w:rPr>
                <w:rFonts w:ascii="仿宋_GB2312" w:hAnsi="宋体" w:eastAsia="仿宋_GB2312" w:cs="宋体"/>
                <w:szCs w:val="21"/>
              </w:rPr>
            </w:pPr>
            <w:r>
              <w:rPr>
                <w:rFonts w:hint="eastAsia" w:ascii="仿宋_GB2312" w:hAnsi="宋体" w:eastAsia="仿宋_GB2312" w:cs="宋体"/>
                <w:szCs w:val="21"/>
              </w:rPr>
              <w:t>A1、A2、……An 分别为各项评审因素所占的权重(A1＋A2＋……＋An＝1)。</w:t>
            </w:r>
          </w:p>
          <w:p>
            <w:pPr>
              <w:ind w:right="-73" w:rightChars="-35"/>
              <w:rPr>
                <w:rFonts w:ascii="仿宋_GB2312" w:hAnsi="宋体" w:eastAsia="仿宋_GB2312" w:cs="宋体"/>
                <w:szCs w:val="21"/>
              </w:rPr>
            </w:pPr>
            <w:r>
              <w:rPr>
                <w:rFonts w:hint="eastAsia" w:ascii="仿宋_GB2312" w:hAnsi="宋体" w:eastAsia="仿宋_GB2312" w:cs="宋体"/>
                <w:szCs w:val="21"/>
              </w:rPr>
              <w:t>评标过程中，不得去掉报价中的最高报价和最低报价。</w:t>
            </w:r>
          </w:p>
          <w:p>
            <w:pPr>
              <w:pStyle w:val="2"/>
              <w:rPr>
                <w:rFonts w:ascii="仿宋_GB2312" w:hAnsi="宋体" w:eastAsia="仿宋_GB2312" w:cs="宋体"/>
                <w:szCs w:val="21"/>
              </w:rPr>
            </w:pPr>
            <w:r>
              <w:rPr>
                <w:rFonts w:hint="eastAsia" w:ascii="仿宋_GB2312" w:hAnsi="宋体" w:eastAsia="仿宋_GB2312" w:cs="宋体"/>
                <w:sz w:val="21"/>
                <w:szCs w:val="21"/>
              </w:rPr>
              <w:t>高于本项目预算价格的报价得0分。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2</w:t>
            </w:r>
          </w:p>
        </w:tc>
        <w:tc>
          <w:tcPr>
            <w:tcW w:w="3165" w:type="dxa"/>
            <w:gridSpan w:val="3"/>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技术部分</w:t>
            </w:r>
          </w:p>
        </w:tc>
        <w:tc>
          <w:tcPr>
            <w:tcW w:w="5482" w:type="dxa"/>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restart"/>
            <w:vAlign w:val="center"/>
          </w:tcPr>
          <w:p>
            <w:pPr>
              <w:contextualSpacing/>
              <w:jc w:val="center"/>
              <w:rPr>
                <w:rFonts w:ascii="仿宋_GB2312" w:hAnsi="宋体" w:eastAsia="仿宋_GB2312" w:cs="宋体"/>
                <w:szCs w:val="21"/>
              </w:rPr>
            </w:pPr>
          </w:p>
        </w:tc>
        <w:tc>
          <w:tcPr>
            <w:tcW w:w="498"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序号</w:t>
            </w:r>
          </w:p>
        </w:tc>
        <w:tc>
          <w:tcPr>
            <w:tcW w:w="1531"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评分因素</w:t>
            </w:r>
          </w:p>
        </w:tc>
        <w:tc>
          <w:tcPr>
            <w:tcW w:w="1136"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权重</w:t>
            </w:r>
          </w:p>
        </w:tc>
        <w:tc>
          <w:tcPr>
            <w:tcW w:w="5482"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仿宋_GB2312" w:hAnsi="宋体" w:eastAsia="仿宋_GB2312" w:cs="宋体"/>
                <w:szCs w:val="21"/>
              </w:rPr>
            </w:pPr>
          </w:p>
        </w:tc>
        <w:tc>
          <w:tcPr>
            <w:tcW w:w="498"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1</w:t>
            </w:r>
          </w:p>
        </w:tc>
        <w:tc>
          <w:tcPr>
            <w:tcW w:w="1531" w:type="dxa"/>
            <w:vAlign w:val="center"/>
          </w:tcPr>
          <w:p>
            <w:pPr>
              <w:jc w:val="center"/>
              <w:rPr>
                <w:rFonts w:ascii="仿宋_GB2312" w:hAnsi="宋体" w:eastAsia="仿宋_GB2312" w:cs="宋体"/>
                <w:szCs w:val="21"/>
              </w:rPr>
            </w:pPr>
            <w:r>
              <w:rPr>
                <w:rFonts w:hint="eastAsia" w:ascii="仿宋_GB2312" w:eastAsia="仿宋_GB2312"/>
              </w:rPr>
              <w:t>项目服务方案</w:t>
            </w:r>
          </w:p>
        </w:tc>
        <w:tc>
          <w:tcPr>
            <w:tcW w:w="1136" w:type="dxa"/>
            <w:vAlign w:val="center"/>
          </w:tcPr>
          <w:p>
            <w:pPr>
              <w:jc w:val="center"/>
              <w:rPr>
                <w:rFonts w:ascii="仿宋_GB2312" w:hAnsi="宋体" w:eastAsia="仿宋_GB2312" w:cs="宋体"/>
                <w:szCs w:val="21"/>
              </w:rPr>
            </w:pPr>
            <w:r>
              <w:rPr>
                <w:rFonts w:hint="eastAsia" w:ascii="仿宋_GB2312" w:hAnsi="宋体" w:eastAsia="仿宋_GB2312" w:cs="宋体"/>
                <w:szCs w:val="21"/>
              </w:rPr>
              <w:t>10</w:t>
            </w:r>
          </w:p>
        </w:tc>
        <w:tc>
          <w:tcPr>
            <w:tcW w:w="5482" w:type="dxa"/>
            <w:vAlign w:val="center"/>
          </w:tcPr>
          <w:p>
            <w:pPr>
              <w:rPr>
                <w:rFonts w:ascii="仿宋_GB2312" w:eastAsia="仿宋_GB2312"/>
              </w:rPr>
            </w:pPr>
            <w:r>
              <w:rPr>
                <w:rFonts w:hint="eastAsia" w:ascii="仿宋_GB2312" w:eastAsia="仿宋_GB2312"/>
                <w:b/>
                <w:bCs/>
              </w:rPr>
              <w:t>评审内容：</w:t>
            </w:r>
            <w:r>
              <w:rPr>
                <w:rFonts w:hint="eastAsia" w:ascii="仿宋_GB2312" w:eastAsia="仿宋_GB2312"/>
              </w:rPr>
              <w:t>方案高效合理，不限于但至少包含对采购单位测绘服务的整体设想，明确承诺严格遵守职业道德规范、必须保守国家机密，不得泄露采购方所提供的属国家秘密的信息和数据；未经采购方允许，不得使用或者以其他方式给任何第三方提供本项目的相关信息或数据等。按期按质完成工作,提供充足的技术保障,资料提交完整。确保工期。</w:t>
            </w:r>
          </w:p>
          <w:p>
            <w:pPr>
              <w:ind w:right="-73" w:rightChars="-35"/>
              <w:rPr>
                <w:rFonts w:ascii="仿宋_GB2312" w:hAnsi="宋体" w:eastAsia="仿宋_GB2312" w:cs="宋体"/>
                <w:szCs w:val="21"/>
              </w:rPr>
            </w:pPr>
            <w:r>
              <w:rPr>
                <w:rFonts w:hint="eastAsia" w:ascii="仿宋_GB2312" w:eastAsia="仿宋_GB2312"/>
                <w:b/>
                <w:bCs/>
              </w:rPr>
              <w:t>评审标准</w:t>
            </w:r>
            <w:r>
              <w:rPr>
                <w:rFonts w:hint="eastAsia" w:ascii="仿宋_GB2312" w:eastAsia="仿宋_GB2312"/>
                <w:b/>
              </w:rPr>
              <w:t>：</w:t>
            </w:r>
            <w:r>
              <w:rPr>
                <w:rFonts w:hint="eastAsia" w:ascii="仿宋_GB2312" w:eastAsia="仿宋_GB2312"/>
                <w:lang w:val="sq-AL"/>
              </w:rPr>
              <w:t>按照投标文件响应情况进行横向比较，分档评分，评价为优得</w:t>
            </w:r>
            <w:r>
              <w:rPr>
                <w:rFonts w:hint="eastAsia" w:ascii="仿宋_GB2312" w:eastAsia="仿宋_GB2312"/>
              </w:rPr>
              <w:t>8-10</w:t>
            </w:r>
            <w:r>
              <w:rPr>
                <w:rFonts w:hint="eastAsia" w:ascii="仿宋_GB2312" w:eastAsia="仿宋_GB2312"/>
                <w:lang w:val="sq-AL"/>
              </w:rPr>
              <w:t>分；评价为良得</w:t>
            </w:r>
            <w:r>
              <w:rPr>
                <w:rFonts w:hint="eastAsia" w:ascii="仿宋_GB2312" w:eastAsia="仿宋_GB2312"/>
              </w:rPr>
              <w:t>4-8</w:t>
            </w:r>
            <w:r>
              <w:rPr>
                <w:rFonts w:hint="eastAsia" w:ascii="仿宋_GB2312" w:eastAsia="仿宋_GB2312"/>
                <w:lang w:val="sq-AL"/>
              </w:rPr>
              <w:t>分；评价为中得</w:t>
            </w:r>
            <w:r>
              <w:rPr>
                <w:rFonts w:hint="eastAsia" w:ascii="仿宋_GB2312" w:eastAsia="仿宋_GB2312"/>
              </w:rPr>
              <w:t>1-4</w:t>
            </w:r>
            <w:r>
              <w:rPr>
                <w:rFonts w:hint="eastAsia" w:ascii="仿宋_GB2312" w:eastAsia="仿宋_GB2312"/>
                <w:lang w:val="sq-AL"/>
              </w:rPr>
              <w:t>分；评价为差不得分。评价为“中”或“差”评委须书面说明情况。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仿宋_GB2312" w:hAnsi="宋体" w:eastAsia="仿宋_GB2312" w:cs="宋体"/>
                <w:szCs w:val="21"/>
              </w:rPr>
            </w:pPr>
          </w:p>
        </w:tc>
        <w:tc>
          <w:tcPr>
            <w:tcW w:w="498"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2</w:t>
            </w:r>
          </w:p>
        </w:tc>
        <w:tc>
          <w:tcPr>
            <w:tcW w:w="1531" w:type="dxa"/>
            <w:vAlign w:val="center"/>
          </w:tcPr>
          <w:p>
            <w:pPr>
              <w:jc w:val="center"/>
              <w:rPr>
                <w:rFonts w:ascii="仿宋_GB2312" w:hAnsi="宋体" w:eastAsia="仿宋_GB2312" w:cs="宋体"/>
                <w:szCs w:val="21"/>
              </w:rPr>
            </w:pPr>
            <w:r>
              <w:rPr>
                <w:rFonts w:hint="eastAsia" w:ascii="仿宋_GB2312" w:eastAsia="仿宋_GB2312"/>
              </w:rPr>
              <w:t>项目安全保障措施</w:t>
            </w:r>
          </w:p>
        </w:tc>
        <w:tc>
          <w:tcPr>
            <w:tcW w:w="1136" w:type="dxa"/>
            <w:vAlign w:val="center"/>
          </w:tcPr>
          <w:p>
            <w:pPr>
              <w:ind w:left="-78" w:leftChars="-37" w:right="-73" w:rightChars="-35"/>
              <w:jc w:val="center"/>
              <w:rPr>
                <w:rFonts w:ascii="仿宋_GB2312" w:hAnsi="宋体" w:eastAsia="仿宋_GB2312" w:cs="宋体"/>
                <w:szCs w:val="21"/>
              </w:rPr>
            </w:pPr>
            <w:r>
              <w:rPr>
                <w:rFonts w:hint="eastAsia" w:ascii="仿宋_GB2312" w:hAnsi="宋体" w:eastAsia="仿宋_GB2312" w:cs="宋体"/>
                <w:szCs w:val="21"/>
              </w:rPr>
              <w:t>10</w:t>
            </w:r>
          </w:p>
        </w:tc>
        <w:tc>
          <w:tcPr>
            <w:tcW w:w="5482" w:type="dxa"/>
            <w:vAlign w:val="center"/>
          </w:tcPr>
          <w:p>
            <w:pPr>
              <w:rPr>
                <w:rFonts w:ascii="仿宋_GB2312" w:eastAsia="仿宋_GB2312"/>
              </w:rPr>
            </w:pPr>
            <w:r>
              <w:rPr>
                <w:rFonts w:hint="eastAsia" w:ascii="仿宋_GB2312" w:hAnsi="宋体" w:eastAsia="仿宋_GB2312" w:cs="宋体"/>
                <w:szCs w:val="21"/>
              </w:rPr>
              <w:t>在</w:t>
            </w:r>
            <w:r>
              <w:rPr>
                <w:rFonts w:hint="eastAsia" w:ascii="仿宋_GB2312" w:eastAsia="仿宋_GB2312"/>
                <w:b/>
                <w:bCs/>
              </w:rPr>
              <w:t>评审内容：</w:t>
            </w:r>
            <w:r>
              <w:rPr>
                <w:rFonts w:hint="eastAsia" w:ascii="仿宋_GB2312" w:eastAsia="仿宋_GB2312"/>
              </w:rPr>
              <w:t>投标人承诺在项目实施过程中，建立健全符合日常作业需要的安全组织架构、安全生产管理制度及安全操作规程。并提供《安全生产责任承诺书》，格式自拟。</w:t>
            </w:r>
          </w:p>
          <w:p>
            <w:pPr>
              <w:ind w:left="-78" w:leftChars="-37" w:right="-73" w:rightChars="-35"/>
              <w:rPr>
                <w:rFonts w:ascii="仿宋_GB2312" w:hAnsi="宋体" w:eastAsia="仿宋_GB2312" w:cs="宋体"/>
                <w:szCs w:val="21"/>
              </w:rPr>
            </w:pPr>
            <w:r>
              <w:rPr>
                <w:rFonts w:hint="eastAsia" w:ascii="仿宋_GB2312" w:eastAsia="仿宋_GB2312"/>
                <w:b/>
                <w:bCs/>
              </w:rPr>
              <w:t>评审标准</w:t>
            </w:r>
            <w:r>
              <w:rPr>
                <w:rFonts w:hint="eastAsia" w:ascii="仿宋_GB2312" w:eastAsia="仿宋_GB2312"/>
                <w:b/>
              </w:rPr>
              <w:t>：</w:t>
            </w:r>
            <w:r>
              <w:rPr>
                <w:rFonts w:hint="eastAsia" w:ascii="仿宋_GB2312" w:eastAsia="仿宋_GB2312"/>
                <w:lang w:val="sq-AL"/>
              </w:rPr>
              <w:t>按照投标文件响应情况进行横向比较，分档评分，评价为优得</w:t>
            </w:r>
            <w:r>
              <w:rPr>
                <w:rFonts w:hint="eastAsia" w:ascii="仿宋_GB2312" w:eastAsia="仿宋_GB2312"/>
              </w:rPr>
              <w:t>8-10</w:t>
            </w:r>
            <w:r>
              <w:rPr>
                <w:rFonts w:hint="eastAsia" w:ascii="仿宋_GB2312" w:eastAsia="仿宋_GB2312"/>
                <w:lang w:val="sq-AL"/>
              </w:rPr>
              <w:t>分；评价为良得</w:t>
            </w:r>
            <w:r>
              <w:rPr>
                <w:rFonts w:hint="eastAsia" w:ascii="仿宋_GB2312" w:eastAsia="仿宋_GB2312"/>
              </w:rPr>
              <w:t>4-8</w:t>
            </w:r>
            <w:r>
              <w:rPr>
                <w:rFonts w:hint="eastAsia" w:ascii="仿宋_GB2312" w:eastAsia="仿宋_GB2312"/>
                <w:lang w:val="sq-AL"/>
              </w:rPr>
              <w:t>分；评价为中得</w:t>
            </w:r>
            <w:r>
              <w:rPr>
                <w:rFonts w:hint="eastAsia" w:ascii="仿宋_GB2312" w:eastAsia="仿宋_GB2312"/>
              </w:rPr>
              <w:t>1-4</w:t>
            </w:r>
            <w:r>
              <w:rPr>
                <w:rFonts w:hint="eastAsia" w:ascii="仿宋_GB2312" w:eastAsia="仿宋_GB2312"/>
                <w:lang w:val="sq-AL"/>
              </w:rPr>
              <w:t>分；评价为差不得分。评价为“中”或“差”评委须书面说明情况。</w:t>
            </w:r>
            <w:r>
              <w:rPr>
                <w:rFonts w:hint="eastAsia" w:ascii="仿宋_GB2312" w:hAnsi="宋体" w:eastAsia="仿宋_GB2312" w:cs="宋体"/>
                <w:szCs w:val="21"/>
              </w:rPr>
              <w:t>未提供</w:t>
            </w:r>
            <w:r>
              <w:rPr>
                <w:rFonts w:hint="eastAsia" w:ascii="仿宋_GB2312" w:eastAsia="仿宋_GB2312"/>
              </w:rPr>
              <w:t>《安全生产责任承诺书》</w:t>
            </w:r>
            <w:r>
              <w:rPr>
                <w:rFonts w:hint="eastAsia" w:ascii="仿宋_GB2312" w:hAnsi="宋体" w:eastAsia="仿宋_GB2312" w:cs="宋体"/>
                <w:szCs w:val="21"/>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仿宋_GB2312" w:hAnsi="宋体" w:eastAsia="仿宋_GB2312" w:cs="宋体"/>
                <w:szCs w:val="21"/>
              </w:rPr>
            </w:pPr>
          </w:p>
        </w:tc>
        <w:tc>
          <w:tcPr>
            <w:tcW w:w="498"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3</w:t>
            </w:r>
          </w:p>
        </w:tc>
        <w:tc>
          <w:tcPr>
            <w:tcW w:w="1531" w:type="dxa"/>
            <w:vAlign w:val="center"/>
          </w:tcPr>
          <w:p>
            <w:pPr>
              <w:jc w:val="center"/>
              <w:rPr>
                <w:rFonts w:ascii="仿宋_GB2312" w:hAnsi="宋体" w:eastAsia="仿宋_GB2312" w:cs="宋体"/>
                <w:szCs w:val="21"/>
              </w:rPr>
            </w:pPr>
            <w:r>
              <w:rPr>
                <w:rFonts w:hint="eastAsia" w:ascii="仿宋_GB2312" w:eastAsia="仿宋_GB2312"/>
              </w:rPr>
              <w:t>项目服务质量保障</w:t>
            </w:r>
          </w:p>
        </w:tc>
        <w:tc>
          <w:tcPr>
            <w:tcW w:w="1136" w:type="dxa"/>
            <w:vAlign w:val="center"/>
          </w:tcPr>
          <w:p>
            <w:pPr>
              <w:jc w:val="center"/>
              <w:rPr>
                <w:rFonts w:ascii="仿宋_GB2312" w:hAnsi="宋体" w:eastAsia="仿宋_GB2312" w:cs="宋体"/>
                <w:szCs w:val="21"/>
              </w:rPr>
            </w:pPr>
            <w:r>
              <w:rPr>
                <w:rFonts w:hint="eastAsia" w:ascii="仿宋_GB2312" w:hAnsi="宋体" w:eastAsia="仿宋_GB2312" w:cs="宋体"/>
                <w:szCs w:val="21"/>
              </w:rPr>
              <w:t>10</w:t>
            </w:r>
          </w:p>
        </w:tc>
        <w:tc>
          <w:tcPr>
            <w:tcW w:w="5482" w:type="dxa"/>
            <w:vAlign w:val="center"/>
          </w:tcPr>
          <w:p>
            <w:pPr>
              <w:rPr>
                <w:rFonts w:ascii="仿宋_GB2312" w:eastAsia="仿宋_GB2312"/>
                <w:lang w:val="sq-AL"/>
              </w:rPr>
            </w:pPr>
            <w:r>
              <w:rPr>
                <w:rFonts w:hint="eastAsia" w:ascii="仿宋_GB2312" w:eastAsia="仿宋_GB2312"/>
                <w:b/>
                <w:bCs/>
              </w:rPr>
              <w:t>评审内容：</w:t>
            </w:r>
            <w:r>
              <w:rPr>
                <w:rFonts w:hint="eastAsia" w:ascii="仿宋_GB2312" w:eastAsia="仿宋_GB2312"/>
              </w:rPr>
              <w:t>在投标文件中说明投标人对本项目的管控及如何满足招标文件中的要求，内容包括但不限于质量保障措施、完成时间保障措施、应急管理措施等。</w:t>
            </w:r>
          </w:p>
          <w:p>
            <w:pPr>
              <w:ind w:left="-78" w:leftChars="-37" w:right="-73" w:rightChars="-35"/>
              <w:rPr>
                <w:rFonts w:ascii="仿宋_GB2312" w:hAnsi="宋体" w:eastAsia="仿宋_GB2312" w:cs="宋体"/>
                <w:szCs w:val="21"/>
              </w:rPr>
            </w:pPr>
            <w:r>
              <w:rPr>
                <w:rFonts w:hint="eastAsia" w:ascii="仿宋_GB2312" w:eastAsia="仿宋_GB2312"/>
                <w:b/>
                <w:bCs/>
              </w:rPr>
              <w:t>评审标准：</w:t>
            </w:r>
            <w:r>
              <w:rPr>
                <w:rFonts w:hint="eastAsia" w:ascii="仿宋_GB2312" w:eastAsia="仿宋_GB2312"/>
                <w:lang w:val="sq-AL"/>
              </w:rPr>
              <w:t>按照投标文件响应情况进行横向比较，分档评分，评价为优得</w:t>
            </w:r>
            <w:r>
              <w:rPr>
                <w:rFonts w:hint="eastAsia" w:ascii="仿宋_GB2312" w:eastAsia="仿宋_GB2312"/>
              </w:rPr>
              <w:t>8-10</w:t>
            </w:r>
            <w:r>
              <w:rPr>
                <w:rFonts w:hint="eastAsia" w:ascii="仿宋_GB2312" w:eastAsia="仿宋_GB2312"/>
                <w:lang w:val="sq-AL"/>
              </w:rPr>
              <w:t>分；评价为良得</w:t>
            </w:r>
            <w:r>
              <w:rPr>
                <w:rFonts w:hint="eastAsia" w:ascii="仿宋_GB2312" w:eastAsia="仿宋_GB2312"/>
              </w:rPr>
              <w:t>4-8</w:t>
            </w:r>
            <w:r>
              <w:rPr>
                <w:rFonts w:hint="eastAsia" w:ascii="仿宋_GB2312" w:eastAsia="仿宋_GB2312"/>
                <w:lang w:val="sq-AL"/>
              </w:rPr>
              <w:t>分；评价为中得</w:t>
            </w:r>
            <w:r>
              <w:rPr>
                <w:rFonts w:hint="eastAsia" w:ascii="仿宋_GB2312" w:eastAsia="仿宋_GB2312"/>
              </w:rPr>
              <w:t>1-4</w:t>
            </w:r>
            <w:r>
              <w:rPr>
                <w:rFonts w:hint="eastAsia" w:ascii="仿宋_GB2312" w:eastAsia="仿宋_GB2312"/>
                <w:lang w:val="sq-AL"/>
              </w:rPr>
              <w:t>分；评价为差不得分。评价为“中”或“差”评委须书面说明情况。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atLeast"/>
        </w:trPr>
        <w:tc>
          <w:tcPr>
            <w:tcW w:w="465" w:type="dxa"/>
            <w:vMerge w:val="continue"/>
            <w:vAlign w:val="center"/>
          </w:tcPr>
          <w:p>
            <w:pPr>
              <w:contextualSpacing/>
              <w:jc w:val="center"/>
              <w:rPr>
                <w:rFonts w:ascii="仿宋_GB2312" w:hAnsi="宋体" w:eastAsia="仿宋_GB2312" w:cs="宋体"/>
                <w:szCs w:val="21"/>
              </w:rPr>
            </w:pPr>
          </w:p>
        </w:tc>
        <w:tc>
          <w:tcPr>
            <w:tcW w:w="498"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4</w:t>
            </w:r>
          </w:p>
        </w:tc>
        <w:tc>
          <w:tcPr>
            <w:tcW w:w="1531" w:type="dxa"/>
            <w:vAlign w:val="center"/>
          </w:tcPr>
          <w:p>
            <w:pPr>
              <w:jc w:val="center"/>
              <w:rPr>
                <w:rFonts w:ascii="仿宋_GB2312" w:hAnsi="宋体" w:eastAsia="仿宋_GB2312" w:cs="宋体"/>
                <w:szCs w:val="21"/>
              </w:rPr>
            </w:pPr>
            <w:r>
              <w:rPr>
                <w:rFonts w:hint="eastAsia" w:ascii="仿宋_GB2312" w:eastAsia="仿宋_GB2312"/>
              </w:rPr>
              <w:t>违约承诺</w:t>
            </w:r>
          </w:p>
        </w:tc>
        <w:tc>
          <w:tcPr>
            <w:tcW w:w="1136" w:type="dxa"/>
            <w:vAlign w:val="center"/>
          </w:tcPr>
          <w:p>
            <w:pPr>
              <w:ind w:left="-78" w:leftChars="-37" w:right="-73" w:rightChars="-35"/>
              <w:jc w:val="center"/>
              <w:rPr>
                <w:rFonts w:ascii="仿宋_GB2312" w:hAnsi="宋体" w:eastAsia="仿宋_GB2312" w:cs="宋体"/>
                <w:szCs w:val="21"/>
              </w:rPr>
            </w:pPr>
            <w:r>
              <w:rPr>
                <w:rFonts w:hint="eastAsia" w:ascii="仿宋_GB2312" w:hAnsi="宋体" w:eastAsia="仿宋_GB2312" w:cs="宋体"/>
                <w:szCs w:val="21"/>
              </w:rPr>
              <w:t>10</w:t>
            </w:r>
          </w:p>
        </w:tc>
        <w:tc>
          <w:tcPr>
            <w:tcW w:w="5482" w:type="dxa"/>
            <w:vAlign w:val="center"/>
          </w:tcPr>
          <w:p>
            <w:pPr>
              <w:rPr>
                <w:rFonts w:ascii="仿宋_GB2312" w:eastAsia="仿宋_GB2312"/>
              </w:rPr>
            </w:pPr>
            <w:r>
              <w:rPr>
                <w:rFonts w:hint="eastAsia" w:ascii="仿宋_GB2312" w:eastAsia="仿宋_GB2312"/>
                <w:b/>
                <w:bCs/>
              </w:rPr>
              <w:t>评审内容：</w:t>
            </w:r>
            <w:r>
              <w:rPr>
                <w:rFonts w:hint="eastAsia" w:ascii="仿宋_GB2312" w:eastAsia="仿宋_GB2312"/>
                <w:lang w:val="sq-AL"/>
              </w:rPr>
              <w:t>在投标文件中提供违约承诺；投标人对数据安全和保密进行承诺；投标人对人员（项目负责人、技术负责人、质量负责人及主要技术人员）稳定性进行承诺，项目负责人和主要技术成员在项目实施过程中不能更换，如需更换，必须得到采购人的同意；工期承诺。</w:t>
            </w:r>
          </w:p>
          <w:p>
            <w:pPr>
              <w:ind w:left="-78" w:leftChars="-37" w:right="-73" w:rightChars="-35"/>
              <w:rPr>
                <w:rFonts w:ascii="仿宋_GB2312" w:hAnsi="宋体" w:eastAsia="仿宋_GB2312" w:cs="宋体"/>
                <w:szCs w:val="21"/>
              </w:rPr>
            </w:pPr>
            <w:r>
              <w:rPr>
                <w:rFonts w:hint="eastAsia" w:ascii="仿宋_GB2312" w:eastAsia="仿宋_GB2312"/>
                <w:b/>
                <w:bCs/>
              </w:rPr>
              <w:t>评审标准：</w:t>
            </w:r>
            <w:r>
              <w:rPr>
                <w:rFonts w:hint="eastAsia" w:ascii="仿宋_GB2312" w:eastAsia="仿宋_GB2312"/>
              </w:rPr>
              <w:t>按照投标文件响应情况进行横向比较，分档评分，评价为优得8-10</w:t>
            </w:r>
            <w:r>
              <w:rPr>
                <w:rFonts w:hint="eastAsia" w:ascii="仿宋_GB2312" w:eastAsia="仿宋_GB2312"/>
                <w:lang w:val="sq-AL"/>
              </w:rPr>
              <w:t>分；评价为良得</w:t>
            </w:r>
            <w:r>
              <w:rPr>
                <w:rFonts w:hint="eastAsia" w:ascii="仿宋_GB2312" w:eastAsia="仿宋_GB2312"/>
              </w:rPr>
              <w:t>4-8</w:t>
            </w:r>
            <w:r>
              <w:rPr>
                <w:rFonts w:hint="eastAsia" w:ascii="仿宋_GB2312" w:eastAsia="仿宋_GB2312"/>
                <w:lang w:val="sq-AL"/>
              </w:rPr>
              <w:t>分；评价为中得</w:t>
            </w:r>
            <w:r>
              <w:rPr>
                <w:rFonts w:hint="eastAsia" w:ascii="仿宋_GB2312" w:eastAsia="仿宋_GB2312"/>
              </w:rPr>
              <w:t>1-4</w:t>
            </w:r>
            <w:r>
              <w:rPr>
                <w:rFonts w:hint="eastAsia" w:ascii="仿宋_GB2312" w:eastAsia="仿宋_GB2312"/>
                <w:lang w:val="sq-AL"/>
              </w:rPr>
              <w:t>分</w:t>
            </w:r>
            <w:r>
              <w:rPr>
                <w:rFonts w:hint="eastAsia" w:ascii="仿宋_GB2312" w:eastAsia="仿宋_GB2312"/>
              </w:rPr>
              <w:t>；评价为差不得分。评价为“中”或“差”评委须书面说明情况。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3</w:t>
            </w:r>
          </w:p>
        </w:tc>
        <w:tc>
          <w:tcPr>
            <w:tcW w:w="3165" w:type="dxa"/>
            <w:gridSpan w:val="3"/>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商务部分</w:t>
            </w:r>
          </w:p>
        </w:tc>
        <w:tc>
          <w:tcPr>
            <w:tcW w:w="5482" w:type="dxa"/>
            <w:vAlign w:val="center"/>
          </w:tcPr>
          <w:p>
            <w:pPr>
              <w:contextualSpacing/>
              <w:jc w:val="center"/>
              <w:rPr>
                <w:rFonts w:ascii="仿宋_GB2312" w:hAnsi="宋体" w:eastAsia="仿宋_GB2312" w:cs="宋体"/>
                <w:b/>
                <w:bCs/>
                <w:szCs w:val="21"/>
              </w:rPr>
            </w:pPr>
            <w:r>
              <w:rPr>
                <w:rFonts w:hint="eastAsia" w:ascii="仿宋_GB2312" w:hAnsi="宋体" w:eastAsia="仿宋_GB2312" w:cs="宋体"/>
                <w:b/>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restart"/>
            <w:vAlign w:val="center"/>
          </w:tcPr>
          <w:p>
            <w:pPr>
              <w:contextualSpacing/>
              <w:jc w:val="center"/>
              <w:rPr>
                <w:rFonts w:ascii="仿宋_GB2312" w:hAnsi="宋体" w:eastAsia="仿宋_GB2312" w:cs="宋体"/>
                <w:szCs w:val="21"/>
              </w:rPr>
            </w:pPr>
          </w:p>
        </w:tc>
        <w:tc>
          <w:tcPr>
            <w:tcW w:w="498"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序号</w:t>
            </w:r>
          </w:p>
        </w:tc>
        <w:tc>
          <w:tcPr>
            <w:tcW w:w="1531"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评分因素</w:t>
            </w:r>
          </w:p>
        </w:tc>
        <w:tc>
          <w:tcPr>
            <w:tcW w:w="1136"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权重</w:t>
            </w:r>
          </w:p>
        </w:tc>
        <w:tc>
          <w:tcPr>
            <w:tcW w:w="5482"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仿宋_GB2312" w:hAnsi="宋体" w:eastAsia="仿宋_GB2312" w:cs="宋体"/>
                <w:szCs w:val="21"/>
              </w:rPr>
            </w:pPr>
          </w:p>
        </w:tc>
        <w:tc>
          <w:tcPr>
            <w:tcW w:w="498"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1</w:t>
            </w:r>
          </w:p>
        </w:tc>
        <w:tc>
          <w:tcPr>
            <w:tcW w:w="1531" w:type="dxa"/>
            <w:vAlign w:val="center"/>
          </w:tcPr>
          <w:p>
            <w:pPr>
              <w:jc w:val="center"/>
              <w:rPr>
                <w:rFonts w:ascii="仿宋_GB2312" w:hAnsi="宋体" w:eastAsia="仿宋_GB2312" w:cs="宋体"/>
                <w:szCs w:val="21"/>
              </w:rPr>
            </w:pPr>
            <w:r>
              <w:rPr>
                <w:rFonts w:hint="eastAsia" w:ascii="仿宋_GB2312" w:eastAsia="仿宋_GB2312"/>
              </w:rPr>
              <w:t>同类项目业绩</w:t>
            </w:r>
          </w:p>
        </w:tc>
        <w:tc>
          <w:tcPr>
            <w:tcW w:w="1136" w:type="dxa"/>
            <w:vAlign w:val="center"/>
          </w:tcPr>
          <w:p>
            <w:pPr>
              <w:ind w:left="-78" w:leftChars="-37" w:right="-73" w:rightChars="-35"/>
              <w:jc w:val="center"/>
              <w:rPr>
                <w:rFonts w:ascii="仿宋_GB2312" w:hAnsi="宋体" w:eastAsia="仿宋_GB2312" w:cs="宋体"/>
                <w:szCs w:val="21"/>
              </w:rPr>
            </w:pPr>
            <w:r>
              <w:rPr>
                <w:rFonts w:hint="eastAsia" w:ascii="仿宋_GB2312" w:hAnsi="宋体" w:eastAsia="仿宋_GB2312" w:cs="宋体"/>
                <w:szCs w:val="21"/>
              </w:rPr>
              <w:t>10</w:t>
            </w:r>
          </w:p>
        </w:tc>
        <w:tc>
          <w:tcPr>
            <w:tcW w:w="5482" w:type="dxa"/>
            <w:vAlign w:val="center"/>
          </w:tcPr>
          <w:p>
            <w:pPr>
              <w:rPr>
                <w:rFonts w:ascii="仿宋_GB2312" w:eastAsia="仿宋_GB2312"/>
                <w:b/>
                <w:bCs/>
                <w:szCs w:val="21"/>
              </w:rPr>
            </w:pPr>
            <w:r>
              <w:rPr>
                <w:rFonts w:hint="eastAsia" w:ascii="仿宋_GB2312" w:eastAsia="仿宋_GB2312"/>
                <w:b/>
                <w:bCs/>
                <w:szCs w:val="21"/>
              </w:rPr>
              <w:t>评审标准：</w:t>
            </w:r>
          </w:p>
          <w:p>
            <w:pPr>
              <w:rPr>
                <w:rFonts w:ascii="仿宋_GB2312" w:eastAsia="仿宋_GB2312"/>
                <w:szCs w:val="21"/>
              </w:rPr>
            </w:pPr>
            <w:r>
              <w:rPr>
                <w:rFonts w:hint="eastAsia" w:ascii="仿宋_GB2312" w:eastAsia="仿宋_GB2312"/>
                <w:szCs w:val="21"/>
              </w:rPr>
              <w:t>1.投标人（自2018年1月1日起，至本项目开标之日，以合同签订日期为准）具有转地或土地整备、征拆、利益统筹测绘业绩的，每个业绩得2分，满分为10分；不提供不得分。</w:t>
            </w:r>
          </w:p>
          <w:p>
            <w:pPr>
              <w:rPr>
                <w:rFonts w:ascii="仿宋_GB2312" w:eastAsia="仿宋_GB2312"/>
                <w:szCs w:val="21"/>
              </w:rPr>
            </w:pPr>
            <w:r>
              <w:rPr>
                <w:rFonts w:hint="eastAsia" w:ascii="仿宋_GB2312" w:eastAsia="仿宋_GB2312"/>
                <w:szCs w:val="21"/>
              </w:rPr>
              <w:t>（取最高得分项，不累计加分）</w:t>
            </w:r>
          </w:p>
          <w:p>
            <w:pPr>
              <w:ind w:right="-73" w:rightChars="-35"/>
              <w:rPr>
                <w:rFonts w:ascii="仿宋_GB2312" w:hAnsi="宋体" w:eastAsia="仿宋_GB2312" w:cs="宋体"/>
                <w:b/>
                <w:szCs w:val="21"/>
              </w:rPr>
            </w:pPr>
            <w:r>
              <w:rPr>
                <w:rFonts w:hint="eastAsia" w:ascii="仿宋_GB2312" w:eastAsia="仿宋_GB2312"/>
                <w:b/>
                <w:bCs/>
                <w:szCs w:val="21"/>
              </w:rPr>
              <w:t>证明文件：</w:t>
            </w:r>
            <w:r>
              <w:rPr>
                <w:rFonts w:hint="eastAsia" w:ascii="仿宋_GB2312" w:eastAsia="仿宋_GB2312"/>
                <w:szCs w:val="21"/>
              </w:rPr>
              <w:t>要求提供业绩的合同关键页的复印件作为得分依据。证明材料不提供或提供不清晰的不得分。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仿宋_GB2312" w:hAnsi="宋体" w:eastAsia="仿宋_GB2312" w:cs="宋体"/>
                <w:szCs w:val="21"/>
              </w:rPr>
            </w:pPr>
          </w:p>
        </w:tc>
        <w:tc>
          <w:tcPr>
            <w:tcW w:w="498" w:type="dxa"/>
            <w:vAlign w:val="center"/>
          </w:tcPr>
          <w:p>
            <w:pPr>
              <w:contextualSpacing/>
              <w:jc w:val="center"/>
              <w:rPr>
                <w:rFonts w:ascii="仿宋_GB2312" w:hAnsi="宋体" w:eastAsia="仿宋_GB2312" w:cs="宋体"/>
                <w:szCs w:val="21"/>
              </w:rPr>
            </w:pPr>
            <w:r>
              <w:rPr>
                <w:rFonts w:hint="eastAsia" w:ascii="仿宋_GB2312" w:hAnsi="宋体" w:eastAsia="仿宋_GB2312" w:cs="宋体"/>
                <w:szCs w:val="21"/>
              </w:rPr>
              <w:t>2</w:t>
            </w:r>
          </w:p>
        </w:tc>
        <w:tc>
          <w:tcPr>
            <w:tcW w:w="1531" w:type="dxa"/>
            <w:vAlign w:val="center"/>
          </w:tcPr>
          <w:p>
            <w:pPr>
              <w:ind w:left="-63" w:leftChars="-30" w:right="-88" w:rightChars="-42"/>
              <w:jc w:val="center"/>
              <w:rPr>
                <w:rFonts w:ascii="仿宋_GB2312" w:hAnsi="宋体" w:eastAsia="仿宋_GB2312" w:cs="宋体"/>
                <w:szCs w:val="21"/>
              </w:rPr>
            </w:pPr>
            <w:r>
              <w:rPr>
                <w:rFonts w:hint="eastAsia" w:ascii="仿宋_GB2312" w:hAnsi="宋体" w:eastAsia="仿宋_GB2312" w:cs="宋体"/>
                <w:szCs w:val="21"/>
              </w:rPr>
              <w:t>拟安排的项目团队成员情况</w:t>
            </w:r>
          </w:p>
        </w:tc>
        <w:tc>
          <w:tcPr>
            <w:tcW w:w="1136" w:type="dxa"/>
            <w:vAlign w:val="center"/>
          </w:tcPr>
          <w:p>
            <w:pPr>
              <w:ind w:left="-78" w:leftChars="-37" w:right="-73" w:rightChars="-35"/>
              <w:jc w:val="center"/>
              <w:rPr>
                <w:rFonts w:ascii="仿宋_GB2312" w:hAnsi="宋体" w:eastAsia="仿宋_GB2312" w:cs="宋体"/>
                <w:szCs w:val="21"/>
              </w:rPr>
            </w:pPr>
            <w:r>
              <w:rPr>
                <w:rFonts w:hint="eastAsia" w:ascii="仿宋_GB2312" w:hAnsi="宋体" w:eastAsia="仿宋_GB2312" w:cs="宋体"/>
                <w:szCs w:val="21"/>
              </w:rPr>
              <w:t>10</w:t>
            </w:r>
          </w:p>
        </w:tc>
        <w:tc>
          <w:tcPr>
            <w:tcW w:w="5482" w:type="dxa"/>
            <w:vAlign w:val="center"/>
          </w:tcPr>
          <w:p>
            <w:pPr>
              <w:rPr>
                <w:rFonts w:ascii="仿宋_GB2312" w:hAnsi="宋体" w:eastAsia="仿宋_GB2312"/>
                <w:b/>
                <w:bCs/>
                <w:kern w:val="0"/>
                <w:szCs w:val="21"/>
              </w:rPr>
            </w:pPr>
            <w:r>
              <w:rPr>
                <w:rFonts w:hint="eastAsia" w:ascii="仿宋_GB2312" w:hAnsi="宋体" w:eastAsia="仿宋_GB2312"/>
                <w:b/>
                <w:bCs/>
                <w:kern w:val="0"/>
                <w:szCs w:val="21"/>
              </w:rPr>
              <w:t>评审标准：</w:t>
            </w:r>
          </w:p>
          <w:p>
            <w:pPr>
              <w:rPr>
                <w:rFonts w:ascii="仿宋_GB2312" w:eastAsia="仿宋_GB2312" w:hAnsiTheme="minorHAnsi"/>
                <w:szCs w:val="21"/>
              </w:rPr>
            </w:pPr>
            <w:r>
              <w:rPr>
                <w:rFonts w:hint="eastAsia" w:ascii="仿宋_GB2312" w:eastAsia="仿宋_GB2312"/>
                <w:szCs w:val="21"/>
              </w:rPr>
              <w:t>1、项目负责人具有测绘类高级工程师得3分</w:t>
            </w:r>
          </w:p>
          <w:p>
            <w:pPr>
              <w:rPr>
                <w:rFonts w:ascii="仿宋_GB2312" w:eastAsia="仿宋_GB2312"/>
                <w:szCs w:val="21"/>
              </w:rPr>
            </w:pPr>
            <w:r>
              <w:rPr>
                <w:rFonts w:hint="eastAsia" w:ascii="仿宋_GB2312" w:eastAsia="仿宋_GB2312"/>
                <w:szCs w:val="21"/>
              </w:rPr>
              <w:t>2、项目技术负责人为教授级高级工程师的得3分</w:t>
            </w:r>
          </w:p>
          <w:p>
            <w:pPr>
              <w:rPr>
                <w:rFonts w:ascii="仿宋_GB2312" w:eastAsia="仿宋_GB2312"/>
                <w:szCs w:val="21"/>
              </w:rPr>
            </w:pPr>
            <w:r>
              <w:rPr>
                <w:rFonts w:hint="eastAsia" w:ascii="仿宋_GB2312" w:eastAsia="仿宋_GB2312"/>
                <w:szCs w:val="21"/>
              </w:rPr>
              <w:t>3、其他团队成员应为测绘专业或测绘相关专业人员，每提供一个得1分，最高得4分。</w:t>
            </w:r>
          </w:p>
          <w:p>
            <w:pPr>
              <w:pStyle w:val="2"/>
              <w:rPr>
                <w:rFonts w:ascii="仿宋_GB2312" w:hAnsi="宋体" w:eastAsia="仿宋_GB2312" w:cs="宋体"/>
                <w:sz w:val="21"/>
                <w:szCs w:val="21"/>
              </w:rPr>
            </w:pPr>
            <w:r>
              <w:rPr>
                <w:rFonts w:hint="eastAsia" w:ascii="仿宋_GB2312" w:eastAsia="仿宋_GB2312"/>
                <w:sz w:val="21"/>
                <w:szCs w:val="21"/>
              </w:rPr>
              <w:t>证明文件：要求提供职称证或毕业证及投标人为其购买的前三个月的社保。证明材料不提供或提供不清晰的不得分。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3</w:t>
            </w:r>
          </w:p>
        </w:tc>
        <w:tc>
          <w:tcPr>
            <w:tcW w:w="1531" w:type="dxa"/>
            <w:vAlign w:val="center"/>
          </w:tcPr>
          <w:p>
            <w:pPr>
              <w:jc w:val="center"/>
              <w:rPr>
                <w:rFonts w:ascii="宋体" w:hAnsi="宋体" w:cs="宋体"/>
                <w:szCs w:val="21"/>
              </w:rPr>
            </w:pPr>
            <w:r>
              <w:rPr>
                <w:rFonts w:hint="eastAsia"/>
              </w:rPr>
              <w:t>投标人履约情况</w:t>
            </w:r>
          </w:p>
        </w:tc>
        <w:tc>
          <w:tcPr>
            <w:tcW w:w="1136" w:type="dxa"/>
            <w:vAlign w:val="center"/>
          </w:tcPr>
          <w:p>
            <w:pPr>
              <w:ind w:left="-78" w:leftChars="-37" w:right="-73" w:rightChars="-35"/>
              <w:jc w:val="center"/>
              <w:rPr>
                <w:rFonts w:ascii="宋体" w:hAnsi="宋体" w:cs="宋体"/>
                <w:szCs w:val="21"/>
              </w:rPr>
            </w:pPr>
            <w:r>
              <w:rPr>
                <w:rFonts w:hint="eastAsia" w:ascii="宋体" w:hAnsi="宋体" w:cs="宋体"/>
                <w:szCs w:val="21"/>
              </w:rPr>
              <w:t>10</w:t>
            </w:r>
          </w:p>
        </w:tc>
        <w:tc>
          <w:tcPr>
            <w:tcW w:w="5482" w:type="dxa"/>
            <w:vAlign w:val="center"/>
          </w:tcPr>
          <w:p>
            <w:pPr>
              <w:rPr>
                <w:rFonts w:ascii="仿宋_GB2312" w:eastAsia="仿宋_GB2312"/>
                <w:b/>
                <w:bCs/>
                <w:szCs w:val="21"/>
              </w:rPr>
            </w:pPr>
            <w:r>
              <w:rPr>
                <w:rFonts w:hint="eastAsia" w:ascii="仿宋_GB2312" w:eastAsia="仿宋_GB2312"/>
                <w:b/>
                <w:bCs/>
                <w:szCs w:val="21"/>
              </w:rPr>
              <w:t>评审标准：</w:t>
            </w:r>
          </w:p>
          <w:p>
            <w:pPr>
              <w:rPr>
                <w:rFonts w:ascii="仿宋_GB2312" w:eastAsia="仿宋_GB2312"/>
                <w:szCs w:val="21"/>
              </w:rPr>
            </w:pPr>
            <w:r>
              <w:rPr>
                <w:rFonts w:hint="eastAsia" w:ascii="仿宋_GB2312" w:eastAsia="仿宋_GB2312"/>
                <w:szCs w:val="21"/>
              </w:rPr>
              <w:t>投标人于2019年1月1日以来，每具有一项“转地测绘”或“土地整备测绘”或 “征拆测绘”类服务项目，经被服务单位履约评价分在95分或以上的，每提供一项得20%，累计最高得100%。</w:t>
            </w:r>
          </w:p>
          <w:p>
            <w:pPr>
              <w:pStyle w:val="2"/>
              <w:rPr>
                <w:rFonts w:ascii="仿宋_GB2312" w:eastAsia="仿宋_GB2312"/>
                <w:sz w:val="21"/>
                <w:szCs w:val="21"/>
              </w:rPr>
            </w:pPr>
            <w:r>
              <w:rPr>
                <w:rFonts w:hint="eastAsia" w:ascii="仿宋_GB2312" w:eastAsia="仿宋_GB2312"/>
                <w:b/>
                <w:bCs/>
                <w:sz w:val="21"/>
                <w:szCs w:val="21"/>
              </w:rPr>
              <w:t>证明文件：</w:t>
            </w:r>
            <w:r>
              <w:rPr>
                <w:rFonts w:hint="eastAsia" w:ascii="仿宋_GB2312" w:eastAsia="仿宋_GB2312"/>
                <w:sz w:val="21"/>
                <w:szCs w:val="21"/>
              </w:rPr>
              <w:t>要求提供业绩的合同关键页及履约评价表的复印件作为得分依据。证明材料不提供或提供不清晰的不得分。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4</w:t>
            </w:r>
          </w:p>
        </w:tc>
        <w:tc>
          <w:tcPr>
            <w:tcW w:w="1531" w:type="dxa"/>
            <w:vAlign w:val="center"/>
          </w:tcPr>
          <w:p>
            <w:pPr>
              <w:jc w:val="center"/>
              <w:rPr>
                <w:rFonts w:ascii="宋体" w:hAnsi="宋体" w:cs="宋体"/>
                <w:szCs w:val="21"/>
              </w:rPr>
            </w:pPr>
            <w:r>
              <w:rPr>
                <w:rFonts w:hint="eastAsia" w:ascii="宋体" w:hAnsi="宋体" w:cs="宋体"/>
                <w:szCs w:val="21"/>
              </w:rPr>
              <w:t>企业诚信</w:t>
            </w:r>
          </w:p>
        </w:tc>
        <w:tc>
          <w:tcPr>
            <w:tcW w:w="1136" w:type="dxa"/>
            <w:vAlign w:val="center"/>
          </w:tcPr>
          <w:p>
            <w:pPr>
              <w:ind w:firstLine="14"/>
              <w:jc w:val="center"/>
              <w:rPr>
                <w:rFonts w:ascii="宋体" w:hAnsi="宋体" w:cs="宋体"/>
                <w:szCs w:val="21"/>
              </w:rPr>
            </w:pPr>
            <w:r>
              <w:rPr>
                <w:rFonts w:hint="eastAsia" w:ascii="宋体" w:hAnsi="宋体" w:cs="宋体"/>
                <w:szCs w:val="21"/>
              </w:rPr>
              <w:t>5</w:t>
            </w:r>
          </w:p>
        </w:tc>
        <w:tc>
          <w:tcPr>
            <w:tcW w:w="5482" w:type="dxa"/>
            <w:vAlign w:val="center"/>
          </w:tcPr>
          <w:p>
            <w:pPr>
              <w:rPr>
                <w:rFonts w:ascii="仿宋_GB2312" w:hAnsi="宋体" w:eastAsia="仿宋_GB2312" w:cs="宋体"/>
                <w:szCs w:val="21"/>
              </w:rPr>
            </w:pPr>
            <w:r>
              <w:rPr>
                <w:rFonts w:hint="eastAsia" w:ascii="仿宋_GB2312" w:hAnsi="宋体" w:eastAsia="仿宋_GB2312" w:cs="宋体"/>
                <w:szCs w:val="21"/>
                <w:lang w:eastAsia="zh-TW"/>
              </w:rPr>
              <w:t>根据深财购〔2013〕27号和深财购〔2016〕315号文相关规定：投标人被行政主管部门禁止参与采购活动或未被禁止参与采购活动，但受过警告、罚款、没收违法所得等行政处罚以及不正当理由放弃中标资格而不予退还投标保证金，得0分</w:t>
            </w:r>
            <w:r>
              <w:rPr>
                <w:rFonts w:hint="eastAsia" w:ascii="仿宋_GB2312" w:hAnsi="宋体" w:eastAsia="仿宋_GB2312" w:cs="宋体"/>
                <w:szCs w:val="21"/>
              </w:rPr>
              <w:t>；</w:t>
            </w:r>
            <w:r>
              <w:rPr>
                <w:rFonts w:hint="eastAsia" w:ascii="仿宋_GB2312" w:hAnsi="宋体" w:eastAsia="仿宋_GB2312" w:cs="宋体"/>
                <w:szCs w:val="21"/>
                <w:lang w:eastAsia="zh-TW"/>
              </w:rPr>
              <w:t>投标人未出现过上述文件规定情形的或受过行政处罚，行政处罚期已满，可参与采购投标活动的，得5分</w:t>
            </w:r>
            <w:r>
              <w:rPr>
                <w:rFonts w:hint="eastAsia" w:ascii="仿宋_GB2312" w:hAnsi="宋体" w:eastAsia="仿宋_GB2312" w:cs="宋体"/>
                <w:szCs w:val="21"/>
              </w:rPr>
              <w:t>。</w:t>
            </w:r>
            <w:r>
              <w:rPr>
                <w:rFonts w:hint="eastAsia" w:ascii="仿宋_GB2312" w:hAnsi="宋体" w:eastAsia="仿宋_GB2312" w:cs="宋体"/>
                <w:b/>
                <w:bCs/>
                <w:szCs w:val="21"/>
                <w:lang w:eastAsia="zh-TW"/>
              </w:rPr>
              <w:t>提供企业诚信承诺函</w:t>
            </w:r>
            <w:r>
              <w:rPr>
                <w:rFonts w:hint="eastAsia" w:ascii="仿宋_GB2312" w:hAnsi="宋体" w:eastAsia="仿宋_GB2312"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465" w:type="dxa"/>
            <w:vMerge w:val="continue"/>
            <w:vAlign w:val="center"/>
          </w:tcPr>
          <w:p>
            <w:pPr>
              <w:contextualSpacing/>
              <w:jc w:val="center"/>
              <w:rPr>
                <w:rFonts w:ascii="宋体" w:hAnsi="宋体" w:cs="宋体"/>
                <w:szCs w:val="21"/>
              </w:rPr>
            </w:pPr>
          </w:p>
        </w:tc>
        <w:tc>
          <w:tcPr>
            <w:tcW w:w="498" w:type="dxa"/>
            <w:vAlign w:val="center"/>
          </w:tcPr>
          <w:p>
            <w:pPr>
              <w:contextualSpacing/>
              <w:jc w:val="center"/>
              <w:rPr>
                <w:rFonts w:ascii="宋体" w:hAnsi="宋体" w:cs="宋体"/>
                <w:szCs w:val="21"/>
              </w:rPr>
            </w:pPr>
            <w:r>
              <w:rPr>
                <w:rFonts w:hint="eastAsia" w:ascii="宋体" w:hAnsi="宋体" w:cs="宋体"/>
                <w:szCs w:val="21"/>
              </w:rPr>
              <w:t>5</w:t>
            </w:r>
          </w:p>
        </w:tc>
        <w:tc>
          <w:tcPr>
            <w:tcW w:w="1531" w:type="dxa"/>
            <w:vAlign w:val="center"/>
          </w:tcPr>
          <w:p>
            <w:pPr>
              <w:jc w:val="center"/>
              <w:rPr>
                <w:rFonts w:ascii="宋体" w:hAnsi="宋体" w:cs="宋体"/>
                <w:szCs w:val="21"/>
              </w:rPr>
            </w:pPr>
            <w:r>
              <w:rPr>
                <w:rFonts w:hint="eastAsia" w:ascii="宋体" w:hAnsi="宋体" w:cs="宋体"/>
                <w:szCs w:val="21"/>
              </w:rPr>
              <w:t>履约评价情况</w:t>
            </w:r>
          </w:p>
        </w:tc>
        <w:tc>
          <w:tcPr>
            <w:tcW w:w="1136" w:type="dxa"/>
            <w:vAlign w:val="center"/>
          </w:tcPr>
          <w:p>
            <w:pPr>
              <w:ind w:firstLine="14"/>
              <w:jc w:val="center"/>
              <w:rPr>
                <w:rFonts w:ascii="宋体" w:hAnsi="宋体" w:cs="宋体"/>
                <w:szCs w:val="21"/>
              </w:rPr>
            </w:pPr>
            <w:r>
              <w:rPr>
                <w:rFonts w:hint="eastAsia" w:ascii="宋体" w:hAnsi="宋体" w:cs="宋体"/>
                <w:szCs w:val="21"/>
              </w:rPr>
              <w:t>5</w:t>
            </w:r>
          </w:p>
        </w:tc>
        <w:tc>
          <w:tcPr>
            <w:tcW w:w="5482" w:type="dxa"/>
            <w:vAlign w:val="center"/>
          </w:tcPr>
          <w:p>
            <w:pPr>
              <w:ind w:left="-78" w:leftChars="-37" w:right="-73" w:rightChars="-35"/>
              <w:rPr>
                <w:rFonts w:ascii="仿宋_GB2312" w:hAnsi="宋体" w:eastAsia="仿宋_GB2312" w:cs="宋体"/>
                <w:szCs w:val="21"/>
              </w:rPr>
            </w:pPr>
            <w:r>
              <w:rPr>
                <w:rFonts w:hint="eastAsia" w:ascii="仿宋_GB2312" w:hAnsi="宋体" w:eastAsia="仿宋_GB2312" w:cs="宋体"/>
                <w:szCs w:val="21"/>
              </w:rPr>
              <w:t>近三年（以投标截止日期为准）在市政府采购中心有履约评价为差的记录，本项不得分，否则，得满分。</w:t>
            </w:r>
          </w:p>
          <w:p>
            <w:pPr>
              <w:ind w:left="-78" w:leftChars="-37" w:right="-73" w:rightChars="-35"/>
              <w:rPr>
                <w:rFonts w:ascii="仿宋_GB2312" w:hAnsi="宋体" w:eastAsia="仿宋_GB2312" w:cs="宋体"/>
                <w:szCs w:val="21"/>
                <w:lang w:eastAsia="zh-TW"/>
              </w:rPr>
            </w:pPr>
            <w:r>
              <w:rPr>
                <w:rFonts w:hint="eastAsia" w:ascii="仿宋_GB2312" w:hAnsi="宋体" w:eastAsia="仿宋_GB2312" w:cs="宋体"/>
                <w:szCs w:val="21"/>
              </w:rPr>
              <w:t>提供</w:t>
            </w:r>
            <w:r>
              <w:rPr>
                <w:rFonts w:hint="eastAsia" w:ascii="仿宋_GB2312" w:hAnsi="宋体" w:eastAsia="仿宋_GB2312" w:cs="宋体"/>
                <w:b/>
                <w:bCs/>
                <w:szCs w:val="21"/>
              </w:rPr>
              <w:t>《履约评价承诺》</w:t>
            </w:r>
            <w:r>
              <w:rPr>
                <w:rFonts w:hint="eastAsia" w:ascii="仿宋_GB2312" w:hAnsi="宋体" w:eastAsia="仿宋_GB2312" w:cs="宋体"/>
                <w:szCs w:val="21"/>
              </w:rPr>
              <w:t>（格式自拟），提供的资料字迹模糊或未按要求提供的不得分。</w:t>
            </w:r>
          </w:p>
        </w:tc>
      </w:tr>
    </w:tbl>
    <w:p>
      <w:pPr>
        <w:pStyle w:val="2"/>
        <w:rPr>
          <w:rFonts w:ascii="黑体" w:hAnsi="宋体" w:eastAsia="黑体" w:cs="宋体"/>
          <w:b/>
          <w:kern w:val="0"/>
          <w:sz w:val="32"/>
          <w:szCs w:val="32"/>
        </w:rPr>
      </w:pPr>
      <w:r>
        <w:rPr>
          <w:rFonts w:hint="eastAsia" w:ascii="黑体" w:hAnsi="宋体" w:eastAsia="黑体" w:cs="宋体"/>
          <w:b/>
          <w:kern w:val="0"/>
          <w:sz w:val="32"/>
          <w:szCs w:val="32"/>
        </w:rPr>
        <w:t>五、商务要求</w:t>
      </w:r>
    </w:p>
    <w:p>
      <w:pPr>
        <w:spacing w:line="480" w:lineRule="exact"/>
        <w:rPr>
          <w:rFonts w:ascii="仿宋_GB2312" w:hAnsi="仿宋" w:eastAsia="仿宋_GB2312" w:cs="仿宋"/>
          <w:b/>
          <w:bCs/>
          <w:sz w:val="30"/>
          <w:szCs w:val="30"/>
        </w:rPr>
      </w:pPr>
      <w:r>
        <w:rPr>
          <w:rFonts w:hint="eastAsia" w:ascii="仿宋_GB2312" w:hAnsi="仿宋" w:eastAsia="仿宋_GB2312" w:cs="仿宋"/>
          <w:b/>
          <w:bCs/>
          <w:sz w:val="30"/>
          <w:szCs w:val="30"/>
        </w:rPr>
        <w:t>（一）服务要求</w:t>
      </w:r>
    </w:p>
    <w:p>
      <w:pPr>
        <w:pStyle w:val="2"/>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1.按照市里相关文件要求和标准，依照合同约定以及招标方的相关要求开展坑梓街道办事处负责2021年较大面积产业用地专项行动任务测绘服务。</w:t>
      </w:r>
    </w:p>
    <w:p>
      <w:pPr>
        <w:pStyle w:val="2"/>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2.涉及到破土施工的，在现场施工时应遵守安全施工标准及施工小区内的相关管理规定，并且不得存在任何安全隐患。</w:t>
      </w:r>
    </w:p>
    <w:p>
      <w:pPr>
        <w:spacing w:line="480" w:lineRule="exact"/>
        <w:rPr>
          <w:rFonts w:ascii="仿宋_GB2312" w:hAnsi="仿宋" w:eastAsia="仿宋_GB2312" w:cs="仿宋"/>
          <w:b/>
          <w:bCs/>
          <w:sz w:val="30"/>
          <w:szCs w:val="30"/>
        </w:rPr>
      </w:pPr>
      <w:r>
        <w:rPr>
          <w:rFonts w:hint="eastAsia" w:ascii="仿宋_GB2312" w:hAnsi="仿宋" w:eastAsia="仿宋_GB2312" w:cs="仿宋"/>
          <w:b/>
          <w:bCs/>
          <w:sz w:val="30"/>
          <w:szCs w:val="30"/>
        </w:rPr>
        <w:t>（二）服务期</w:t>
      </w:r>
    </w:p>
    <w:p>
      <w:pPr>
        <w:pStyle w:val="2"/>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自合同签订之日起至项目结束为止。</w:t>
      </w:r>
    </w:p>
    <w:p>
      <w:pPr>
        <w:spacing w:line="480" w:lineRule="exact"/>
        <w:rPr>
          <w:rFonts w:ascii="仿宋" w:hAnsi="仿宋" w:eastAsia="仿宋" w:cs="仿宋"/>
          <w:b/>
          <w:bCs/>
          <w:sz w:val="30"/>
          <w:szCs w:val="30"/>
        </w:rPr>
      </w:pPr>
      <w:r>
        <w:rPr>
          <w:rFonts w:hint="eastAsia" w:ascii="仿宋" w:hAnsi="仿宋" w:eastAsia="仿宋" w:cs="仿宋"/>
          <w:b/>
          <w:bCs/>
          <w:sz w:val="30"/>
          <w:szCs w:val="30"/>
        </w:rPr>
        <w:t>（三）报价要求</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1、本项目预算总价为不超过50万元。收费参照《测绘生产成本费用定额》（财建[2009]17号）和《测绘工程产品价格》国测财字【2002】3号文件确定。</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投标报价应包含本项目所有设计费、制作费、人工费、税金、等一切费用的总和。由投标供应商根据采购文件所提供的资料自行测算投标报价；一经中标，报价总价作为中标供应商与采购人签订的合同金额，合同期限内不做调整。</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3、为防止低价竞标、恶意竞标，确保本项目保质、保量的完成，达到项目预期目的，投标报价低于预算控制金额80%，且未做出合理性说明的，评委会有权认定为报价低于成本价，并按投标无效处理。</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4、投标供应商的报价不得超过项目预算金额。</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5、投标供应商的报价，应当是本项目采购范围和采购文件及合同条款上所列的各项内容中所述的全部，不得以任何理由予以重复。</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6、除非采购人通过修改采购文件予以更正，否则，投标供应商应毫无例外地按响应文件所列的清单中项目和数量填报综合单价和合价。投标供应商未填综合单价或合计的项目，在实施后，将不得以支付，并视作该项费用已包括在其他有价款的综合单价或合计内。</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7、投标供应商应先到项目地点踏勘以充分了解项目的位置、情况、道路及任何其他足以影响投标报价的情况，任何因忽视或误解项目情况而导致的索赔或服务期限延长申请将不获批准。</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8、投标供应商不得期望通过索赔等方式获得补偿，否则，除可能遭到拒绝外，还可能将被作为不良行为记录在案，并可能影响其以后参加政府采购的项目投标。各投标供应商在报价时，应充分考虑报价的风险。</w:t>
      </w:r>
    </w:p>
    <w:p>
      <w:r>
        <w:rPr>
          <w:rFonts w:hint="eastAsia" w:ascii="仿宋" w:hAnsi="仿宋" w:eastAsia="仿宋" w:cs="仿宋"/>
          <w:sz w:val="30"/>
          <w:szCs w:val="30"/>
        </w:rPr>
        <w:t xml:space="preserve">   </w:t>
      </w:r>
    </w:p>
    <w:p>
      <w:pPr>
        <w:pStyle w:val="2"/>
        <w:rPr>
          <w:rFonts w:ascii="仿宋" w:hAnsi="仿宋" w:eastAsia="仿宋" w:cs="仿宋"/>
          <w:b/>
          <w:bCs/>
          <w:sz w:val="30"/>
          <w:szCs w:val="30"/>
        </w:rPr>
      </w:pPr>
      <w:r>
        <w:rPr>
          <w:rFonts w:hint="eastAsia" w:ascii="仿宋" w:hAnsi="仿宋" w:eastAsia="仿宋" w:cs="仿宋"/>
          <w:b/>
          <w:bCs/>
          <w:sz w:val="30"/>
          <w:szCs w:val="30"/>
        </w:rPr>
        <w:t>（四）付款方式</w:t>
      </w:r>
    </w:p>
    <w:p>
      <w:pPr>
        <w:pStyle w:val="2"/>
        <w:ind w:firstLine="600"/>
        <w:rPr>
          <w:rFonts w:ascii="仿宋" w:hAnsi="仿宋" w:eastAsia="仿宋" w:cs="仿宋"/>
          <w:sz w:val="30"/>
          <w:szCs w:val="30"/>
        </w:rPr>
      </w:pPr>
      <w:r>
        <w:rPr>
          <w:rFonts w:hint="eastAsia" w:ascii="仿宋" w:hAnsi="仿宋" w:eastAsia="仿宋" w:cs="仿宋"/>
          <w:sz w:val="30"/>
          <w:szCs w:val="30"/>
        </w:rPr>
        <w:t>分期付款，</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1.自合同生效之日起，乙方可每三个月向甲方申请支付项目测绘费用进度款，具体费用按乙方实际完成工作量对应测绘服务费用的85%支付；且累计申请费用不得超过总预算金额的85%。乙方在申请每期进度款时，要提供该段时期内的工作量明细表作为证明，并出具正式发票。</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2.经甲方确认乙方已完成全部测绘工作且已提交全部正式测绘报告，甲方支付（包括已支付的进度款）至实际完成工作量的85%，但不得超过总预算金额的85%。申请付款前需要提供发票。</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3.由甲方或政府相关部门委托第三方会计师事务所对乙方服务工作进行审计，审计完成后支付审定价的剩余款项（最终价格以坪山区审计部门的审定价为准）。申请付款前需要提供发票。</w:t>
      </w:r>
    </w:p>
    <w:p>
      <w:pPr>
        <w:pStyle w:val="2"/>
        <w:rPr>
          <w:rFonts w:ascii="仿宋" w:hAnsi="仿宋" w:eastAsia="仿宋" w:cs="仿宋"/>
          <w:b/>
          <w:bCs/>
          <w:sz w:val="30"/>
          <w:szCs w:val="30"/>
        </w:rPr>
      </w:pPr>
      <w:r>
        <w:rPr>
          <w:rFonts w:hint="eastAsia" w:ascii="仿宋" w:hAnsi="仿宋" w:eastAsia="仿宋" w:cs="仿宋"/>
          <w:b/>
          <w:bCs/>
          <w:sz w:val="30"/>
          <w:szCs w:val="30"/>
        </w:rPr>
        <w:t>（五）履约担保金</w:t>
      </w:r>
    </w:p>
    <w:p>
      <w:pPr>
        <w:pStyle w:val="2"/>
        <w:rPr>
          <w:rFonts w:ascii="仿宋" w:hAnsi="仿宋" w:eastAsia="仿宋" w:cs="仿宋"/>
          <w:sz w:val="30"/>
          <w:szCs w:val="30"/>
        </w:rPr>
      </w:pPr>
      <w:r>
        <w:rPr>
          <w:rFonts w:hint="eastAsia" w:ascii="仿宋" w:hAnsi="仿宋" w:eastAsia="仿宋" w:cs="仿宋"/>
          <w:sz w:val="30"/>
          <w:szCs w:val="30"/>
        </w:rPr>
        <w:t xml:space="preserve">    无。</w:t>
      </w:r>
    </w:p>
    <w:p>
      <w:pPr>
        <w:pStyle w:val="2"/>
        <w:rPr>
          <w:rFonts w:ascii="仿宋" w:hAnsi="仿宋" w:eastAsia="仿宋" w:cs="仿宋"/>
          <w:b/>
          <w:bCs/>
          <w:sz w:val="30"/>
          <w:szCs w:val="30"/>
        </w:rPr>
      </w:pPr>
      <w:r>
        <w:rPr>
          <w:rFonts w:hint="eastAsia" w:ascii="仿宋" w:hAnsi="仿宋" w:eastAsia="仿宋" w:cs="仿宋"/>
          <w:b/>
          <w:bCs/>
          <w:sz w:val="30"/>
          <w:szCs w:val="30"/>
        </w:rPr>
        <w:t>（六）违约责任</w:t>
      </w:r>
    </w:p>
    <w:p>
      <w:pPr>
        <w:pStyle w:val="2"/>
        <w:ind w:firstLine="600" w:firstLineChars="200"/>
        <w:rPr>
          <w:rFonts w:ascii="仿宋" w:hAnsi="仿宋" w:eastAsia="仿宋" w:cs="仿宋"/>
          <w:sz w:val="30"/>
          <w:szCs w:val="30"/>
        </w:rPr>
      </w:pPr>
      <w:r>
        <w:rPr>
          <w:rFonts w:hint="eastAsia" w:ascii="仿宋" w:hAnsi="仿宋" w:eastAsia="仿宋" w:cs="仿宋"/>
          <w:sz w:val="30"/>
          <w:szCs w:val="30"/>
        </w:rPr>
        <w:t xml:space="preserve"> 测绘单位在履职期内，有下列情形之一的，街道办有权解除合同，并要求测绘单位赔偿损失：（1）合同签订后，如乙方擅自中途停止或解除合同，乙方归还甲方预付的全部款项并向甲方赔偿总预算费用的20%作为违约金，同时还应赔偿给甲方造成的经济损失。（2）乙方资质等不符合合同约定的；（3）乙方提供的测绘成果不合格或不符合项目要求的，乙方应在接到甲方通知3日内无偿予以重测或采取补救措施，以达到项目要求。因测绘成果不符合合同或招标文件等确定的要求造成无法使用的后果时，甲方有权单方解除合同，不支付测绘费用给乙方 ；（4）乙方擅自转包本合同标的的，甲方有权解除合同，要求乙方返还甲方已支付的全部费用，并可要求乙方偿付本合同总预算费用20%的违约金。</w:t>
      </w:r>
    </w:p>
    <w:p>
      <w:pPr>
        <w:spacing w:line="480" w:lineRule="exact"/>
        <w:rPr>
          <w:rFonts w:ascii="仿宋" w:hAnsi="仿宋" w:eastAsia="仿宋" w:cs="仿宋"/>
          <w:b/>
          <w:bCs/>
          <w:sz w:val="30"/>
          <w:szCs w:val="30"/>
        </w:rPr>
      </w:pPr>
      <w:r>
        <w:rPr>
          <w:rFonts w:hint="eastAsia" w:ascii="仿宋" w:hAnsi="仿宋" w:eastAsia="仿宋" w:cs="仿宋"/>
          <w:b/>
          <w:bCs/>
          <w:sz w:val="30"/>
          <w:szCs w:val="30"/>
        </w:rPr>
        <w:t>（七）其他</w:t>
      </w:r>
    </w:p>
    <w:p>
      <w:pPr>
        <w:pStyle w:val="2"/>
        <w:ind w:firstLine="601"/>
        <w:rPr>
          <w:rFonts w:ascii="仿宋" w:hAnsi="仿宋" w:eastAsia="仿宋" w:cs="仿宋"/>
          <w:sz w:val="30"/>
          <w:szCs w:val="30"/>
        </w:rPr>
      </w:pPr>
      <w:r>
        <w:rPr>
          <w:rFonts w:hint="eastAsia" w:ascii="仿宋" w:hAnsi="仿宋" w:eastAsia="仿宋" w:cs="仿宋"/>
          <w:sz w:val="30"/>
          <w:szCs w:val="30"/>
        </w:rPr>
        <w:t>无</w:t>
      </w:r>
    </w:p>
    <w:p>
      <w:pPr>
        <w:pStyle w:val="2"/>
        <w:ind w:firstLine="601"/>
        <w:rPr>
          <w:rFonts w:ascii="仿宋" w:hAnsi="仿宋" w:eastAsia="仿宋" w:cs="仿宋"/>
          <w:sz w:val="30"/>
          <w:szCs w:val="30"/>
        </w:rPr>
      </w:pPr>
    </w:p>
    <w:p>
      <w:pPr>
        <w:pStyle w:val="2"/>
        <w:ind w:firstLine="601"/>
        <w:rPr>
          <w:rFonts w:ascii="仿宋" w:hAnsi="仿宋" w:eastAsia="仿宋" w:cs="仿宋"/>
          <w:sz w:val="30"/>
          <w:szCs w:val="30"/>
        </w:rPr>
      </w:pPr>
    </w:p>
    <w:sectPr>
      <w:footerReference r:id="rId4" w:type="default"/>
      <w:pgSz w:w="11906" w:h="16838"/>
      <w:pgMar w:top="1304" w:right="1474" w:bottom="130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E1SM7KgBAABCAwAADgAAAAAAAAABACAAAAA0AQAAZHJzL2Uyb0RvYy54bWxQSwUGAAAA&#10;AAYABgBZAQAATgUAAAAA&#10;">
              <v:fill on="f" focussize="0,0"/>
              <v:stroke on="f"/>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IXSDAKgBAABCAwAADgAAAAAAAAABACAAAAA0AQAAZHJzL2Uyb0RvYy54bWxQSwUGAAAA&#10;AAYABgBZAQAATgUAAAAA&#10;">
              <v:fill on="f" focussize="0,0"/>
              <v:stroke on="f"/>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D7056"/>
    <w:multiLevelType w:val="singleLevel"/>
    <w:tmpl w:val="98DD7056"/>
    <w:lvl w:ilvl="0" w:tentative="0">
      <w:start w:val="1"/>
      <w:numFmt w:val="chineseCounting"/>
      <w:suff w:val="nothing"/>
      <w:lvlText w:val="%1、"/>
      <w:lvlJc w:val="left"/>
      <w:rPr>
        <w:rFonts w:hint="eastAsia"/>
      </w:rPr>
    </w:lvl>
  </w:abstractNum>
  <w:abstractNum w:abstractNumId="1">
    <w:nsid w:val="00000003"/>
    <w:multiLevelType w:val="multilevel"/>
    <w:tmpl w:val="00000003"/>
    <w:lvl w:ilvl="0" w:tentative="0">
      <w:start w:val="1"/>
      <w:numFmt w:val="japaneseCounting"/>
      <w:lvlText w:val="第%1条"/>
      <w:lvlJc w:val="left"/>
      <w:pPr>
        <w:tabs>
          <w:tab w:val="left" w:pos="1725"/>
        </w:tabs>
        <w:ind w:left="1725" w:hanging="1215"/>
      </w:pPr>
      <w:rPr>
        <w:b/>
      </w:rPr>
    </w:lvl>
    <w:lvl w:ilvl="1" w:tentative="0">
      <w:start w:val="1"/>
      <w:numFmt w:val="lowerLetter"/>
      <w:lvlText w:val="%2)"/>
      <w:lvlJc w:val="left"/>
      <w:pPr>
        <w:tabs>
          <w:tab w:val="left" w:pos="1350"/>
        </w:tabs>
        <w:ind w:left="1350" w:hanging="420"/>
      </w:pPr>
    </w:lvl>
    <w:lvl w:ilvl="2" w:tentative="0">
      <w:start w:val="1"/>
      <w:numFmt w:val="lowerRoman"/>
      <w:lvlText w:val="%3."/>
      <w:lvlJc w:val="right"/>
      <w:pPr>
        <w:tabs>
          <w:tab w:val="left" w:pos="1770"/>
        </w:tabs>
        <w:ind w:left="1770" w:hanging="420"/>
      </w:pPr>
    </w:lvl>
    <w:lvl w:ilvl="3" w:tentative="0">
      <w:start w:val="1"/>
      <w:numFmt w:val="decimal"/>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2">
    <w:nsid w:val="40A41628"/>
    <w:multiLevelType w:val="multilevel"/>
    <w:tmpl w:val="40A416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B90968"/>
    <w:multiLevelType w:val="multilevel"/>
    <w:tmpl w:val="63B90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3B"/>
    <w:rsid w:val="00007C50"/>
    <w:rsid w:val="000116D9"/>
    <w:rsid w:val="000400EB"/>
    <w:rsid w:val="000B3887"/>
    <w:rsid w:val="000F1214"/>
    <w:rsid w:val="00123091"/>
    <w:rsid w:val="001417DE"/>
    <w:rsid w:val="00173956"/>
    <w:rsid w:val="00197D9B"/>
    <w:rsid w:val="001A749B"/>
    <w:rsid w:val="00227EE7"/>
    <w:rsid w:val="0024013B"/>
    <w:rsid w:val="002752F5"/>
    <w:rsid w:val="00280B94"/>
    <w:rsid w:val="00282252"/>
    <w:rsid w:val="002952A5"/>
    <w:rsid w:val="003167CA"/>
    <w:rsid w:val="00353626"/>
    <w:rsid w:val="003E2C53"/>
    <w:rsid w:val="003F6B23"/>
    <w:rsid w:val="004448C2"/>
    <w:rsid w:val="0046121E"/>
    <w:rsid w:val="004668D4"/>
    <w:rsid w:val="00472CAA"/>
    <w:rsid w:val="005273F2"/>
    <w:rsid w:val="00546D2D"/>
    <w:rsid w:val="005E4923"/>
    <w:rsid w:val="005E73DE"/>
    <w:rsid w:val="00637580"/>
    <w:rsid w:val="0066474E"/>
    <w:rsid w:val="006D30AC"/>
    <w:rsid w:val="00743A2A"/>
    <w:rsid w:val="00750A55"/>
    <w:rsid w:val="00781428"/>
    <w:rsid w:val="007E47C9"/>
    <w:rsid w:val="00826D75"/>
    <w:rsid w:val="008351C4"/>
    <w:rsid w:val="008C4CFB"/>
    <w:rsid w:val="008E1859"/>
    <w:rsid w:val="00907217"/>
    <w:rsid w:val="009311D8"/>
    <w:rsid w:val="00960686"/>
    <w:rsid w:val="00A21711"/>
    <w:rsid w:val="00A40A85"/>
    <w:rsid w:val="00A777F5"/>
    <w:rsid w:val="00A82571"/>
    <w:rsid w:val="00AA6AAB"/>
    <w:rsid w:val="00AF00C9"/>
    <w:rsid w:val="00B17BE3"/>
    <w:rsid w:val="00B27266"/>
    <w:rsid w:val="00B46211"/>
    <w:rsid w:val="00B62EF3"/>
    <w:rsid w:val="00BC5D17"/>
    <w:rsid w:val="00BD08D8"/>
    <w:rsid w:val="00BD62C3"/>
    <w:rsid w:val="00C36EC4"/>
    <w:rsid w:val="00C45C86"/>
    <w:rsid w:val="00C6473D"/>
    <w:rsid w:val="00CA3F8E"/>
    <w:rsid w:val="00CC0671"/>
    <w:rsid w:val="00CF246C"/>
    <w:rsid w:val="00DA00A1"/>
    <w:rsid w:val="00DD4895"/>
    <w:rsid w:val="00EA2AAE"/>
    <w:rsid w:val="00F04133"/>
    <w:rsid w:val="00F13051"/>
    <w:rsid w:val="00FC5F1B"/>
    <w:rsid w:val="00FF2E97"/>
    <w:rsid w:val="016D0E26"/>
    <w:rsid w:val="042D36B2"/>
    <w:rsid w:val="0734002A"/>
    <w:rsid w:val="080B59DE"/>
    <w:rsid w:val="0C5716F5"/>
    <w:rsid w:val="0E3B663C"/>
    <w:rsid w:val="0ED81463"/>
    <w:rsid w:val="0F4F06F7"/>
    <w:rsid w:val="132F4C9D"/>
    <w:rsid w:val="135823A5"/>
    <w:rsid w:val="13D30429"/>
    <w:rsid w:val="1571558C"/>
    <w:rsid w:val="15BA408E"/>
    <w:rsid w:val="1624685F"/>
    <w:rsid w:val="182C162A"/>
    <w:rsid w:val="198B4D72"/>
    <w:rsid w:val="1C1401DC"/>
    <w:rsid w:val="1C86202E"/>
    <w:rsid w:val="1FE86BEB"/>
    <w:rsid w:val="1FED2081"/>
    <w:rsid w:val="209F62F4"/>
    <w:rsid w:val="21317414"/>
    <w:rsid w:val="224D2314"/>
    <w:rsid w:val="2286220D"/>
    <w:rsid w:val="22BC77FF"/>
    <w:rsid w:val="26892886"/>
    <w:rsid w:val="26911A0D"/>
    <w:rsid w:val="27705886"/>
    <w:rsid w:val="27CC29DB"/>
    <w:rsid w:val="2A5F29AA"/>
    <w:rsid w:val="2C107871"/>
    <w:rsid w:val="2C514C06"/>
    <w:rsid w:val="2D1768F0"/>
    <w:rsid w:val="2FC863DC"/>
    <w:rsid w:val="316656BF"/>
    <w:rsid w:val="33D040DB"/>
    <w:rsid w:val="384B1296"/>
    <w:rsid w:val="3924196C"/>
    <w:rsid w:val="3B701A0D"/>
    <w:rsid w:val="3FFE7E15"/>
    <w:rsid w:val="40E15F28"/>
    <w:rsid w:val="41220617"/>
    <w:rsid w:val="41B233BD"/>
    <w:rsid w:val="45841CBA"/>
    <w:rsid w:val="481B4D2D"/>
    <w:rsid w:val="48791763"/>
    <w:rsid w:val="4D2E324F"/>
    <w:rsid w:val="4D714664"/>
    <w:rsid w:val="4F0049E0"/>
    <w:rsid w:val="4F070CFC"/>
    <w:rsid w:val="52E05D7F"/>
    <w:rsid w:val="54023F8B"/>
    <w:rsid w:val="541C0319"/>
    <w:rsid w:val="5460402C"/>
    <w:rsid w:val="569F2D7B"/>
    <w:rsid w:val="58D87E9E"/>
    <w:rsid w:val="5D255ED8"/>
    <w:rsid w:val="5D6D3A4E"/>
    <w:rsid w:val="5E160B13"/>
    <w:rsid w:val="5F800AB8"/>
    <w:rsid w:val="60C12241"/>
    <w:rsid w:val="613E0788"/>
    <w:rsid w:val="62D22BB5"/>
    <w:rsid w:val="634333E8"/>
    <w:rsid w:val="65401983"/>
    <w:rsid w:val="65A50382"/>
    <w:rsid w:val="65C33426"/>
    <w:rsid w:val="65F53409"/>
    <w:rsid w:val="68C56D48"/>
    <w:rsid w:val="6965272F"/>
    <w:rsid w:val="699A07D5"/>
    <w:rsid w:val="6ADC0BF6"/>
    <w:rsid w:val="6B0E45D2"/>
    <w:rsid w:val="6B664389"/>
    <w:rsid w:val="6DC56210"/>
    <w:rsid w:val="6F2801C1"/>
    <w:rsid w:val="70F8382B"/>
    <w:rsid w:val="732401E4"/>
    <w:rsid w:val="7360651B"/>
    <w:rsid w:val="761C68DF"/>
    <w:rsid w:val="777B36EE"/>
    <w:rsid w:val="795D6AFC"/>
    <w:rsid w:val="798A5CF7"/>
    <w:rsid w:val="7BA566D4"/>
    <w:rsid w:val="7DEB054F"/>
    <w:rsid w:val="9E7B8B65"/>
    <w:rsid w:val="B96F4204"/>
    <w:rsid w:val="FD5F61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1"/>
    <w:qFormat/>
    <w:uiPriority w:val="0"/>
    <w:pPr>
      <w:spacing w:before="340" w:after="330" w:line="360" w:lineRule="auto"/>
      <w:jc w:val="center"/>
      <w:outlineLvl w:val="0"/>
    </w:pPr>
    <w:rPr>
      <w:rFonts w:eastAsia="黑体"/>
      <w:kern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rPr>
      <w:sz w:val="24"/>
    </w:rPr>
  </w:style>
  <w:style w:type="paragraph" w:styleId="5">
    <w:name w:val="Normal Indent"/>
    <w:basedOn w:val="1"/>
    <w:qFormat/>
    <w:uiPriority w:val="0"/>
    <w:pPr>
      <w:ind w:firstLine="420"/>
    </w:pPr>
    <w:rPr>
      <w:szCs w:val="20"/>
    </w:rPr>
  </w:style>
  <w:style w:type="paragraph" w:styleId="6">
    <w:name w:val="Document Map"/>
    <w:basedOn w:val="1"/>
    <w:link w:val="15"/>
    <w:qFormat/>
    <w:uiPriority w:val="0"/>
    <w:rPr>
      <w:rFonts w:ascii="宋体"/>
      <w:sz w:val="18"/>
      <w:szCs w:val="18"/>
    </w:rPr>
  </w:style>
  <w:style w:type="paragraph" w:styleId="7">
    <w:name w:val="footer"/>
    <w:basedOn w:val="1"/>
    <w:link w:val="13"/>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脚 Char"/>
    <w:link w:val="7"/>
    <w:qFormat/>
    <w:uiPriority w:val="0"/>
    <w:rPr>
      <w:rFonts w:hint="default" w:ascii="Calibri" w:hAnsi="Calibri" w:eastAsia="宋体" w:cs="Calibri"/>
      <w:kern w:val="2"/>
      <w:sz w:val="18"/>
      <w:szCs w:val="18"/>
      <w:lang w:val="en-US" w:eastAsia="zh-CN"/>
    </w:rPr>
  </w:style>
  <w:style w:type="paragraph" w:customStyle="1" w:styleId="14">
    <w:name w:val="列出段落1"/>
    <w:basedOn w:val="1"/>
    <w:unhideWhenUsed/>
    <w:qFormat/>
    <w:uiPriority w:val="99"/>
    <w:pPr>
      <w:ind w:firstLine="420" w:firstLineChars="200"/>
    </w:pPr>
  </w:style>
  <w:style w:type="character" w:customStyle="1" w:styleId="15">
    <w:name w:val="文档结构图 Char"/>
    <w:basedOn w:val="12"/>
    <w:link w:val="6"/>
    <w:qFormat/>
    <w:uiPriority w:val="0"/>
    <w:rPr>
      <w:rFonts w:ascii="宋体" w:hAnsi="Calibri"/>
      <w:kern w:val="2"/>
      <w:sz w:val="18"/>
      <w:szCs w:val="18"/>
    </w:rPr>
  </w:style>
  <w:style w:type="paragraph" w:customStyle="1" w:styleId="16">
    <w:name w:val="表格内文字"/>
    <w:basedOn w:val="1"/>
    <w:qFormat/>
    <w:uiPriority w:val="0"/>
    <w:rPr>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846</Words>
  <Characters>4824</Characters>
  <Lines>40</Lines>
  <Paragraphs>11</Paragraphs>
  <TotalTime>49</TotalTime>
  <ScaleCrop>false</ScaleCrop>
  <LinksUpToDate>false</LinksUpToDate>
  <CharactersWithSpaces>5659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2019-03-30T06:37:00Z</dcterms:created>
  <dc:creator>Administrator</dc:creator>
  <cp:lastModifiedBy>a66</cp:lastModifiedBy>
  <cp:lastPrinted>2021-11-30T11:14:21Z</cp:lastPrinted>
  <dcterms:modified xsi:type="dcterms:W3CDTF">2021-11-30T11:16:09Z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