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topLinePunct w:val="0"/>
        <w:autoSpaceDE/>
        <w:autoSpaceDN/>
        <w:bidi w:val="0"/>
        <w:spacing w:before="0" w:after="0" w:line="578" w:lineRule="exact"/>
        <w:jc w:val="center"/>
      </w:pPr>
      <w:r>
        <w:rPr>
          <w:rFonts w:hint="eastAsia" w:ascii="黑体" w:hAnsi="黑体" w:eastAsia="黑体" w:cs="仿宋"/>
          <w:b w:val="0"/>
          <w:bCs/>
          <w:color w:val="000000"/>
          <w:kern w:val="2"/>
          <w:sz w:val="44"/>
          <w:szCs w:val="44"/>
          <w:lang w:val="en-US" w:eastAsia="zh-CN" w:bidi="ar-SA"/>
        </w:rPr>
        <w:t>碧岭街道城中村生活垃圾分类投放点22套密闭化标准桶项目采购需求</w:t>
      </w:r>
    </w:p>
    <w:p>
      <w:pPr>
        <w:pageBreakBefore w:val="0"/>
        <w:kinsoku/>
        <w:wordWrap/>
        <w:overflowPunct/>
        <w:topLinePunct w:val="0"/>
        <w:autoSpaceDE/>
        <w:autoSpaceDN/>
        <w:bidi w:val="0"/>
        <w:spacing w:line="578" w:lineRule="exact"/>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一、采购项目概况</w:t>
      </w:r>
    </w:p>
    <w:p>
      <w:pPr>
        <w:pStyle w:val="6"/>
        <w:tabs>
          <w:tab w:val="left" w:pos="434"/>
        </w:tabs>
        <w:spacing w:line="440" w:lineRule="exact"/>
        <w:ind w:left="0" w:leftChars="0" w:firstLine="480" w:firstLineChars="200"/>
        <w:jc w:val="left"/>
        <w:rPr>
          <w:rFonts w:hint="eastAsia" w:ascii="宋体" w:hAnsi="宋体" w:cs="宋体"/>
          <w:sz w:val="24"/>
          <w:szCs w:val="24"/>
          <w:lang w:val="en-US" w:eastAsia="zh-CN"/>
        </w:rPr>
      </w:pPr>
      <w:r>
        <w:rPr>
          <w:rFonts w:hint="eastAsia" w:ascii="宋体" w:hAnsi="宋体" w:cs="宋体"/>
          <w:sz w:val="24"/>
          <w:szCs w:val="24"/>
          <w:lang w:val="en-US" w:eastAsia="zh-CN"/>
        </w:rPr>
        <w:t>根据市、区城市管理和综合执法局有关工作要求，各街道需对城中村投放点完成密闭化标准桶设置，现根据实际情况，我街道采购22套</w:t>
      </w:r>
      <w:r>
        <w:rPr>
          <w:rFonts w:hint="eastAsia" w:ascii="宋体" w:hAnsi="宋体" w:cs="宋体"/>
          <w:sz w:val="24"/>
          <w:szCs w:val="24"/>
          <w:lang w:eastAsia="zh-CN"/>
        </w:rPr>
        <w:t>密闭化标准桶（</w:t>
      </w:r>
      <w:bookmarkStart w:id="0" w:name="_GoBack"/>
      <w:bookmarkEnd w:id="0"/>
      <w:r>
        <w:rPr>
          <w:rFonts w:hint="eastAsia" w:ascii="宋体" w:hAnsi="宋体" w:cs="宋体"/>
          <w:sz w:val="24"/>
          <w:szCs w:val="24"/>
          <w:lang w:eastAsia="zh-CN"/>
        </w:rPr>
        <w:t>含内桶），</w:t>
      </w:r>
      <w:r>
        <w:rPr>
          <w:rFonts w:hint="eastAsia" w:ascii="宋体" w:hAnsi="宋体" w:cs="宋体"/>
          <w:sz w:val="24"/>
          <w:szCs w:val="24"/>
          <w:lang w:val="en-US" w:eastAsia="zh-CN"/>
        </w:rPr>
        <w:t>具体标准参照《深圳市住宅小区（城中村）生活垃圾集中分类投点设备技术导则》。</w:t>
      </w:r>
    </w:p>
    <w:p>
      <w:pPr>
        <w:pageBreakBefore w:val="0"/>
        <w:kinsoku/>
        <w:wordWrap/>
        <w:overflowPunct/>
        <w:topLinePunct w:val="0"/>
        <w:autoSpaceDE/>
        <w:autoSpaceDN/>
        <w:bidi w:val="0"/>
        <w:spacing w:line="578" w:lineRule="exact"/>
        <w:ind w:firstLine="482" w:firstLineChars="200"/>
        <w:rPr>
          <w:rFonts w:hint="eastAsia" w:ascii="宋体" w:hAnsi="宋体" w:eastAsia="宋体" w:cs="宋体"/>
          <w:kern w:val="2"/>
          <w:sz w:val="24"/>
          <w:szCs w:val="24"/>
          <w:lang w:val="en-US" w:eastAsia="zh-CN" w:bidi="ar-SA"/>
        </w:rPr>
      </w:pPr>
      <w:r>
        <w:rPr>
          <w:rFonts w:hint="eastAsia" w:ascii="宋体" w:hAnsi="宋体" w:eastAsia="宋体" w:cs="宋体"/>
          <w:b/>
          <w:bCs/>
          <w:color w:val="000000"/>
          <w:sz w:val="24"/>
          <w:szCs w:val="24"/>
        </w:rPr>
        <w:t>二、项目管理和服</w:t>
      </w:r>
      <w:r>
        <w:rPr>
          <w:rFonts w:hint="eastAsia" w:ascii="宋体" w:hAnsi="宋体" w:eastAsia="宋体" w:cs="宋体"/>
          <w:b/>
          <w:bCs/>
          <w:color w:val="000000"/>
          <w:sz w:val="24"/>
          <w:szCs w:val="24"/>
          <w:lang w:val="en-US" w:eastAsia="zh-CN"/>
        </w:rPr>
        <w:t>务要求</w:t>
      </w:r>
    </w:p>
    <w:p>
      <w:pPr>
        <w:pStyle w:val="6"/>
        <w:spacing w:line="440" w:lineRule="exact"/>
        <w:ind w:firstLine="480"/>
        <w:rPr>
          <w:rFonts w:hint="eastAsia"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cs="宋体"/>
          <w:sz w:val="24"/>
          <w:szCs w:val="24"/>
          <w:lang w:val="en-US" w:eastAsia="zh-CN"/>
        </w:rPr>
        <w:t>数量</w:t>
      </w:r>
    </w:p>
    <w:tbl>
      <w:tblPr>
        <w:tblStyle w:val="13"/>
        <w:tblW w:w="8465" w:type="dxa"/>
        <w:tblInd w:w="0" w:type="dxa"/>
        <w:shd w:val="clear" w:color="auto" w:fill="FFFFFF"/>
        <w:tblLayout w:type="fixed"/>
        <w:tblCellMar>
          <w:top w:w="0" w:type="dxa"/>
          <w:left w:w="0" w:type="dxa"/>
          <w:bottom w:w="0" w:type="dxa"/>
          <w:right w:w="0" w:type="dxa"/>
        </w:tblCellMar>
      </w:tblPr>
      <w:tblGrid>
        <w:gridCol w:w="853"/>
        <w:gridCol w:w="1783"/>
        <w:gridCol w:w="784"/>
        <w:gridCol w:w="1200"/>
        <w:gridCol w:w="3845"/>
      </w:tblGrid>
      <w:tr>
        <w:tblPrEx>
          <w:tblLayout w:type="fixed"/>
          <w:tblCellMar>
            <w:top w:w="0" w:type="dxa"/>
            <w:left w:w="0" w:type="dxa"/>
            <w:bottom w:w="0" w:type="dxa"/>
            <w:right w:w="0" w:type="dxa"/>
          </w:tblCellMar>
        </w:tblPrEx>
        <w:tc>
          <w:tcPr>
            <w:tcW w:w="853"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6"/>
              <w:spacing w:line="440" w:lineRule="exact"/>
              <w:ind w:left="0" w:leftChars="0" w:firstLine="0" w:firstLineChars="0"/>
              <w:jc w:val="center"/>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序号</w:t>
            </w:r>
          </w:p>
        </w:tc>
        <w:tc>
          <w:tcPr>
            <w:tcW w:w="1783"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6"/>
              <w:spacing w:line="440" w:lineRule="exact"/>
              <w:ind w:left="0" w:leftChars="0" w:firstLine="0" w:firstLineChars="0"/>
              <w:jc w:val="center"/>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名称</w:t>
            </w:r>
          </w:p>
        </w:tc>
        <w:tc>
          <w:tcPr>
            <w:tcW w:w="784"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6"/>
              <w:spacing w:line="440" w:lineRule="exact"/>
              <w:ind w:left="0" w:leftChars="0" w:firstLine="0" w:firstLineChars="0"/>
              <w:jc w:val="center"/>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单位</w:t>
            </w:r>
          </w:p>
        </w:tc>
        <w:tc>
          <w:tcPr>
            <w:tcW w:w="1200"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6"/>
              <w:spacing w:line="440" w:lineRule="exact"/>
              <w:ind w:left="0" w:leftChars="0" w:firstLine="0" w:firstLineChars="0"/>
              <w:jc w:val="center"/>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数量</w:t>
            </w:r>
          </w:p>
        </w:tc>
        <w:tc>
          <w:tcPr>
            <w:tcW w:w="3845"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6"/>
              <w:spacing w:line="440" w:lineRule="exact"/>
              <w:ind w:left="0" w:leftChars="0" w:firstLine="0" w:firstLineChars="0"/>
              <w:jc w:val="center"/>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备注</w:t>
            </w:r>
          </w:p>
        </w:tc>
      </w:tr>
      <w:tr>
        <w:tblPrEx>
          <w:shd w:val="clear" w:color="auto" w:fill="FFFFFF"/>
          <w:tblLayout w:type="fixed"/>
          <w:tblCellMar>
            <w:top w:w="0" w:type="dxa"/>
            <w:left w:w="0" w:type="dxa"/>
            <w:bottom w:w="0" w:type="dxa"/>
            <w:right w:w="0" w:type="dxa"/>
          </w:tblCellMar>
        </w:tblPrEx>
        <w:trPr>
          <w:trHeight w:val="2700" w:hRule="atLeast"/>
        </w:trPr>
        <w:tc>
          <w:tcPr>
            <w:tcW w:w="853"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6"/>
              <w:tabs>
                <w:tab w:val="left" w:pos="434"/>
              </w:tabs>
              <w:spacing w:line="440" w:lineRule="exact"/>
              <w:ind w:left="0" w:leftChars="0" w:firstLine="0" w:firstLineChars="0"/>
              <w:jc w:val="center"/>
              <w:rPr>
                <w:rFonts w:hint="eastAsia" w:ascii="宋体" w:hAnsi="宋体" w:cs="宋体"/>
                <w:sz w:val="24"/>
                <w:szCs w:val="24"/>
                <w:lang w:val="en-US" w:eastAsia="zh-CN"/>
              </w:rPr>
            </w:pPr>
            <w:r>
              <w:rPr>
                <w:rFonts w:hint="eastAsia" w:ascii="宋体" w:hAnsi="宋体" w:cs="宋体"/>
                <w:sz w:val="24"/>
                <w:szCs w:val="24"/>
                <w:lang w:val="en-US" w:eastAsia="zh-CN"/>
              </w:rPr>
              <w:t>1</w:t>
            </w:r>
          </w:p>
        </w:tc>
        <w:tc>
          <w:tcPr>
            <w:tcW w:w="1783"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6"/>
              <w:tabs>
                <w:tab w:val="left" w:pos="434"/>
              </w:tabs>
              <w:spacing w:line="440" w:lineRule="exact"/>
              <w:ind w:left="0" w:leftChars="0" w:firstLine="0" w:firstLineChars="0"/>
              <w:jc w:val="center"/>
              <w:rPr>
                <w:rFonts w:hint="eastAsia" w:ascii="宋体" w:hAnsi="宋体" w:eastAsia="宋体" w:cs="宋体"/>
                <w:sz w:val="24"/>
                <w:szCs w:val="24"/>
                <w:lang w:eastAsia="zh-CN"/>
              </w:rPr>
            </w:pPr>
            <w:r>
              <w:rPr>
                <w:rFonts w:hint="eastAsia" w:ascii="宋体" w:hAnsi="宋体" w:cs="宋体"/>
                <w:sz w:val="24"/>
                <w:szCs w:val="24"/>
                <w:lang w:eastAsia="zh-CN"/>
              </w:rPr>
              <w:t>密闭化标准桶（</w:t>
            </w:r>
            <w:r>
              <w:rPr>
                <w:rFonts w:hint="eastAsia" w:ascii="宋体" w:hAnsi="宋体" w:cs="宋体"/>
                <w:sz w:val="24"/>
                <w:szCs w:val="24"/>
                <w:lang w:val="en-US" w:eastAsia="zh-CN"/>
              </w:rPr>
              <w:t>含内桶</w:t>
            </w:r>
            <w:r>
              <w:rPr>
                <w:rFonts w:hint="eastAsia" w:ascii="宋体" w:hAnsi="宋体" w:cs="宋体"/>
                <w:sz w:val="24"/>
                <w:szCs w:val="24"/>
                <w:lang w:eastAsia="zh-CN"/>
              </w:rPr>
              <w:t>）</w:t>
            </w:r>
          </w:p>
        </w:tc>
        <w:tc>
          <w:tcPr>
            <w:tcW w:w="784"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6"/>
              <w:spacing w:line="440" w:lineRule="exact"/>
              <w:ind w:left="0" w:leftChars="0" w:firstLine="0" w:firstLineChars="0"/>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套</w:t>
            </w:r>
          </w:p>
        </w:tc>
        <w:tc>
          <w:tcPr>
            <w:tcW w:w="120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6"/>
              <w:spacing w:line="440" w:lineRule="exact"/>
              <w:ind w:left="0" w:leftChars="0" w:firstLine="0" w:firstLineChars="0"/>
              <w:jc w:val="center"/>
              <w:rPr>
                <w:rFonts w:hint="eastAsia" w:ascii="宋体" w:hAnsi="宋体" w:eastAsia="宋体" w:cs="宋体"/>
                <w:sz w:val="24"/>
                <w:szCs w:val="24"/>
                <w:lang w:val="en-US" w:eastAsia="zh-CN"/>
              </w:rPr>
            </w:pPr>
            <w:r>
              <w:rPr>
                <w:rFonts w:hint="eastAsia" w:ascii="宋体" w:hAnsi="宋体" w:cs="宋体"/>
                <w:b/>
                <w:bCs/>
                <w:sz w:val="24"/>
                <w:szCs w:val="24"/>
                <w:lang w:val="en-US" w:eastAsia="zh-CN"/>
              </w:rPr>
              <w:t>22</w:t>
            </w:r>
          </w:p>
        </w:tc>
        <w:tc>
          <w:tcPr>
            <w:tcW w:w="384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6"/>
              <w:spacing w:line="440" w:lineRule="exact"/>
              <w:ind w:left="0" w:leftChars="0" w:firstLine="480" w:firstLineChars="200"/>
              <w:jc w:val="left"/>
              <w:rPr>
                <w:rFonts w:hint="eastAsia" w:ascii="宋体" w:hAnsi="宋体" w:eastAsia="宋体" w:cs="宋体"/>
                <w:sz w:val="24"/>
                <w:szCs w:val="24"/>
                <w:lang w:val="en-US" w:eastAsia="zh-CN"/>
              </w:rPr>
            </w:pPr>
            <w:r>
              <w:rPr>
                <w:rFonts w:hint="eastAsia" w:ascii="宋体" w:hAnsi="宋体" w:cs="宋体"/>
                <w:sz w:val="24"/>
                <w:szCs w:val="24"/>
                <w:lang w:val="en-US" w:eastAsia="zh-CN"/>
              </w:rPr>
              <w:t>由有害垃圾、玻璃、金塑纸（为金属、塑料、纸张的 简称）、厨余垃圾、其他垃圾收集容器组合而成，材质为201 不锈钢，具体款式、规格，参照</w:t>
            </w:r>
            <w:r>
              <w:rPr>
                <w:rFonts w:hint="eastAsia" w:ascii="宋体" w:hAnsi="宋体" w:cs="宋体"/>
                <w:b/>
                <w:bCs/>
                <w:sz w:val="24"/>
                <w:szCs w:val="24"/>
                <w:lang w:val="en-US" w:eastAsia="zh-CN"/>
              </w:rPr>
              <w:t>《深圳市住宅小区（城中村）生活垃圾集中分类投点设备技术导则》</w:t>
            </w:r>
            <w:r>
              <w:rPr>
                <w:rFonts w:hint="eastAsia" w:ascii="宋体" w:hAnsi="宋体" w:cs="宋体"/>
                <w:sz w:val="24"/>
                <w:szCs w:val="24"/>
                <w:lang w:val="en-US" w:eastAsia="zh-CN"/>
              </w:rPr>
              <w:t>有关标准。</w:t>
            </w:r>
          </w:p>
        </w:tc>
      </w:tr>
    </w:tbl>
    <w:p>
      <w:pPr>
        <w:pStyle w:val="6"/>
        <w:spacing w:line="440" w:lineRule="exact"/>
        <w:ind w:left="0" w:leftChars="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2.技术标准要求。须符合《深圳市住宅小区（城中村）生活垃圾集中分类投放点设备技术导则》要求标准。</w:t>
      </w:r>
      <w:r>
        <w:rPr>
          <w:rFonts w:hint="eastAsia" w:ascii="宋体" w:hAnsi="宋体" w:eastAsia="宋体" w:cs="宋体"/>
          <w:b/>
          <w:bCs/>
          <w:sz w:val="24"/>
          <w:szCs w:val="24"/>
        </w:rPr>
        <w:t>保修期不少于1年</w:t>
      </w:r>
      <w:r>
        <w:rPr>
          <w:rFonts w:hint="eastAsia" w:ascii="宋体" w:hAnsi="宋体" w:eastAsia="宋体" w:cs="宋体"/>
          <w:sz w:val="24"/>
          <w:szCs w:val="24"/>
        </w:rPr>
        <w:t>，保修期内生活垃圾收集容器（桶罩）宣传标语字体出现模糊、非人为</w:t>
      </w:r>
      <w:r>
        <w:rPr>
          <w:rFonts w:hint="eastAsia" w:ascii="宋体" w:hAnsi="宋体" w:cs="宋体"/>
          <w:sz w:val="24"/>
          <w:szCs w:val="24"/>
          <w:lang w:eastAsia="zh-CN"/>
        </w:rPr>
        <w:t>、自然力</w:t>
      </w:r>
      <w:r>
        <w:rPr>
          <w:rFonts w:hint="eastAsia" w:ascii="宋体" w:hAnsi="宋体" w:eastAsia="宋体" w:cs="宋体"/>
          <w:sz w:val="24"/>
          <w:szCs w:val="24"/>
        </w:rPr>
        <w:t>原因导致变形、破损等情况，</w:t>
      </w:r>
      <w:r>
        <w:rPr>
          <w:rFonts w:hint="eastAsia" w:ascii="宋体" w:hAnsi="宋体" w:cs="宋体"/>
          <w:sz w:val="24"/>
          <w:szCs w:val="24"/>
          <w:lang w:val="en-US" w:eastAsia="zh-CN"/>
        </w:rPr>
        <w:t>供应商</w:t>
      </w:r>
      <w:r>
        <w:rPr>
          <w:rFonts w:hint="eastAsia" w:ascii="宋体" w:hAnsi="宋体" w:eastAsia="宋体" w:cs="宋体"/>
          <w:sz w:val="24"/>
          <w:szCs w:val="24"/>
        </w:rPr>
        <w:t>须提供免费维修或更换。</w:t>
      </w:r>
    </w:p>
    <w:p>
      <w:pPr>
        <w:pStyle w:val="6"/>
        <w:pageBreakBefore w:val="0"/>
        <w:kinsoku/>
        <w:wordWrap/>
        <w:overflowPunct/>
        <w:topLinePunct w:val="0"/>
        <w:bidi w:val="0"/>
        <w:spacing w:line="560" w:lineRule="exact"/>
        <w:ind w:firstLine="480"/>
        <w:rPr>
          <w:rFonts w:hint="eastAsia" w:ascii="宋体" w:hAnsi="宋体" w:eastAsia="宋体" w:cs="宋体"/>
          <w:sz w:val="24"/>
          <w:szCs w:val="24"/>
        </w:rPr>
      </w:pPr>
      <w:r>
        <w:rPr>
          <w:rFonts w:hint="eastAsia" w:ascii="宋体" w:hAnsi="宋体" w:cs="宋体"/>
          <w:sz w:val="24"/>
          <w:szCs w:val="24"/>
          <w:lang w:val="en-US" w:eastAsia="zh-CN"/>
        </w:rPr>
        <w:t>3</w:t>
      </w:r>
      <w:r>
        <w:rPr>
          <w:rFonts w:hint="eastAsia" w:ascii="宋体" w:hAnsi="宋体" w:eastAsia="宋体" w:cs="宋体"/>
          <w:sz w:val="24"/>
          <w:szCs w:val="24"/>
        </w:rPr>
        <w:t>.</w:t>
      </w:r>
      <w:r>
        <w:rPr>
          <w:rFonts w:hint="eastAsia" w:ascii="宋体" w:hAnsi="宋体" w:cs="宋体"/>
          <w:sz w:val="24"/>
          <w:szCs w:val="24"/>
          <w:lang w:val="en-US" w:eastAsia="zh-CN"/>
        </w:rPr>
        <w:t>本</w:t>
      </w:r>
      <w:r>
        <w:rPr>
          <w:rFonts w:hint="eastAsia" w:ascii="宋体" w:hAnsi="宋体" w:eastAsia="宋体" w:cs="宋体"/>
          <w:sz w:val="24"/>
          <w:szCs w:val="24"/>
        </w:rPr>
        <w:t>项目</w:t>
      </w:r>
      <w:r>
        <w:rPr>
          <w:rFonts w:hint="eastAsia" w:ascii="宋体" w:hAnsi="宋体" w:cs="宋体"/>
          <w:sz w:val="24"/>
          <w:szCs w:val="24"/>
          <w:lang w:val="en-US" w:eastAsia="zh-CN"/>
        </w:rPr>
        <w:t>最高</w:t>
      </w:r>
      <w:r>
        <w:rPr>
          <w:rFonts w:hint="eastAsia" w:ascii="宋体" w:hAnsi="宋体" w:eastAsia="宋体" w:cs="宋体"/>
          <w:sz w:val="24"/>
          <w:szCs w:val="24"/>
        </w:rPr>
        <w:t>预算</w:t>
      </w:r>
      <w:r>
        <w:rPr>
          <w:rFonts w:hint="eastAsia" w:ascii="宋体" w:hAnsi="宋体" w:cs="宋体"/>
          <w:sz w:val="24"/>
          <w:szCs w:val="24"/>
          <w:lang w:val="en-US" w:eastAsia="zh-CN"/>
        </w:rPr>
        <w:t>不得超过</w:t>
      </w:r>
      <w:r>
        <w:rPr>
          <w:rFonts w:hint="eastAsia" w:ascii="宋体" w:hAnsi="宋体" w:eastAsia="宋体" w:cs="宋体"/>
          <w:sz w:val="24"/>
          <w:szCs w:val="24"/>
        </w:rPr>
        <w:t>人民币</w:t>
      </w:r>
      <w:r>
        <w:rPr>
          <w:rFonts w:hint="eastAsia" w:ascii="宋体" w:hAnsi="宋体" w:cs="宋体"/>
          <w:b/>
          <w:bCs/>
          <w:sz w:val="24"/>
          <w:szCs w:val="24"/>
          <w:u w:val="single"/>
          <w:lang w:val="en-US" w:eastAsia="zh-CN"/>
        </w:rPr>
        <w:t>405000</w:t>
      </w:r>
      <w:r>
        <w:rPr>
          <w:rFonts w:hint="eastAsia" w:ascii="宋体" w:hAnsi="宋体" w:cs="宋体"/>
          <w:sz w:val="24"/>
          <w:szCs w:val="24"/>
          <w:u w:val="single"/>
          <w:lang w:val="en-US" w:eastAsia="zh-CN"/>
        </w:rPr>
        <w:t>元</w:t>
      </w:r>
      <w:r>
        <w:rPr>
          <w:rFonts w:hint="eastAsia" w:ascii="宋体" w:hAnsi="宋体" w:cs="宋体"/>
          <w:sz w:val="24"/>
          <w:szCs w:val="24"/>
          <w:u w:val="none"/>
          <w:lang w:eastAsia="zh-CN"/>
        </w:rPr>
        <w:t>（</w:t>
      </w:r>
      <w:r>
        <w:rPr>
          <w:rFonts w:hint="eastAsia" w:ascii="宋体" w:hAnsi="宋体" w:cs="宋体"/>
          <w:sz w:val="24"/>
          <w:szCs w:val="24"/>
          <w:u w:val="single"/>
          <w:lang w:val="en-US" w:eastAsia="zh-CN"/>
        </w:rPr>
        <w:t>大写：肆拾万伍仟元</w:t>
      </w:r>
      <w:r>
        <w:rPr>
          <w:rFonts w:hint="eastAsia" w:ascii="宋体" w:hAnsi="宋体" w:eastAsia="宋体" w:cs="宋体"/>
          <w:sz w:val="24"/>
          <w:szCs w:val="24"/>
          <w:u w:val="single"/>
        </w:rPr>
        <w:t>整</w:t>
      </w:r>
      <w:r>
        <w:rPr>
          <w:rFonts w:hint="eastAsia" w:ascii="宋体" w:hAnsi="宋体" w:cs="宋体"/>
          <w:sz w:val="24"/>
          <w:szCs w:val="24"/>
          <w:lang w:eastAsia="zh-CN"/>
        </w:rPr>
        <w:t>）</w:t>
      </w:r>
      <w:r>
        <w:rPr>
          <w:rFonts w:hint="eastAsia" w:ascii="宋体" w:hAnsi="宋体" w:cs="宋体"/>
          <w:sz w:val="24"/>
          <w:szCs w:val="24"/>
          <w:lang w:val="en-US" w:eastAsia="zh-CN"/>
        </w:rPr>
        <w:t>，</w:t>
      </w:r>
      <w:r>
        <w:rPr>
          <w:rFonts w:hint="eastAsia" w:ascii="宋体" w:hAnsi="宋体" w:cs="宋体"/>
          <w:b/>
          <w:bCs/>
          <w:sz w:val="24"/>
          <w:szCs w:val="24"/>
          <w:lang w:val="en-US" w:eastAsia="zh-CN"/>
        </w:rPr>
        <w:t>为防止低价竞标、恶意竞标，确保本项目保质、保量的完成，投标报价低于预算控制金额 90%，且未做出合理性说明的，采购小组有权认定为报价低于成本价，并按投标无效处理。</w:t>
      </w:r>
    </w:p>
    <w:p>
      <w:pPr>
        <w:pageBreakBefore w:val="0"/>
        <w:kinsoku/>
        <w:wordWrap/>
        <w:overflowPunct/>
        <w:topLinePunct w:val="0"/>
        <w:autoSpaceDE/>
        <w:autoSpaceDN/>
        <w:bidi w:val="0"/>
        <w:spacing w:line="578" w:lineRule="exact"/>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三、供应商资格要求</w:t>
      </w:r>
    </w:p>
    <w:p>
      <w:pPr>
        <w:pStyle w:val="6"/>
        <w:spacing w:line="440" w:lineRule="exact"/>
        <w:ind w:firstLine="48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投标人必须具有独立承担民事责任的能力，不接受分公司或者分支机构参与投标；</w:t>
      </w:r>
    </w:p>
    <w:p>
      <w:pPr>
        <w:pStyle w:val="6"/>
        <w:spacing w:line="440" w:lineRule="exact"/>
        <w:ind w:firstLine="480"/>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参加政府采购活动前三年内，在经营活动中没有重大违法记录（提供声明函，格式自拟）</w:t>
      </w:r>
      <w:r>
        <w:rPr>
          <w:rFonts w:hint="eastAsia" w:ascii="宋体" w:hAnsi="宋体" w:eastAsia="宋体" w:cs="宋体"/>
          <w:sz w:val="24"/>
          <w:szCs w:val="24"/>
          <w:lang w:eastAsia="zh-CN"/>
        </w:rPr>
        <w:t>；</w:t>
      </w:r>
    </w:p>
    <w:p>
      <w:pPr>
        <w:pStyle w:val="6"/>
        <w:spacing w:line="440" w:lineRule="exact"/>
        <w:ind w:firstLine="480"/>
        <w:rPr>
          <w:rFonts w:hint="eastAsia" w:ascii="宋体" w:hAnsi="宋体" w:eastAsia="宋体" w:cs="宋体"/>
          <w:sz w:val="24"/>
          <w:szCs w:val="24"/>
          <w:lang w:eastAsia="zh-CN"/>
        </w:rPr>
      </w:pPr>
      <w:r>
        <w:rPr>
          <w:rFonts w:hint="eastAsia" w:ascii="宋体" w:hAnsi="宋体" w:cs="宋体"/>
          <w:sz w:val="24"/>
          <w:szCs w:val="24"/>
          <w:lang w:val="en-US" w:eastAsia="zh-CN"/>
        </w:rPr>
        <w:t>3.</w:t>
      </w:r>
      <w:r>
        <w:rPr>
          <w:rFonts w:hint="eastAsia" w:ascii="宋体" w:hAnsi="宋体" w:eastAsia="宋体" w:cs="宋体"/>
          <w:sz w:val="24"/>
          <w:szCs w:val="24"/>
        </w:rPr>
        <w:t>参加政府采购活动前三年内</w:t>
      </w:r>
      <w:r>
        <w:rPr>
          <w:rFonts w:hint="eastAsia" w:ascii="宋体" w:hAnsi="宋体" w:cs="宋体"/>
          <w:sz w:val="24"/>
          <w:szCs w:val="24"/>
          <w:lang w:eastAsia="zh-CN"/>
        </w:rPr>
        <w:t>，</w:t>
      </w:r>
      <w:r>
        <w:rPr>
          <w:rFonts w:hint="eastAsia" w:ascii="宋体" w:hAnsi="宋体" w:eastAsia="宋体" w:cs="宋体"/>
          <w:sz w:val="24"/>
          <w:szCs w:val="24"/>
        </w:rPr>
        <w:t>在经营活动中没有</w:t>
      </w:r>
      <w:r>
        <w:rPr>
          <w:rFonts w:hint="eastAsia" w:ascii="宋体" w:hAnsi="宋体" w:cs="宋体"/>
          <w:sz w:val="24"/>
          <w:szCs w:val="24"/>
          <w:lang w:val="en-US" w:eastAsia="zh-CN"/>
        </w:rPr>
        <w:t>安全生产事故</w:t>
      </w:r>
      <w:r>
        <w:rPr>
          <w:rFonts w:hint="eastAsia" w:ascii="宋体" w:hAnsi="宋体" w:eastAsia="宋体" w:cs="宋体"/>
          <w:sz w:val="24"/>
          <w:szCs w:val="24"/>
        </w:rPr>
        <w:t>（提供声明函，格式自拟）</w:t>
      </w:r>
      <w:r>
        <w:rPr>
          <w:rFonts w:hint="eastAsia" w:ascii="宋体" w:hAnsi="宋体" w:eastAsia="宋体" w:cs="宋体"/>
          <w:sz w:val="24"/>
          <w:szCs w:val="24"/>
          <w:lang w:eastAsia="zh-CN"/>
        </w:rPr>
        <w:t>；</w:t>
      </w:r>
    </w:p>
    <w:p>
      <w:pPr>
        <w:pStyle w:val="6"/>
        <w:spacing w:line="440" w:lineRule="exact"/>
        <w:rPr>
          <w:rFonts w:hint="default" w:ascii="宋体" w:hAnsi="宋体" w:eastAsia="宋体" w:cs="宋体"/>
          <w:sz w:val="24"/>
          <w:szCs w:val="24"/>
          <w:lang w:val="en-US" w:eastAsia="zh-CN"/>
        </w:rPr>
      </w:pPr>
      <w:r>
        <w:rPr>
          <w:rFonts w:hint="eastAsia" w:ascii="宋体" w:hAnsi="宋体" w:cs="宋体"/>
          <w:sz w:val="24"/>
          <w:szCs w:val="24"/>
          <w:lang w:val="en-US" w:eastAsia="zh-CN"/>
        </w:rPr>
        <w:t>4.投标人需提供营业执照以及相应资质证明；</w:t>
      </w:r>
    </w:p>
    <w:p>
      <w:pPr>
        <w:pStyle w:val="6"/>
        <w:spacing w:line="440" w:lineRule="exact"/>
        <w:ind w:firstLine="480"/>
        <w:rPr>
          <w:rFonts w:hint="eastAsia" w:ascii="宋体" w:hAnsi="宋体" w:eastAsia="宋体" w:cs="宋体"/>
          <w:sz w:val="24"/>
          <w:szCs w:val="24"/>
          <w:lang w:eastAsia="zh-CN"/>
        </w:rPr>
      </w:pPr>
      <w:r>
        <w:rPr>
          <w:rFonts w:hint="eastAsia" w:ascii="宋体" w:hAnsi="宋体" w:cs="宋体"/>
          <w:sz w:val="24"/>
          <w:szCs w:val="24"/>
          <w:lang w:val="en-US" w:eastAsia="zh-CN"/>
        </w:rPr>
        <w:t>5</w:t>
      </w:r>
      <w:r>
        <w:rPr>
          <w:rFonts w:hint="eastAsia" w:ascii="宋体" w:hAnsi="宋体" w:eastAsia="宋体" w:cs="宋体"/>
          <w:sz w:val="24"/>
          <w:szCs w:val="24"/>
          <w:lang w:val="en-US" w:eastAsia="zh-CN"/>
        </w:rPr>
        <w:t>.</w:t>
      </w:r>
      <w:r>
        <w:rPr>
          <w:rFonts w:hint="eastAsia" w:ascii="宋体" w:hAnsi="宋体" w:eastAsia="宋体" w:cs="宋体"/>
          <w:sz w:val="24"/>
          <w:szCs w:val="24"/>
        </w:rPr>
        <w:t>参与本项目政府采购活动时不存在被禁止参与政府采购活动情形</w:t>
      </w:r>
      <w:r>
        <w:rPr>
          <w:rFonts w:hint="eastAsia" w:ascii="宋体" w:hAnsi="宋体" w:eastAsia="宋体" w:cs="宋体"/>
          <w:sz w:val="24"/>
          <w:szCs w:val="24"/>
          <w:lang w:eastAsia="zh-CN"/>
        </w:rPr>
        <w:t>；</w:t>
      </w:r>
    </w:p>
    <w:p>
      <w:pPr>
        <w:pStyle w:val="6"/>
        <w:spacing w:line="440" w:lineRule="exact"/>
        <w:ind w:firstLine="480"/>
        <w:rPr>
          <w:rFonts w:hint="eastAsia" w:ascii="宋体" w:hAnsi="宋体" w:eastAsia="宋体" w:cs="宋体"/>
          <w:sz w:val="24"/>
          <w:szCs w:val="24"/>
          <w:lang w:val="en-US" w:eastAsia="zh-CN"/>
        </w:rPr>
      </w:pPr>
      <w:r>
        <w:rPr>
          <w:rFonts w:hint="eastAsia" w:ascii="宋体" w:hAnsi="宋体" w:cs="宋体"/>
          <w:sz w:val="24"/>
          <w:szCs w:val="24"/>
          <w:lang w:val="en-US" w:eastAsia="zh-CN"/>
        </w:rPr>
        <w:t>6</w:t>
      </w:r>
      <w:r>
        <w:rPr>
          <w:rFonts w:hint="eastAsia" w:ascii="宋体" w:hAnsi="宋体" w:eastAsia="宋体" w:cs="宋体"/>
          <w:sz w:val="24"/>
          <w:szCs w:val="24"/>
          <w:lang w:val="en-US" w:eastAsia="zh-CN"/>
        </w:rPr>
        <w:t>.</w:t>
      </w:r>
      <w:r>
        <w:rPr>
          <w:rFonts w:hint="eastAsia" w:ascii="宋体" w:hAnsi="宋体" w:eastAsia="宋体" w:cs="宋体"/>
          <w:sz w:val="24"/>
          <w:szCs w:val="24"/>
        </w:rPr>
        <w:t>通过“信用中国”网站（www.creditchina.gov.cn）和中国政府采购网（www.ccgp.gov.cn）查询信用记录（相关信息以中标通知书发出前的查询结果为准），被列入失信被执行人、重大税收违法案件当事人名单或政府采购严重违法失信行为记录名单的供应商，拒绝参与本项目的采购活动。</w:t>
      </w:r>
    </w:p>
    <w:p>
      <w:pPr>
        <w:pageBreakBefore w:val="0"/>
        <w:kinsoku/>
        <w:wordWrap/>
        <w:overflowPunct/>
        <w:topLinePunct w:val="0"/>
        <w:autoSpaceDE/>
        <w:autoSpaceDN/>
        <w:bidi w:val="0"/>
        <w:spacing w:line="578" w:lineRule="exact"/>
        <w:ind w:firstLine="480" w:firstLineChars="200"/>
        <w:rPr>
          <w:rFonts w:hint="eastAsia" w:ascii="宋体" w:hAnsi="宋体" w:eastAsia="宋体" w:cs="宋体"/>
          <w:sz w:val="24"/>
          <w:szCs w:val="24"/>
        </w:rPr>
      </w:pPr>
      <w:r>
        <w:rPr>
          <w:rFonts w:hint="eastAsia" w:ascii="宋体" w:hAnsi="宋体" w:cs="宋体"/>
          <w:sz w:val="24"/>
          <w:szCs w:val="24"/>
          <w:lang w:val="en-US" w:eastAsia="zh-CN"/>
        </w:rPr>
        <w:t>7</w:t>
      </w:r>
      <w:r>
        <w:rPr>
          <w:rFonts w:hint="eastAsia" w:ascii="宋体" w:hAnsi="宋体" w:eastAsia="宋体" w:cs="宋体"/>
          <w:sz w:val="24"/>
          <w:szCs w:val="24"/>
          <w:lang w:val="en-US" w:eastAsia="zh-CN"/>
        </w:rPr>
        <w:t>.</w:t>
      </w:r>
      <w:r>
        <w:rPr>
          <w:rFonts w:hint="eastAsia" w:ascii="宋体" w:hAnsi="宋体" w:eastAsia="宋体" w:cs="宋体"/>
          <w:sz w:val="24"/>
          <w:szCs w:val="24"/>
        </w:rPr>
        <w:t>本项目不接受联合体投标。</w:t>
      </w:r>
    </w:p>
    <w:p>
      <w:pPr>
        <w:pageBreakBefore w:val="0"/>
        <w:kinsoku/>
        <w:wordWrap/>
        <w:overflowPunct/>
        <w:topLinePunct w:val="0"/>
        <w:autoSpaceDE/>
        <w:autoSpaceDN/>
        <w:bidi w:val="0"/>
        <w:spacing w:line="578" w:lineRule="exact"/>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四、评标定标方法</w:t>
      </w:r>
    </w:p>
    <w:p>
      <w:pPr>
        <w:pStyle w:val="6"/>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Hans"/>
        </w:rPr>
        <w:t>项目</w:t>
      </w:r>
      <w:r>
        <w:rPr>
          <w:rFonts w:hint="eastAsia" w:ascii="宋体" w:hAnsi="宋体" w:eastAsia="宋体" w:cs="宋体"/>
          <w:sz w:val="24"/>
          <w:szCs w:val="24"/>
        </w:rPr>
        <w:t>采用综合评分法，即投标文件满足采购需求文件全部实质性要求，且按照评审因素的量化指标评审得分最高的投标人为中标候选人的评标方法。</w:t>
      </w:r>
      <w:r>
        <w:rPr>
          <w:rFonts w:hint="eastAsia" w:ascii="宋体" w:hAnsi="宋体" w:eastAsia="宋体" w:cs="宋体"/>
          <w:sz w:val="24"/>
          <w:szCs w:val="24"/>
        </w:rPr>
        <w:tab/>
      </w:r>
    </w:p>
    <w:p>
      <w:pPr>
        <w:pStyle w:val="6"/>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宋体" w:hAnsi="宋体" w:eastAsia="宋体" w:cs="宋体"/>
          <w:sz w:val="24"/>
          <w:szCs w:val="24"/>
        </w:rPr>
      </w:pPr>
      <w:r>
        <w:rPr>
          <w:rFonts w:hint="eastAsia" w:ascii="宋体" w:hAnsi="宋体" w:eastAsia="宋体" w:cs="宋体"/>
          <w:sz w:val="24"/>
          <w:szCs w:val="24"/>
        </w:rPr>
        <w:t>确定中标单位按评审后得分由高到低顺序排列。得分相同的，按投标报价</w:t>
      </w:r>
      <w:r>
        <w:rPr>
          <w:rFonts w:hint="eastAsia" w:ascii="宋体" w:hAnsi="宋体" w:cs="宋体"/>
          <w:sz w:val="24"/>
          <w:szCs w:val="24"/>
          <w:lang w:eastAsia="zh-CN"/>
        </w:rPr>
        <w:t>（</w:t>
      </w:r>
      <w:r>
        <w:rPr>
          <w:rFonts w:hint="eastAsia" w:ascii="宋体" w:hAnsi="宋体" w:cs="宋体"/>
          <w:sz w:val="24"/>
          <w:szCs w:val="24"/>
          <w:lang w:val="en-US" w:eastAsia="zh-CN"/>
        </w:rPr>
        <w:t>综合单价）</w:t>
      </w:r>
      <w:r>
        <w:rPr>
          <w:rFonts w:hint="eastAsia" w:ascii="宋体" w:hAnsi="宋体" w:eastAsia="宋体" w:cs="宋体"/>
          <w:sz w:val="24"/>
          <w:szCs w:val="24"/>
        </w:rPr>
        <w:t>由低到高顺序排列。得分且投标报价相同的，按</w:t>
      </w:r>
      <w:r>
        <w:rPr>
          <w:rFonts w:hint="eastAsia" w:ascii="宋体" w:hAnsi="宋体" w:cs="宋体"/>
          <w:sz w:val="24"/>
          <w:szCs w:val="24"/>
          <w:lang w:val="en-US" w:eastAsia="zh-CN"/>
        </w:rPr>
        <w:t>服务质量指标</w:t>
      </w:r>
      <w:r>
        <w:rPr>
          <w:rFonts w:hint="eastAsia" w:ascii="宋体" w:hAnsi="宋体" w:eastAsia="宋体" w:cs="宋体"/>
          <w:sz w:val="24"/>
          <w:szCs w:val="24"/>
        </w:rPr>
        <w:t>优劣顺序排列。</w:t>
      </w:r>
    </w:p>
    <w:p>
      <w:pPr>
        <w:pStyle w:val="6"/>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宋体" w:hAnsi="宋体" w:eastAsia="宋体" w:cs="宋体"/>
          <w:sz w:val="24"/>
          <w:szCs w:val="24"/>
        </w:rPr>
      </w:pPr>
      <w:r>
        <w:rPr>
          <w:rFonts w:hint="eastAsia" w:ascii="宋体" w:hAnsi="宋体" w:eastAsia="宋体" w:cs="宋体"/>
          <w:sz w:val="24"/>
          <w:szCs w:val="24"/>
        </w:rPr>
        <w:t>采购小组会对每个通过资格性检查和符合性检查且报价不超过预</w:t>
      </w:r>
      <w:r>
        <w:rPr>
          <w:rFonts w:hint="eastAsia" w:ascii="宋体" w:hAnsi="宋体" w:cs="宋体"/>
          <w:sz w:val="24"/>
          <w:szCs w:val="24"/>
          <w:lang w:val="en-US" w:eastAsia="zh-CN"/>
        </w:rPr>
        <w:t>设</w:t>
      </w:r>
      <w:r>
        <w:rPr>
          <w:rFonts w:hint="eastAsia" w:ascii="宋体" w:hAnsi="宋体" w:eastAsia="宋体" w:cs="宋体"/>
          <w:sz w:val="24"/>
          <w:szCs w:val="24"/>
        </w:rPr>
        <w:t>金额或投标控制价的投标单位进行评审、打分，然后汇总每个投标单位每项评分因素的评分。</w:t>
      </w:r>
      <w:r>
        <w:rPr>
          <w:rFonts w:hint="eastAsia" w:ascii="宋体" w:hAnsi="宋体" w:eastAsia="宋体" w:cs="宋体"/>
          <w:sz w:val="24"/>
          <w:szCs w:val="24"/>
        </w:rPr>
        <w:tab/>
      </w:r>
    </w:p>
    <w:p>
      <w:pPr>
        <w:pStyle w:val="6"/>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宋体" w:hAnsi="宋体" w:eastAsia="宋体" w:cs="宋体"/>
          <w:sz w:val="24"/>
          <w:szCs w:val="24"/>
        </w:rPr>
      </w:pPr>
      <w:r>
        <w:rPr>
          <w:rFonts w:hint="eastAsia" w:ascii="宋体" w:hAnsi="宋体" w:eastAsia="宋体" w:cs="宋体"/>
          <w:sz w:val="24"/>
          <w:szCs w:val="24"/>
        </w:rPr>
        <w:t>采购小组在评标时，按照以下量化的评审因素，对进入该阶段评审的各投标文件进行分析和比较:</w:t>
      </w:r>
    </w:p>
    <w:p>
      <w:pPr>
        <w:pStyle w:val="6"/>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宋体" w:hAnsi="宋体" w:eastAsia="宋体" w:cs="宋体"/>
          <w:sz w:val="24"/>
          <w:szCs w:val="24"/>
        </w:rPr>
      </w:pPr>
    </w:p>
    <w:p>
      <w:pPr>
        <w:pStyle w:val="6"/>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宋体" w:hAnsi="宋体" w:eastAsia="宋体" w:cs="宋体"/>
          <w:sz w:val="24"/>
          <w:szCs w:val="24"/>
        </w:rPr>
      </w:pPr>
    </w:p>
    <w:p>
      <w:pPr>
        <w:pStyle w:val="6"/>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宋体" w:hAnsi="宋体" w:eastAsia="宋体" w:cs="宋体"/>
          <w:sz w:val="24"/>
          <w:szCs w:val="24"/>
        </w:rPr>
      </w:pPr>
    </w:p>
    <w:p>
      <w:pPr>
        <w:pStyle w:val="6"/>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宋体" w:hAnsi="宋体" w:eastAsia="宋体" w:cs="宋体"/>
          <w:sz w:val="24"/>
          <w:szCs w:val="24"/>
        </w:rPr>
      </w:pPr>
    </w:p>
    <w:p>
      <w:pPr>
        <w:pStyle w:val="6"/>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宋体" w:hAnsi="宋体" w:eastAsia="宋体" w:cs="宋体"/>
          <w:sz w:val="24"/>
          <w:szCs w:val="24"/>
        </w:rPr>
      </w:pPr>
    </w:p>
    <w:p>
      <w:pPr>
        <w:pStyle w:val="6"/>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宋体" w:hAnsi="宋体" w:eastAsia="宋体" w:cs="宋体"/>
          <w:sz w:val="24"/>
          <w:szCs w:val="24"/>
        </w:rPr>
      </w:pPr>
    </w:p>
    <w:p>
      <w:pPr>
        <w:pStyle w:val="6"/>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宋体" w:hAnsi="宋体" w:eastAsia="宋体" w:cs="宋体"/>
          <w:sz w:val="24"/>
          <w:szCs w:val="24"/>
        </w:rPr>
      </w:pPr>
    </w:p>
    <w:p>
      <w:pPr>
        <w:pStyle w:val="6"/>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宋体" w:hAnsi="宋体" w:eastAsia="宋体" w:cs="宋体"/>
          <w:sz w:val="24"/>
          <w:szCs w:val="24"/>
        </w:rPr>
      </w:pPr>
    </w:p>
    <w:p>
      <w:pPr>
        <w:pStyle w:val="6"/>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宋体" w:hAnsi="宋体" w:eastAsia="宋体" w:cs="宋体"/>
          <w:sz w:val="24"/>
          <w:szCs w:val="24"/>
          <w:lang w:val="en-US" w:eastAsia="zh-CN"/>
        </w:rPr>
      </w:pPr>
    </w:p>
    <w:tbl>
      <w:tblPr>
        <w:tblStyle w:val="14"/>
        <w:tblW w:w="9498"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396"/>
        <w:gridCol w:w="629"/>
        <w:gridCol w:w="941"/>
        <w:gridCol w:w="5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4" w:type="dxa"/>
            <w:gridSpan w:val="4"/>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评分项</w:t>
            </w:r>
          </w:p>
        </w:tc>
        <w:tc>
          <w:tcPr>
            <w:tcW w:w="5964"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4" w:type="dxa"/>
            <w:gridSpan w:val="4"/>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价格</w:t>
            </w:r>
          </w:p>
        </w:tc>
        <w:tc>
          <w:tcPr>
            <w:tcW w:w="5964" w:type="dxa"/>
            <w:vAlign w:val="center"/>
          </w:tcPr>
          <w:p>
            <w:pPr>
              <w:jc w:val="center"/>
              <w:rPr>
                <w:rFonts w:hint="default" w:ascii="宋体" w:hAnsi="宋体" w:eastAsia="宋体" w:cs="宋体"/>
                <w:b/>
                <w:sz w:val="24"/>
                <w:szCs w:val="24"/>
                <w:lang w:val="en-US" w:eastAsia="zh-CN"/>
              </w:rPr>
            </w:pPr>
            <w:r>
              <w:rPr>
                <w:rFonts w:hint="eastAsia" w:ascii="宋体" w:hAnsi="宋体" w:cs="宋体"/>
                <w:b/>
                <w:sz w:val="24"/>
                <w:szCs w:val="24"/>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序 号</w:t>
            </w:r>
          </w:p>
        </w:tc>
        <w:tc>
          <w:tcPr>
            <w:tcW w:w="139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评分因素</w:t>
            </w:r>
          </w:p>
        </w:tc>
        <w:tc>
          <w:tcPr>
            <w:tcW w:w="629"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权重</w:t>
            </w:r>
          </w:p>
        </w:tc>
        <w:tc>
          <w:tcPr>
            <w:tcW w:w="94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评分方式</w:t>
            </w:r>
          </w:p>
        </w:tc>
        <w:tc>
          <w:tcPr>
            <w:tcW w:w="596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0" w:hRule="atLeast"/>
        </w:trPr>
        <w:tc>
          <w:tcPr>
            <w:tcW w:w="56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139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价格高低</w:t>
            </w:r>
          </w:p>
        </w:tc>
        <w:tc>
          <w:tcPr>
            <w:tcW w:w="629" w:type="dxa"/>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70</w:t>
            </w:r>
          </w:p>
        </w:tc>
        <w:tc>
          <w:tcPr>
            <w:tcW w:w="94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采购小组打分</w:t>
            </w:r>
          </w:p>
        </w:tc>
        <w:tc>
          <w:tcPr>
            <w:tcW w:w="5964" w:type="dxa"/>
            <w:vAlign w:val="center"/>
          </w:tcPr>
          <w:p>
            <w:pPr>
              <w:rPr>
                <w:rFonts w:hint="eastAsia" w:ascii="宋体" w:hAnsi="宋体" w:eastAsia="宋体" w:cs="宋体"/>
                <w:sz w:val="24"/>
                <w:szCs w:val="24"/>
              </w:rPr>
            </w:pPr>
            <w:r>
              <w:rPr>
                <w:rFonts w:hint="eastAsia" w:ascii="宋体" w:hAnsi="宋体" w:eastAsia="宋体" w:cs="宋体"/>
                <w:sz w:val="24"/>
                <w:szCs w:val="24"/>
              </w:rPr>
              <w:t>满足采购需求要求且投标价格最低的投标报价为评标基准价， 其价格分为满分；其它投标人的价格分统一按照下列公示计算: 投标报价得分=(评标基准价/投标报价)×价格权值×100。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3534" w:type="dxa"/>
            <w:gridSpan w:val="4"/>
            <w:vAlign w:val="center"/>
          </w:tcPr>
          <w:p>
            <w:pPr>
              <w:autoSpaceDE w:val="0"/>
              <w:autoSpaceDN w:val="0"/>
              <w:adjustRightInd w:val="0"/>
              <w:spacing w:line="360" w:lineRule="exact"/>
              <w:jc w:val="center"/>
              <w:rPr>
                <w:rFonts w:hint="eastAsia" w:ascii="宋体" w:hAnsi="宋体" w:eastAsia="宋体" w:cs="宋体"/>
                <w:color w:val="auto"/>
                <w:sz w:val="24"/>
                <w:szCs w:val="24"/>
                <w:lang w:val="en-US" w:eastAsia="zh-CN"/>
              </w:rPr>
            </w:pPr>
            <w:r>
              <w:rPr>
                <w:rFonts w:hint="eastAsia" w:ascii="宋体" w:hAnsi="宋体" w:cs="宋体"/>
                <w:b/>
                <w:bCs/>
                <w:color w:val="auto"/>
                <w:sz w:val="24"/>
                <w:szCs w:val="24"/>
                <w:lang w:val="en-US" w:eastAsia="zh-CN"/>
              </w:rPr>
              <w:t>服务质量指标</w:t>
            </w:r>
          </w:p>
        </w:tc>
        <w:tc>
          <w:tcPr>
            <w:tcW w:w="5964" w:type="dxa"/>
            <w:vAlign w:val="center"/>
          </w:tcPr>
          <w:p>
            <w:pPr>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4" w:hRule="atLeast"/>
        </w:trPr>
        <w:tc>
          <w:tcPr>
            <w:tcW w:w="568"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ab/>
            </w:r>
          </w:p>
        </w:tc>
        <w:tc>
          <w:tcPr>
            <w:tcW w:w="1396" w:type="dxa"/>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项目服务质量保障</w:t>
            </w:r>
          </w:p>
          <w:p>
            <w:pPr>
              <w:jc w:val="center"/>
              <w:rPr>
                <w:rFonts w:hint="eastAsia" w:ascii="宋体" w:hAnsi="宋体" w:eastAsia="宋体" w:cs="宋体"/>
                <w:color w:val="auto"/>
                <w:sz w:val="24"/>
                <w:szCs w:val="24"/>
                <w:lang w:val="en-US" w:eastAsia="zh-CN"/>
              </w:rPr>
            </w:pPr>
          </w:p>
        </w:tc>
        <w:tc>
          <w:tcPr>
            <w:tcW w:w="629" w:type="dxa"/>
            <w:vAlign w:val="center"/>
          </w:tcPr>
          <w:p>
            <w:pPr>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8</w:t>
            </w:r>
          </w:p>
        </w:tc>
        <w:tc>
          <w:tcPr>
            <w:tcW w:w="941"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采购小组 打分</w:t>
            </w:r>
          </w:p>
        </w:tc>
        <w:tc>
          <w:tcPr>
            <w:tcW w:w="5964"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（一）评审标准：</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在投标文件中说明投标人对本项目的管控及如何满足招标文件中的要求，内容包括但不限于质量保障措施、完成时间保障措施、应急管理措施等</w:t>
            </w:r>
            <w:r>
              <w:rPr>
                <w:rFonts w:hint="eastAsia" w:ascii="宋体" w:hAnsi="宋体" w:cs="宋体"/>
                <w:sz w:val="24"/>
                <w:szCs w:val="24"/>
                <w:lang w:val="en-US" w:eastAsia="zh-CN"/>
              </w:rPr>
              <w:t>。</w:t>
            </w:r>
          </w:p>
          <w:p>
            <w:pPr>
              <w:rPr>
                <w:rFonts w:hint="eastAsia" w:ascii="宋体" w:hAnsi="宋体" w:eastAsia="宋体" w:cs="宋体"/>
                <w:color w:val="auto"/>
                <w:sz w:val="24"/>
                <w:szCs w:val="24"/>
              </w:rPr>
            </w:pPr>
            <w:r>
              <w:rPr>
                <w:rFonts w:hint="eastAsia" w:ascii="宋体" w:hAnsi="宋体" w:eastAsia="宋体" w:cs="宋体"/>
                <w:sz w:val="24"/>
                <w:szCs w:val="24"/>
              </w:rPr>
              <w:t>（</w:t>
            </w:r>
            <w:r>
              <w:rPr>
                <w:rFonts w:hint="eastAsia" w:ascii="宋体" w:hAnsi="宋体" w:eastAsia="宋体" w:cs="宋体"/>
                <w:color w:val="auto"/>
                <w:sz w:val="24"/>
                <w:szCs w:val="24"/>
              </w:rPr>
              <w:t>二）</w:t>
            </w:r>
          </w:p>
          <w:p>
            <w:pPr>
              <w:rPr>
                <w:rFonts w:hint="eastAsia" w:ascii="宋体" w:hAnsi="宋体" w:eastAsia="宋体" w:cs="宋体"/>
                <w:color w:val="auto"/>
                <w:sz w:val="24"/>
                <w:szCs w:val="24"/>
              </w:rPr>
            </w:pPr>
            <w:r>
              <w:rPr>
                <w:rFonts w:hint="eastAsia" w:ascii="宋体" w:hAnsi="宋体" w:eastAsia="宋体" w:cs="宋体"/>
                <w:sz w:val="24"/>
                <w:szCs w:val="24"/>
                <w:lang w:val="en-US" w:eastAsia="zh-CN"/>
              </w:rPr>
              <w:t xml:space="preserve">按照投标文件响应情况进行横向比较，分档评分，评价为优得 </w:t>
            </w:r>
            <w:r>
              <w:rPr>
                <w:rFonts w:hint="eastAsia" w:ascii="宋体" w:hAnsi="宋体" w:cs="宋体"/>
                <w:sz w:val="24"/>
                <w:szCs w:val="24"/>
                <w:lang w:val="en-US" w:eastAsia="zh-CN"/>
              </w:rPr>
              <w:t>8-7</w:t>
            </w:r>
            <w:r>
              <w:rPr>
                <w:rFonts w:hint="eastAsia" w:ascii="宋体" w:hAnsi="宋体" w:eastAsia="宋体" w:cs="宋体"/>
                <w:sz w:val="24"/>
                <w:szCs w:val="24"/>
                <w:lang w:val="en-US" w:eastAsia="zh-CN"/>
              </w:rPr>
              <w:t xml:space="preserve">分；评价为良得 </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 xml:space="preserve">分；评价为中得 </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3</w:t>
            </w:r>
            <w:r>
              <w:rPr>
                <w:rFonts w:hint="eastAsia" w:ascii="宋体" w:hAnsi="宋体" w:eastAsia="宋体" w:cs="宋体"/>
                <w:sz w:val="24"/>
                <w:szCs w:val="24"/>
                <w:lang w:val="en-US" w:eastAsia="zh-CN"/>
              </w:rPr>
              <w:t xml:space="preserve"> 分；评为差不得分。评价为“中”或“差”评委须书面说明情况。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9" w:hRule="atLeast"/>
        </w:trPr>
        <w:tc>
          <w:tcPr>
            <w:tcW w:w="568" w:type="dxa"/>
            <w:vAlign w:val="center"/>
          </w:tcPr>
          <w:p>
            <w:pPr>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3</w:t>
            </w:r>
          </w:p>
        </w:tc>
        <w:tc>
          <w:tcPr>
            <w:tcW w:w="1396" w:type="dxa"/>
            <w:vAlign w:val="center"/>
          </w:tcPr>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同类项目</w:t>
            </w:r>
          </w:p>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开展经验</w:t>
            </w:r>
          </w:p>
        </w:tc>
        <w:tc>
          <w:tcPr>
            <w:tcW w:w="629" w:type="dxa"/>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c>
          <w:tcPr>
            <w:tcW w:w="941" w:type="dxa"/>
            <w:vAlign w:val="center"/>
          </w:tcPr>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采购小组打分</w:t>
            </w:r>
          </w:p>
        </w:tc>
        <w:tc>
          <w:tcPr>
            <w:tcW w:w="5964" w:type="dxa"/>
            <w:vAlign w:val="center"/>
          </w:tcPr>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（一）评审标准：</w:t>
            </w:r>
          </w:p>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2018年1月1日至今，投标人对政府或行政事业单位垃圾分类项目经验丰富，具有垃圾分类达标小区创建或城中村生活垃圾集中分类投放点，根据签订的同类服务合同计算，每项得2分，满分为10分。</w:t>
            </w:r>
          </w:p>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（二）证明文件：</w:t>
            </w:r>
          </w:p>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提供合同关键页。未按要求提供有效证明材料或提供不清晰导致评委无法识别的不计得分。</w:t>
            </w:r>
            <w:r>
              <w:rPr>
                <w:rFonts w:hint="eastAsia" w:ascii="宋体" w:hAnsi="宋体" w:eastAsia="宋体" w:cs="宋体"/>
                <w:color w:val="auto"/>
                <w:sz w:val="24"/>
                <w:szCs w:val="24"/>
                <w:lang w:val="en-US"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9" w:hRule="atLeast"/>
        </w:trPr>
        <w:tc>
          <w:tcPr>
            <w:tcW w:w="568" w:type="dxa"/>
            <w:vAlign w:val="center"/>
          </w:tcPr>
          <w:p>
            <w:pPr>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4</w:t>
            </w:r>
          </w:p>
        </w:tc>
        <w:tc>
          <w:tcPr>
            <w:tcW w:w="1396" w:type="dxa"/>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业主评价</w:t>
            </w:r>
          </w:p>
        </w:tc>
        <w:tc>
          <w:tcPr>
            <w:tcW w:w="629" w:type="dxa"/>
            <w:vAlign w:val="center"/>
          </w:tcPr>
          <w:p>
            <w:pPr>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10</w:t>
            </w:r>
          </w:p>
        </w:tc>
        <w:tc>
          <w:tcPr>
            <w:tcW w:w="941"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采购小组 打分</w:t>
            </w:r>
          </w:p>
        </w:tc>
        <w:tc>
          <w:tcPr>
            <w:tcW w:w="5964" w:type="dxa"/>
            <w:vAlign w:val="center"/>
          </w:tcPr>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投标人提供2018年1月1日至今，承接同类项目服务、质量等方面的业主评价，结果视为满意或良好或以上的</w:t>
            </w:r>
            <w:r>
              <w:rPr>
                <w:rFonts w:hint="eastAsia" w:ascii="宋体" w:hAnsi="宋体" w:cs="宋体"/>
                <w:color w:val="auto"/>
                <w:sz w:val="24"/>
                <w:szCs w:val="24"/>
                <w:lang w:val="en-US" w:eastAsia="zh-CN"/>
              </w:rPr>
              <w:t>（货物类项目评价验收为合格或以上）</w:t>
            </w:r>
            <w:r>
              <w:rPr>
                <w:rFonts w:hint="eastAsia" w:ascii="宋体" w:hAnsi="宋体" w:eastAsia="宋体" w:cs="宋体"/>
                <w:color w:val="auto"/>
                <w:sz w:val="24"/>
                <w:szCs w:val="24"/>
                <w:lang w:val="en-US" w:eastAsia="zh-CN"/>
              </w:rPr>
              <w:t>每个得</w:t>
            </w: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分，满分为</w:t>
            </w:r>
            <w:r>
              <w:rPr>
                <w:rFonts w:hint="eastAsia" w:ascii="宋体" w:hAnsi="宋体" w:cs="宋体"/>
                <w:color w:val="auto"/>
                <w:sz w:val="24"/>
                <w:szCs w:val="24"/>
                <w:lang w:val="en-US" w:eastAsia="zh-CN"/>
              </w:rPr>
              <w:t>10</w:t>
            </w:r>
            <w:r>
              <w:rPr>
                <w:rFonts w:hint="eastAsia" w:ascii="宋体" w:hAnsi="宋体" w:eastAsia="宋体" w:cs="宋体"/>
                <w:color w:val="auto"/>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9" w:hRule="atLeast"/>
        </w:trPr>
        <w:tc>
          <w:tcPr>
            <w:tcW w:w="568" w:type="dxa"/>
            <w:vAlign w:val="center"/>
          </w:tcPr>
          <w:p>
            <w:pPr>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5</w:t>
            </w:r>
          </w:p>
        </w:tc>
        <w:tc>
          <w:tcPr>
            <w:tcW w:w="1396"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诚信评审</w:t>
            </w:r>
          </w:p>
        </w:tc>
        <w:tc>
          <w:tcPr>
            <w:tcW w:w="629" w:type="dxa"/>
            <w:vAlign w:val="center"/>
          </w:tcPr>
          <w:p>
            <w:pPr>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w:t>
            </w:r>
          </w:p>
        </w:tc>
        <w:tc>
          <w:tcPr>
            <w:tcW w:w="941"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采购小组 打分</w:t>
            </w:r>
          </w:p>
        </w:tc>
        <w:tc>
          <w:tcPr>
            <w:tcW w:w="5964" w:type="dxa"/>
            <w:vAlign w:val="center"/>
          </w:tcPr>
          <w:p>
            <w:pPr>
              <w:pStyle w:val="15"/>
              <w:numPr>
                <w:ilvl w:val="0"/>
                <w:numId w:val="1"/>
              </w:numPr>
              <w:ind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评审标准： </w:t>
            </w:r>
          </w:p>
          <w:p>
            <w:pPr>
              <w:pStyle w:val="2"/>
              <w:rPr>
                <w:rFonts w:hint="eastAsia" w:ascii="宋体" w:hAnsi="宋体" w:eastAsia="宋体" w:cs="宋体"/>
                <w:color w:val="auto"/>
                <w:sz w:val="24"/>
                <w:szCs w:val="24"/>
              </w:rPr>
            </w:pPr>
            <w:r>
              <w:rPr>
                <w:rFonts w:hint="eastAsia" w:ascii="宋体" w:hAnsi="宋体" w:eastAsia="宋体" w:cs="宋体"/>
                <w:color w:val="auto"/>
                <w:sz w:val="24"/>
                <w:szCs w:val="24"/>
              </w:rPr>
              <w:t>投标人参与政府采购活动在诚信管理中受过主管部门通报处理且仍在实施期限内的本项不得分，否则得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w:t>
            </w:r>
          </w:p>
          <w:p>
            <w:pPr>
              <w:rPr>
                <w:rFonts w:hint="eastAsia" w:ascii="宋体" w:hAnsi="宋体" w:eastAsia="宋体" w:cs="宋体"/>
                <w:color w:val="auto"/>
                <w:sz w:val="24"/>
                <w:szCs w:val="24"/>
              </w:rPr>
            </w:pPr>
            <w:r>
              <w:rPr>
                <w:rFonts w:hint="eastAsia" w:ascii="宋体" w:hAnsi="宋体" w:eastAsia="宋体" w:cs="宋体"/>
                <w:color w:val="auto"/>
                <w:sz w:val="24"/>
                <w:szCs w:val="24"/>
              </w:rPr>
              <w:t>（二）证明文件：</w:t>
            </w:r>
          </w:p>
          <w:p>
            <w:pPr>
              <w:pStyle w:val="2"/>
              <w:rPr>
                <w:rFonts w:hint="eastAsia" w:ascii="宋体" w:hAnsi="宋体" w:eastAsia="宋体" w:cs="宋体"/>
                <w:color w:val="auto"/>
                <w:sz w:val="24"/>
                <w:szCs w:val="24"/>
              </w:rPr>
            </w:pPr>
            <w:r>
              <w:rPr>
                <w:rFonts w:hint="eastAsia" w:ascii="宋体" w:hAnsi="宋体" w:eastAsia="宋体" w:cs="宋体"/>
                <w:color w:val="auto"/>
                <w:sz w:val="24"/>
                <w:szCs w:val="24"/>
              </w:rPr>
              <w:t>投标人须如实提供《诚信承诺函》原件加盖投标人公章，且承诺函格式及内容不得修改，否则不得分。如若投标人承诺与实际情况不相符，将按虚假应标报相关主管部门处理。</w:t>
            </w:r>
          </w:p>
        </w:tc>
      </w:tr>
    </w:tbl>
    <w:p>
      <w:pPr>
        <w:pStyle w:val="6"/>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outlineLvl w:val="9"/>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五、商务需求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（一）</w:t>
      </w:r>
      <w:r>
        <w:rPr>
          <w:rFonts w:hint="eastAsia" w:ascii="宋体" w:hAnsi="宋体" w:cs="宋体"/>
          <w:sz w:val="24"/>
          <w:szCs w:val="24"/>
          <w:lang w:val="en-US" w:eastAsia="zh-CN"/>
        </w:rPr>
        <w:t>送货期限及保修期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s="宋体"/>
          <w:sz w:val="24"/>
          <w:szCs w:val="24"/>
          <w:lang w:val="en-US" w:eastAsia="zh-CN"/>
        </w:rPr>
      </w:pPr>
      <w:r>
        <w:rPr>
          <w:rFonts w:hint="eastAsia" w:ascii="宋体" w:hAnsi="宋体" w:eastAsia="宋体" w:cs="宋体"/>
          <w:sz w:val="24"/>
          <w:szCs w:val="24"/>
          <w:lang w:val="en-US" w:eastAsia="zh-CN"/>
        </w:rPr>
        <w:t>服务期为：</w:t>
      </w:r>
      <w:r>
        <w:rPr>
          <w:rFonts w:hint="eastAsia" w:ascii="宋体" w:hAnsi="宋体" w:cs="宋体"/>
          <w:sz w:val="24"/>
          <w:szCs w:val="24"/>
          <w:lang w:val="en-US" w:eastAsia="zh-CN"/>
        </w:rPr>
        <w:t>合同签订之日起</w:t>
      </w:r>
      <w:r>
        <w:rPr>
          <w:rFonts w:hint="eastAsia" w:ascii="宋体" w:hAnsi="宋体" w:cs="宋体"/>
          <w:b/>
          <w:bCs/>
          <w:sz w:val="24"/>
          <w:szCs w:val="24"/>
          <w:lang w:val="en-US" w:eastAsia="zh-CN"/>
        </w:rPr>
        <w:t>10日内</w:t>
      </w:r>
      <w:r>
        <w:rPr>
          <w:rFonts w:hint="eastAsia" w:ascii="宋体" w:hAnsi="宋体" w:cs="宋体"/>
          <w:sz w:val="24"/>
          <w:szCs w:val="24"/>
          <w:lang w:val="en-US" w:eastAsia="zh-CN"/>
        </w:rPr>
        <w:t>完成密闭桶配送。</w:t>
      </w:r>
    </w:p>
    <w:p>
      <w:pPr>
        <w:keepNext w:val="0"/>
        <w:keepLines w:val="0"/>
        <w:widowControl/>
        <w:suppressLineNumbers w:val="0"/>
        <w:jc w:val="left"/>
        <w:textAlignment w:val="center"/>
        <w:rPr>
          <w:rFonts w:hint="eastAsia" w:ascii="宋体" w:hAnsi="宋体" w:cs="宋体"/>
          <w:sz w:val="24"/>
          <w:szCs w:val="24"/>
          <w:lang w:val="en-US" w:eastAsia="zh-CN"/>
        </w:rPr>
      </w:pP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 保修期为：保修期不少于1年，保修期内本项目涉及的分类设施设备宣传标语字体出现模糊、非人为</w:t>
      </w:r>
      <w:r>
        <w:rPr>
          <w:rFonts w:hint="eastAsia" w:ascii="宋体" w:hAnsi="宋体" w:cs="宋体"/>
          <w:sz w:val="24"/>
          <w:szCs w:val="24"/>
          <w:lang w:val="en-US" w:eastAsia="zh-CN"/>
        </w:rPr>
        <w:t>、自然力</w:t>
      </w:r>
      <w:r>
        <w:rPr>
          <w:rFonts w:hint="eastAsia" w:ascii="宋体" w:hAnsi="宋体" w:eastAsia="宋体" w:cs="宋体"/>
          <w:sz w:val="24"/>
          <w:szCs w:val="24"/>
          <w:lang w:val="en-US" w:eastAsia="zh-CN"/>
        </w:rPr>
        <w:t>原因导致变形、破损等情况，中标人须提供免费维修或更换。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（二）服务地点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cs="宋体"/>
          <w:sz w:val="24"/>
          <w:szCs w:val="24"/>
          <w:lang w:val="en-US" w:eastAsia="zh-CN"/>
        </w:rPr>
        <w:t>坪山区</w:t>
      </w:r>
      <w:r>
        <w:rPr>
          <w:rFonts w:hint="eastAsia" w:ascii="宋体" w:hAnsi="宋体" w:eastAsia="宋体" w:cs="宋体"/>
          <w:sz w:val="24"/>
          <w:szCs w:val="24"/>
          <w:lang w:val="en-US" w:eastAsia="zh-CN"/>
        </w:rPr>
        <w:t>碧岭街道行政辖区范围内。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（三）报价要求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1.本项目服务费采用包干制，应包括服务成本、法定税费和企业的利润。由投标</w:t>
      </w:r>
      <w:r>
        <w:rPr>
          <w:rFonts w:hint="eastAsia" w:ascii="宋体" w:hAnsi="宋体" w:eastAsia="宋体" w:cs="宋体"/>
          <w:sz w:val="24"/>
          <w:szCs w:val="24"/>
          <w:lang w:val="en-US" w:eastAsia="zh-CN"/>
        </w:rPr>
        <w:t>人</w:t>
      </w:r>
      <w:r>
        <w:rPr>
          <w:rFonts w:hint="eastAsia" w:ascii="宋体" w:hAnsi="宋体" w:eastAsia="宋体" w:cs="宋体"/>
          <w:sz w:val="24"/>
          <w:szCs w:val="24"/>
        </w:rPr>
        <w:t>根据采购文件所提供的资料自行测算投标报价；一经中标，报价</w:t>
      </w:r>
      <w:r>
        <w:rPr>
          <w:rFonts w:hint="eastAsia" w:ascii="宋体" w:hAnsi="宋体" w:cs="宋体"/>
          <w:sz w:val="24"/>
          <w:szCs w:val="24"/>
          <w:lang w:val="en-US" w:eastAsia="zh-CN"/>
        </w:rPr>
        <w:t>的价格</w:t>
      </w:r>
      <w:r>
        <w:rPr>
          <w:rFonts w:hint="eastAsia" w:ascii="宋体" w:hAnsi="宋体" w:eastAsia="宋体" w:cs="宋体"/>
          <w:sz w:val="24"/>
          <w:szCs w:val="24"/>
        </w:rPr>
        <w:t>作为中标</w:t>
      </w:r>
      <w:r>
        <w:rPr>
          <w:rFonts w:hint="eastAsia" w:ascii="宋体" w:hAnsi="宋体" w:eastAsia="宋体" w:cs="宋体"/>
          <w:sz w:val="24"/>
          <w:szCs w:val="24"/>
          <w:lang w:val="en-US" w:eastAsia="zh-CN"/>
        </w:rPr>
        <w:t>人</w:t>
      </w:r>
      <w:r>
        <w:rPr>
          <w:rFonts w:hint="eastAsia" w:ascii="宋体" w:hAnsi="宋体" w:eastAsia="宋体" w:cs="宋体"/>
          <w:sz w:val="24"/>
          <w:szCs w:val="24"/>
        </w:rPr>
        <w:t>与采购人签定的合同金额，合同期限内不做调整。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2.投标</w:t>
      </w:r>
      <w:r>
        <w:rPr>
          <w:rFonts w:hint="eastAsia" w:ascii="宋体" w:hAnsi="宋体" w:cs="宋体"/>
          <w:sz w:val="24"/>
          <w:szCs w:val="24"/>
          <w:lang w:val="en-US" w:eastAsia="zh-CN"/>
        </w:rPr>
        <w:t>人</w:t>
      </w:r>
      <w:r>
        <w:rPr>
          <w:rFonts w:hint="eastAsia" w:ascii="宋体" w:hAnsi="宋体" w:eastAsia="宋体" w:cs="宋体"/>
          <w:sz w:val="24"/>
          <w:szCs w:val="24"/>
        </w:rPr>
        <w:t>应当根据本企业的成本自行决定报价，但不得以低于其企业成本的报价投标。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3</w:t>
      </w:r>
      <w:r>
        <w:rPr>
          <w:rFonts w:hint="eastAsia" w:ascii="宋体" w:hAnsi="宋体" w:eastAsia="宋体" w:cs="宋体"/>
          <w:sz w:val="24"/>
          <w:szCs w:val="24"/>
        </w:rPr>
        <w:t>.投标</w:t>
      </w:r>
      <w:r>
        <w:rPr>
          <w:rFonts w:hint="eastAsia" w:ascii="宋体" w:hAnsi="宋体" w:cs="宋体"/>
          <w:sz w:val="24"/>
          <w:szCs w:val="24"/>
          <w:lang w:val="en-US" w:eastAsia="zh-CN"/>
        </w:rPr>
        <w:t>人</w:t>
      </w:r>
      <w:r>
        <w:rPr>
          <w:rFonts w:hint="eastAsia" w:ascii="宋体" w:hAnsi="宋体" w:eastAsia="宋体" w:cs="宋体"/>
          <w:sz w:val="24"/>
          <w:szCs w:val="24"/>
        </w:rPr>
        <w:t>的报价，应当是本项目采购范围和采购文件及合同条款上所列的各项内容中所述的全部，不得以任何理由予以重复。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4</w:t>
      </w:r>
      <w:r>
        <w:rPr>
          <w:rFonts w:hint="eastAsia" w:ascii="宋体" w:hAnsi="宋体" w:eastAsia="宋体" w:cs="宋体"/>
          <w:sz w:val="24"/>
          <w:szCs w:val="24"/>
        </w:rPr>
        <w:t>.除非采购人通过修改采购文件予以更正，否则，投标</w:t>
      </w:r>
      <w:r>
        <w:rPr>
          <w:rFonts w:hint="eastAsia" w:ascii="宋体" w:hAnsi="宋体" w:cs="宋体"/>
          <w:sz w:val="24"/>
          <w:szCs w:val="24"/>
          <w:lang w:val="en-US" w:eastAsia="zh-CN"/>
        </w:rPr>
        <w:t>人</w:t>
      </w:r>
      <w:r>
        <w:rPr>
          <w:rFonts w:hint="eastAsia" w:ascii="宋体" w:hAnsi="宋体" w:eastAsia="宋体" w:cs="宋体"/>
          <w:sz w:val="24"/>
          <w:szCs w:val="24"/>
        </w:rPr>
        <w:t>毫无例外地按响应文件所列的清单中项目和数量填报综合单价和合价。投标</w:t>
      </w:r>
      <w:r>
        <w:rPr>
          <w:rFonts w:hint="eastAsia" w:ascii="宋体" w:hAnsi="宋体" w:cs="宋体"/>
          <w:sz w:val="24"/>
          <w:szCs w:val="24"/>
          <w:lang w:val="en-US" w:eastAsia="zh-CN"/>
        </w:rPr>
        <w:t>人</w:t>
      </w:r>
      <w:r>
        <w:rPr>
          <w:rFonts w:hint="eastAsia" w:ascii="宋体" w:hAnsi="宋体" w:eastAsia="宋体" w:cs="宋体"/>
          <w:sz w:val="24"/>
          <w:szCs w:val="24"/>
        </w:rPr>
        <w:t>未填综合单价或合价的项目，在实施后，将不得以支付，并视作该项费用已包括在其它有价款的综合单价或合价内。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5</w:t>
      </w:r>
      <w:r>
        <w:rPr>
          <w:rFonts w:hint="eastAsia" w:ascii="宋体" w:hAnsi="宋体" w:eastAsia="宋体" w:cs="宋体"/>
          <w:sz w:val="24"/>
          <w:szCs w:val="24"/>
        </w:rPr>
        <w:t>.投标</w:t>
      </w:r>
      <w:r>
        <w:rPr>
          <w:rFonts w:hint="eastAsia" w:ascii="宋体" w:hAnsi="宋体" w:cs="宋体"/>
          <w:sz w:val="24"/>
          <w:szCs w:val="24"/>
          <w:lang w:val="en-US" w:eastAsia="zh-CN"/>
        </w:rPr>
        <w:t>人</w:t>
      </w:r>
      <w:r>
        <w:rPr>
          <w:rFonts w:hint="eastAsia" w:ascii="宋体" w:hAnsi="宋体" w:eastAsia="宋体" w:cs="宋体"/>
          <w:sz w:val="24"/>
          <w:szCs w:val="24"/>
        </w:rPr>
        <w:t>应先到项目地点踏勘以充分了解项目的位置、情况、道路及任何其它足以影响投标报价的情况，任何因忽视或误解项目情况而导致的索赔或服务期限延长申请将不获批准。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6</w:t>
      </w:r>
      <w:r>
        <w:rPr>
          <w:rFonts w:hint="eastAsia" w:ascii="宋体" w:hAnsi="宋体" w:eastAsia="宋体" w:cs="宋体"/>
          <w:sz w:val="24"/>
          <w:szCs w:val="24"/>
        </w:rPr>
        <w:t>.投标</w:t>
      </w:r>
      <w:r>
        <w:rPr>
          <w:rFonts w:hint="eastAsia" w:ascii="宋体" w:hAnsi="宋体" w:cs="宋体"/>
          <w:sz w:val="24"/>
          <w:szCs w:val="24"/>
          <w:lang w:val="en-US" w:eastAsia="zh-CN"/>
        </w:rPr>
        <w:t>人</w:t>
      </w:r>
      <w:r>
        <w:rPr>
          <w:rFonts w:hint="eastAsia" w:ascii="宋体" w:hAnsi="宋体" w:eastAsia="宋体" w:cs="宋体"/>
          <w:sz w:val="24"/>
          <w:szCs w:val="24"/>
        </w:rPr>
        <w:t>不得期望通过索赔等方式获取补偿，否则，除可能遭到拒绝外，还可能将被作为不良行为记录在案，并可能影响其以后参加政府采购的项目投标。各投标</w:t>
      </w:r>
      <w:r>
        <w:rPr>
          <w:rFonts w:hint="eastAsia" w:ascii="宋体" w:hAnsi="宋体" w:cs="宋体"/>
          <w:sz w:val="24"/>
          <w:szCs w:val="24"/>
          <w:lang w:val="en-US" w:eastAsia="zh-CN"/>
        </w:rPr>
        <w:t>人</w:t>
      </w:r>
      <w:r>
        <w:rPr>
          <w:rFonts w:hint="eastAsia" w:ascii="宋体" w:hAnsi="宋体" w:eastAsia="宋体" w:cs="宋体"/>
          <w:sz w:val="24"/>
          <w:szCs w:val="24"/>
        </w:rPr>
        <w:t>在报价时，应充分考虑报价的风险。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（四）付款方式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cs="宋体"/>
          <w:sz w:val="24"/>
          <w:szCs w:val="24"/>
          <w:lang w:val="en-US" w:eastAsia="zh-CN"/>
        </w:rPr>
        <w:t>1.具体付款方式以实际签订合同为准</w:t>
      </w:r>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2.具体按深圳市坪山区财政局及碧岭街道办事处有关规定执行。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（五）履约担保金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本项目不设履约担保金。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（六）违约责任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lang w:val="en-US" w:eastAsia="zh-CN"/>
        </w:rPr>
      </w:pPr>
      <w:r>
        <w:rPr>
          <w:rFonts w:hint="eastAsia" w:ascii="宋体" w:hAnsi="宋体" w:eastAsia="宋体" w:cs="宋体"/>
          <w:sz w:val="24"/>
          <w:szCs w:val="24"/>
          <w:lang w:val="en-US" w:eastAsia="zh-CN"/>
        </w:rPr>
        <w:t>具体由中标人与采购人在起草合同文本时，双方协商拟定。</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ascii="宋体" w:hAnsi="宋体" w:eastAsia="宋体" w:cs="宋体"/>
          <w:b/>
          <w:bCs/>
          <w:color w:val="000000"/>
          <w:sz w:val="24"/>
          <w:szCs w:val="24"/>
        </w:rPr>
      </w:pPr>
      <w:r>
        <w:rPr>
          <w:rFonts w:hint="eastAsia" w:ascii="宋体" w:hAnsi="宋体" w:cs="宋体"/>
          <w:b/>
          <w:bCs/>
          <w:color w:val="000000"/>
          <w:sz w:val="24"/>
          <w:szCs w:val="24"/>
          <w:lang w:val="en-US" w:eastAsia="zh-CN"/>
        </w:rPr>
        <w:t>六、</w:t>
      </w:r>
      <w:r>
        <w:rPr>
          <w:rFonts w:hint="eastAsia" w:ascii="宋体" w:hAnsi="宋体" w:eastAsia="宋体" w:cs="宋体"/>
          <w:b/>
          <w:bCs/>
          <w:color w:val="000000"/>
          <w:sz w:val="24"/>
          <w:szCs w:val="24"/>
        </w:rPr>
        <w:t>供应商情况介绍</w:t>
      </w:r>
    </w:p>
    <w:tbl>
      <w:tblPr>
        <w:tblStyle w:val="13"/>
        <w:tblW w:w="9231"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2530"/>
        <w:gridCol w:w="4187"/>
        <w:gridCol w:w="183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678" w:type="dxa"/>
            <w:vAlign w:val="center"/>
          </w:tcPr>
          <w:p>
            <w:pPr>
              <w:spacing w:line="560" w:lineRule="exact"/>
              <w:jc w:val="center"/>
              <w:rPr>
                <w:rFonts w:ascii="仿宋" w:hAnsi="仿宋" w:eastAsia="仿宋" w:cs="仿宋"/>
                <w:b/>
                <w:sz w:val="32"/>
                <w:szCs w:val="32"/>
              </w:rPr>
            </w:pPr>
            <w:r>
              <w:rPr>
                <w:rFonts w:hint="eastAsia" w:ascii="仿宋" w:hAnsi="仿宋" w:eastAsia="仿宋" w:cs="仿宋"/>
                <w:b/>
                <w:sz w:val="32"/>
                <w:szCs w:val="32"/>
              </w:rPr>
              <w:t>序号</w:t>
            </w:r>
          </w:p>
        </w:tc>
        <w:tc>
          <w:tcPr>
            <w:tcW w:w="2530" w:type="dxa"/>
          </w:tcPr>
          <w:p>
            <w:pPr>
              <w:spacing w:line="560" w:lineRule="exact"/>
              <w:jc w:val="center"/>
              <w:rPr>
                <w:rFonts w:ascii="仿宋" w:hAnsi="仿宋" w:eastAsia="仿宋" w:cs="仿宋"/>
                <w:b/>
                <w:sz w:val="32"/>
                <w:szCs w:val="32"/>
              </w:rPr>
            </w:pPr>
            <w:r>
              <w:rPr>
                <w:rFonts w:hint="eastAsia" w:ascii="仿宋" w:hAnsi="仿宋" w:eastAsia="仿宋" w:cs="仿宋"/>
                <w:b/>
                <w:sz w:val="32"/>
                <w:szCs w:val="32"/>
              </w:rPr>
              <w:t>项目</w:t>
            </w:r>
          </w:p>
        </w:tc>
        <w:tc>
          <w:tcPr>
            <w:tcW w:w="4187" w:type="dxa"/>
            <w:vAlign w:val="center"/>
          </w:tcPr>
          <w:p>
            <w:pPr>
              <w:spacing w:line="560" w:lineRule="exact"/>
              <w:jc w:val="center"/>
              <w:rPr>
                <w:rFonts w:ascii="仿宋" w:hAnsi="仿宋" w:eastAsia="仿宋" w:cs="仿宋"/>
                <w:b/>
                <w:sz w:val="32"/>
                <w:szCs w:val="32"/>
              </w:rPr>
            </w:pPr>
            <w:r>
              <w:rPr>
                <w:rFonts w:hint="eastAsia" w:ascii="仿宋" w:hAnsi="仿宋" w:eastAsia="仿宋" w:cs="仿宋"/>
                <w:b/>
                <w:sz w:val="32"/>
                <w:szCs w:val="32"/>
              </w:rPr>
              <w:t>内容及说明</w:t>
            </w:r>
          </w:p>
        </w:tc>
        <w:tc>
          <w:tcPr>
            <w:tcW w:w="1836" w:type="dxa"/>
            <w:vAlign w:val="center"/>
          </w:tcPr>
          <w:p>
            <w:pPr>
              <w:spacing w:line="560" w:lineRule="exact"/>
              <w:jc w:val="center"/>
              <w:rPr>
                <w:rFonts w:ascii="仿宋" w:hAnsi="仿宋" w:eastAsia="仿宋" w:cs="仿宋"/>
                <w:b/>
                <w:sz w:val="32"/>
                <w:szCs w:val="32"/>
              </w:rPr>
            </w:pPr>
            <w:r>
              <w:rPr>
                <w:rFonts w:hint="eastAsia" w:ascii="仿宋" w:hAnsi="仿宋" w:eastAsia="仿宋" w:cs="仿宋"/>
                <w:b/>
                <w:sz w:val="32"/>
                <w:szCs w:val="3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678" w:type="dxa"/>
            <w:vAlign w:val="center"/>
          </w:tcPr>
          <w:p>
            <w:pPr>
              <w:spacing w:line="560" w:lineRule="exact"/>
              <w:jc w:val="center"/>
              <w:rPr>
                <w:rFonts w:ascii="仿宋" w:hAnsi="仿宋" w:eastAsia="仿宋" w:cs="仿宋"/>
                <w:b/>
                <w:sz w:val="32"/>
                <w:szCs w:val="32"/>
              </w:rPr>
            </w:pPr>
            <w:r>
              <w:rPr>
                <w:rFonts w:hint="eastAsia" w:ascii="仿宋" w:hAnsi="仿宋" w:eastAsia="仿宋" w:cs="仿宋"/>
                <w:b/>
                <w:sz w:val="32"/>
                <w:szCs w:val="32"/>
              </w:rPr>
              <w:t>一</w:t>
            </w:r>
          </w:p>
        </w:tc>
        <w:tc>
          <w:tcPr>
            <w:tcW w:w="6717" w:type="dxa"/>
            <w:gridSpan w:val="2"/>
          </w:tcPr>
          <w:p>
            <w:pPr>
              <w:spacing w:line="560" w:lineRule="exact"/>
              <w:rPr>
                <w:rFonts w:ascii="仿宋" w:hAnsi="仿宋" w:eastAsia="仿宋" w:cs="仿宋"/>
                <w:b/>
                <w:sz w:val="32"/>
                <w:szCs w:val="32"/>
              </w:rPr>
            </w:pPr>
            <w:r>
              <w:rPr>
                <w:rFonts w:hint="eastAsia" w:ascii="仿宋" w:hAnsi="仿宋" w:eastAsia="仿宋" w:cs="仿宋"/>
                <w:b/>
                <w:sz w:val="32"/>
                <w:szCs w:val="32"/>
              </w:rPr>
              <w:t>营业执照</w:t>
            </w:r>
          </w:p>
        </w:tc>
        <w:tc>
          <w:tcPr>
            <w:tcW w:w="1836"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678"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1</w:t>
            </w:r>
          </w:p>
        </w:tc>
        <w:tc>
          <w:tcPr>
            <w:tcW w:w="2530"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成立日期及注册号</w:t>
            </w:r>
          </w:p>
        </w:tc>
        <w:tc>
          <w:tcPr>
            <w:tcW w:w="4187" w:type="dxa"/>
            <w:vAlign w:val="center"/>
          </w:tcPr>
          <w:p>
            <w:pPr>
              <w:spacing w:line="560" w:lineRule="exact"/>
              <w:rPr>
                <w:rFonts w:ascii="仿宋" w:hAnsi="仿宋" w:eastAsia="仿宋" w:cs="仿宋"/>
                <w:sz w:val="32"/>
                <w:szCs w:val="32"/>
              </w:rPr>
            </w:pPr>
          </w:p>
        </w:tc>
        <w:tc>
          <w:tcPr>
            <w:tcW w:w="1836" w:type="dxa"/>
            <w:vAlign w:val="center"/>
          </w:tcPr>
          <w:p>
            <w:pPr>
              <w:spacing w:line="560" w:lineRule="exact"/>
              <w:jc w:val="center"/>
              <w:rPr>
                <w:rFonts w:ascii="仿宋" w:hAnsi="仿宋" w:eastAsia="仿宋" w:cs="仿宋"/>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678"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2</w:t>
            </w:r>
          </w:p>
        </w:tc>
        <w:tc>
          <w:tcPr>
            <w:tcW w:w="2530"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注册资本（万元）</w:t>
            </w:r>
          </w:p>
        </w:tc>
        <w:tc>
          <w:tcPr>
            <w:tcW w:w="4187" w:type="dxa"/>
            <w:vAlign w:val="center"/>
          </w:tcPr>
          <w:p>
            <w:pPr>
              <w:spacing w:line="560" w:lineRule="exact"/>
              <w:rPr>
                <w:rFonts w:ascii="仿宋" w:hAnsi="仿宋" w:eastAsia="仿宋" w:cs="仿宋"/>
                <w:sz w:val="32"/>
                <w:szCs w:val="32"/>
              </w:rPr>
            </w:pPr>
          </w:p>
        </w:tc>
        <w:tc>
          <w:tcPr>
            <w:tcW w:w="1836" w:type="dxa"/>
            <w:vAlign w:val="center"/>
          </w:tcPr>
          <w:p>
            <w:pPr>
              <w:spacing w:line="560" w:lineRule="exact"/>
              <w:jc w:val="center"/>
              <w:rPr>
                <w:rFonts w:ascii="仿宋" w:hAnsi="仿宋" w:eastAsia="仿宋" w:cs="仿宋"/>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678"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3</w:t>
            </w:r>
          </w:p>
        </w:tc>
        <w:tc>
          <w:tcPr>
            <w:tcW w:w="2530"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注册地址</w:t>
            </w:r>
          </w:p>
        </w:tc>
        <w:tc>
          <w:tcPr>
            <w:tcW w:w="4187" w:type="dxa"/>
            <w:vAlign w:val="center"/>
          </w:tcPr>
          <w:p>
            <w:pPr>
              <w:spacing w:line="560" w:lineRule="exact"/>
              <w:rPr>
                <w:rFonts w:ascii="仿宋" w:hAnsi="仿宋" w:eastAsia="仿宋" w:cs="仿宋"/>
                <w:sz w:val="32"/>
                <w:szCs w:val="32"/>
              </w:rPr>
            </w:pPr>
          </w:p>
        </w:tc>
        <w:tc>
          <w:tcPr>
            <w:tcW w:w="1836" w:type="dxa"/>
            <w:vAlign w:val="center"/>
          </w:tcPr>
          <w:p>
            <w:pPr>
              <w:spacing w:line="560" w:lineRule="exact"/>
              <w:jc w:val="center"/>
              <w:rPr>
                <w:rFonts w:ascii="仿宋" w:hAnsi="仿宋" w:eastAsia="仿宋" w:cs="仿宋"/>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678"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4</w:t>
            </w:r>
          </w:p>
        </w:tc>
        <w:tc>
          <w:tcPr>
            <w:tcW w:w="2530"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有效期</w:t>
            </w:r>
          </w:p>
        </w:tc>
        <w:tc>
          <w:tcPr>
            <w:tcW w:w="4187" w:type="dxa"/>
            <w:vAlign w:val="center"/>
          </w:tcPr>
          <w:p>
            <w:pPr>
              <w:spacing w:line="560" w:lineRule="exact"/>
              <w:rPr>
                <w:rFonts w:ascii="仿宋" w:hAnsi="仿宋" w:eastAsia="仿宋" w:cs="仿宋"/>
                <w:sz w:val="32"/>
                <w:szCs w:val="32"/>
              </w:rPr>
            </w:pPr>
          </w:p>
        </w:tc>
        <w:tc>
          <w:tcPr>
            <w:tcW w:w="1836" w:type="dxa"/>
            <w:vAlign w:val="center"/>
          </w:tcPr>
          <w:p>
            <w:pPr>
              <w:spacing w:line="560" w:lineRule="exact"/>
              <w:jc w:val="center"/>
              <w:rPr>
                <w:rFonts w:ascii="仿宋" w:hAnsi="仿宋" w:eastAsia="仿宋" w:cs="仿宋"/>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678" w:type="dxa"/>
            <w:vAlign w:val="center"/>
          </w:tcPr>
          <w:p>
            <w:pPr>
              <w:spacing w:line="560" w:lineRule="exact"/>
              <w:jc w:val="center"/>
              <w:rPr>
                <w:rFonts w:ascii="仿宋" w:hAnsi="仿宋" w:eastAsia="仿宋" w:cs="仿宋"/>
                <w:b/>
                <w:sz w:val="32"/>
                <w:szCs w:val="32"/>
              </w:rPr>
            </w:pPr>
            <w:r>
              <w:rPr>
                <w:rFonts w:hint="eastAsia" w:ascii="仿宋" w:hAnsi="仿宋" w:eastAsia="仿宋" w:cs="仿宋"/>
                <w:b/>
                <w:sz w:val="32"/>
                <w:szCs w:val="32"/>
              </w:rPr>
              <w:t>二</w:t>
            </w:r>
          </w:p>
        </w:tc>
        <w:tc>
          <w:tcPr>
            <w:tcW w:w="6717" w:type="dxa"/>
            <w:gridSpan w:val="2"/>
            <w:vAlign w:val="center"/>
          </w:tcPr>
          <w:p>
            <w:pPr>
              <w:spacing w:line="560" w:lineRule="exact"/>
              <w:rPr>
                <w:rFonts w:ascii="仿宋" w:hAnsi="仿宋" w:eastAsia="仿宋" w:cs="仿宋"/>
                <w:b/>
                <w:sz w:val="32"/>
                <w:szCs w:val="32"/>
              </w:rPr>
            </w:pPr>
            <w:r>
              <w:rPr>
                <w:rFonts w:hint="eastAsia" w:ascii="仿宋" w:hAnsi="仿宋" w:eastAsia="仿宋" w:cs="仿宋"/>
                <w:b/>
                <w:sz w:val="32"/>
                <w:szCs w:val="32"/>
              </w:rPr>
              <w:t>税务登记证</w:t>
            </w:r>
          </w:p>
        </w:tc>
        <w:tc>
          <w:tcPr>
            <w:tcW w:w="1836"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678"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1</w:t>
            </w:r>
          </w:p>
        </w:tc>
        <w:tc>
          <w:tcPr>
            <w:tcW w:w="2530"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税务登记证编号</w:t>
            </w:r>
          </w:p>
        </w:tc>
        <w:tc>
          <w:tcPr>
            <w:tcW w:w="4187" w:type="dxa"/>
            <w:vAlign w:val="center"/>
          </w:tcPr>
          <w:p>
            <w:pPr>
              <w:spacing w:line="560" w:lineRule="exact"/>
              <w:rPr>
                <w:rFonts w:ascii="仿宋" w:hAnsi="仿宋" w:eastAsia="仿宋" w:cs="仿宋"/>
                <w:sz w:val="32"/>
                <w:szCs w:val="32"/>
              </w:rPr>
            </w:pPr>
          </w:p>
        </w:tc>
        <w:tc>
          <w:tcPr>
            <w:tcW w:w="1836" w:type="dxa"/>
            <w:vAlign w:val="center"/>
          </w:tcPr>
          <w:p>
            <w:pPr>
              <w:spacing w:line="560" w:lineRule="exact"/>
              <w:jc w:val="center"/>
              <w:rPr>
                <w:rFonts w:ascii="仿宋" w:hAnsi="仿宋" w:eastAsia="仿宋" w:cs="仿宋"/>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678" w:type="dxa"/>
            <w:vAlign w:val="center"/>
          </w:tcPr>
          <w:p>
            <w:pPr>
              <w:spacing w:line="560" w:lineRule="exact"/>
              <w:jc w:val="center"/>
              <w:rPr>
                <w:rFonts w:ascii="仿宋" w:hAnsi="仿宋" w:eastAsia="仿宋" w:cs="仿宋"/>
                <w:sz w:val="32"/>
                <w:szCs w:val="32"/>
              </w:rPr>
            </w:pPr>
            <w:r>
              <w:rPr>
                <w:rFonts w:hint="eastAsia" w:ascii="仿宋" w:hAnsi="仿宋" w:eastAsia="仿宋" w:cs="仿宋"/>
                <w:b/>
                <w:bCs/>
                <w:sz w:val="32"/>
                <w:szCs w:val="32"/>
              </w:rPr>
              <w:t>三</w:t>
            </w:r>
          </w:p>
        </w:tc>
        <w:tc>
          <w:tcPr>
            <w:tcW w:w="6717" w:type="dxa"/>
            <w:gridSpan w:val="2"/>
            <w:vAlign w:val="center"/>
          </w:tcPr>
          <w:p>
            <w:pPr>
              <w:spacing w:line="560" w:lineRule="exact"/>
              <w:rPr>
                <w:rFonts w:ascii="仿宋" w:hAnsi="仿宋" w:eastAsia="仿宋" w:cs="仿宋"/>
                <w:b/>
                <w:sz w:val="32"/>
                <w:szCs w:val="32"/>
              </w:rPr>
            </w:pPr>
            <w:r>
              <w:rPr>
                <w:rFonts w:hint="eastAsia" w:ascii="仿宋" w:hAnsi="仿宋" w:eastAsia="仿宋" w:cs="仿宋"/>
                <w:b/>
                <w:sz w:val="32"/>
                <w:szCs w:val="32"/>
              </w:rPr>
              <w:t>资格（质）证书（</w:t>
            </w:r>
            <w:r>
              <w:rPr>
                <w:rFonts w:hint="eastAsia" w:ascii="仿宋" w:hAnsi="仿宋" w:eastAsia="仿宋" w:cs="仿宋"/>
                <w:sz w:val="32"/>
                <w:szCs w:val="32"/>
              </w:rPr>
              <w:t>若有其他资质证书，可按表格格式扩展</w:t>
            </w:r>
            <w:r>
              <w:rPr>
                <w:rFonts w:hint="eastAsia" w:ascii="仿宋" w:hAnsi="仿宋" w:eastAsia="仿宋" w:cs="仿宋"/>
                <w:b/>
                <w:sz w:val="32"/>
                <w:szCs w:val="32"/>
              </w:rPr>
              <w:t>）</w:t>
            </w:r>
          </w:p>
        </w:tc>
        <w:tc>
          <w:tcPr>
            <w:tcW w:w="1836"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678"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1</w:t>
            </w:r>
          </w:p>
        </w:tc>
        <w:tc>
          <w:tcPr>
            <w:tcW w:w="2530"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证书名称</w:t>
            </w:r>
          </w:p>
        </w:tc>
        <w:tc>
          <w:tcPr>
            <w:tcW w:w="4187" w:type="dxa"/>
            <w:vAlign w:val="center"/>
          </w:tcPr>
          <w:p>
            <w:pPr>
              <w:spacing w:line="560" w:lineRule="exact"/>
              <w:jc w:val="center"/>
              <w:rPr>
                <w:rFonts w:ascii="仿宋" w:hAnsi="仿宋" w:eastAsia="仿宋" w:cs="仿宋"/>
                <w:sz w:val="32"/>
                <w:szCs w:val="32"/>
              </w:rPr>
            </w:pPr>
          </w:p>
        </w:tc>
        <w:tc>
          <w:tcPr>
            <w:tcW w:w="1836" w:type="dxa"/>
            <w:vAlign w:val="center"/>
          </w:tcPr>
          <w:p>
            <w:pPr>
              <w:spacing w:line="560" w:lineRule="exact"/>
              <w:jc w:val="center"/>
              <w:rPr>
                <w:rFonts w:ascii="仿宋" w:hAnsi="仿宋" w:eastAsia="仿宋" w:cs="仿宋"/>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678"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2</w:t>
            </w:r>
          </w:p>
        </w:tc>
        <w:tc>
          <w:tcPr>
            <w:tcW w:w="2530"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发证机关</w:t>
            </w:r>
          </w:p>
        </w:tc>
        <w:tc>
          <w:tcPr>
            <w:tcW w:w="4187" w:type="dxa"/>
            <w:vAlign w:val="center"/>
          </w:tcPr>
          <w:p>
            <w:pPr>
              <w:spacing w:line="560" w:lineRule="exact"/>
              <w:jc w:val="center"/>
              <w:rPr>
                <w:rFonts w:ascii="仿宋" w:hAnsi="仿宋" w:eastAsia="仿宋" w:cs="仿宋"/>
                <w:sz w:val="32"/>
                <w:szCs w:val="32"/>
              </w:rPr>
            </w:pPr>
          </w:p>
        </w:tc>
        <w:tc>
          <w:tcPr>
            <w:tcW w:w="1836" w:type="dxa"/>
            <w:vAlign w:val="center"/>
          </w:tcPr>
          <w:p>
            <w:pPr>
              <w:spacing w:line="560" w:lineRule="exact"/>
              <w:jc w:val="center"/>
              <w:rPr>
                <w:rFonts w:ascii="仿宋" w:hAnsi="仿宋" w:eastAsia="仿宋" w:cs="仿宋"/>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678"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3</w:t>
            </w:r>
          </w:p>
        </w:tc>
        <w:tc>
          <w:tcPr>
            <w:tcW w:w="2530"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等级</w:t>
            </w:r>
          </w:p>
        </w:tc>
        <w:tc>
          <w:tcPr>
            <w:tcW w:w="4187" w:type="dxa"/>
            <w:vAlign w:val="center"/>
          </w:tcPr>
          <w:p>
            <w:pPr>
              <w:spacing w:line="560" w:lineRule="exact"/>
              <w:jc w:val="center"/>
              <w:rPr>
                <w:rFonts w:ascii="仿宋" w:hAnsi="仿宋" w:eastAsia="仿宋" w:cs="仿宋"/>
                <w:sz w:val="32"/>
                <w:szCs w:val="32"/>
              </w:rPr>
            </w:pPr>
          </w:p>
        </w:tc>
        <w:tc>
          <w:tcPr>
            <w:tcW w:w="1836" w:type="dxa"/>
            <w:vAlign w:val="center"/>
          </w:tcPr>
          <w:p>
            <w:pPr>
              <w:spacing w:line="560" w:lineRule="exact"/>
              <w:jc w:val="center"/>
              <w:rPr>
                <w:rFonts w:ascii="仿宋" w:hAnsi="仿宋" w:eastAsia="仿宋" w:cs="仿宋"/>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678"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4</w:t>
            </w:r>
          </w:p>
        </w:tc>
        <w:tc>
          <w:tcPr>
            <w:tcW w:w="2530"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发证日期及编号</w:t>
            </w:r>
          </w:p>
        </w:tc>
        <w:tc>
          <w:tcPr>
            <w:tcW w:w="4187" w:type="dxa"/>
            <w:vAlign w:val="center"/>
          </w:tcPr>
          <w:p>
            <w:pPr>
              <w:spacing w:line="560" w:lineRule="exact"/>
              <w:jc w:val="center"/>
              <w:rPr>
                <w:rFonts w:ascii="仿宋" w:hAnsi="仿宋" w:eastAsia="仿宋" w:cs="仿宋"/>
                <w:sz w:val="32"/>
                <w:szCs w:val="32"/>
              </w:rPr>
            </w:pPr>
          </w:p>
        </w:tc>
        <w:tc>
          <w:tcPr>
            <w:tcW w:w="1836" w:type="dxa"/>
            <w:vAlign w:val="center"/>
          </w:tcPr>
          <w:p>
            <w:pPr>
              <w:spacing w:line="560" w:lineRule="exact"/>
              <w:jc w:val="center"/>
              <w:rPr>
                <w:rFonts w:ascii="仿宋" w:hAnsi="仿宋" w:eastAsia="仿宋" w:cs="仿宋"/>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jc w:val="center"/>
        </w:trPr>
        <w:tc>
          <w:tcPr>
            <w:tcW w:w="678"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5</w:t>
            </w:r>
          </w:p>
        </w:tc>
        <w:tc>
          <w:tcPr>
            <w:tcW w:w="2530"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有效期</w:t>
            </w:r>
          </w:p>
        </w:tc>
        <w:tc>
          <w:tcPr>
            <w:tcW w:w="4187" w:type="dxa"/>
            <w:vAlign w:val="center"/>
          </w:tcPr>
          <w:p>
            <w:pPr>
              <w:spacing w:line="560" w:lineRule="exact"/>
              <w:jc w:val="center"/>
              <w:rPr>
                <w:rFonts w:ascii="仿宋" w:hAnsi="仿宋" w:eastAsia="仿宋" w:cs="仿宋"/>
                <w:sz w:val="32"/>
                <w:szCs w:val="32"/>
              </w:rPr>
            </w:pPr>
          </w:p>
        </w:tc>
        <w:tc>
          <w:tcPr>
            <w:tcW w:w="1836" w:type="dxa"/>
            <w:vAlign w:val="center"/>
          </w:tcPr>
          <w:p>
            <w:pPr>
              <w:spacing w:line="560" w:lineRule="exact"/>
              <w:jc w:val="center"/>
              <w:rPr>
                <w:rFonts w:ascii="仿宋" w:hAnsi="仿宋" w:eastAsia="仿宋" w:cs="仿宋"/>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678" w:type="dxa"/>
            <w:vAlign w:val="center"/>
          </w:tcPr>
          <w:p>
            <w:pPr>
              <w:spacing w:line="560" w:lineRule="exact"/>
              <w:jc w:val="center"/>
              <w:rPr>
                <w:rFonts w:ascii="仿宋" w:hAnsi="仿宋" w:eastAsia="仿宋" w:cs="仿宋"/>
                <w:b/>
                <w:sz w:val="32"/>
                <w:szCs w:val="32"/>
              </w:rPr>
            </w:pPr>
            <w:r>
              <w:rPr>
                <w:rFonts w:hint="eastAsia" w:ascii="仿宋" w:hAnsi="仿宋" w:eastAsia="仿宋" w:cs="仿宋"/>
                <w:b/>
                <w:sz w:val="32"/>
                <w:szCs w:val="32"/>
              </w:rPr>
              <w:t>四</w:t>
            </w:r>
          </w:p>
        </w:tc>
        <w:tc>
          <w:tcPr>
            <w:tcW w:w="6717" w:type="dxa"/>
            <w:gridSpan w:val="2"/>
            <w:vAlign w:val="center"/>
          </w:tcPr>
          <w:p>
            <w:pPr>
              <w:spacing w:line="560" w:lineRule="exact"/>
              <w:rPr>
                <w:rFonts w:ascii="仿宋" w:hAnsi="仿宋" w:eastAsia="仿宋" w:cs="仿宋"/>
                <w:b/>
                <w:sz w:val="32"/>
                <w:szCs w:val="32"/>
              </w:rPr>
            </w:pPr>
            <w:r>
              <w:rPr>
                <w:rFonts w:hint="eastAsia" w:ascii="仿宋" w:hAnsi="仿宋" w:eastAsia="仿宋" w:cs="仿宋"/>
                <w:b/>
                <w:sz w:val="32"/>
                <w:szCs w:val="32"/>
              </w:rPr>
              <w:t>其他</w:t>
            </w:r>
            <w:r>
              <w:rPr>
                <w:rFonts w:hint="eastAsia" w:ascii="仿宋" w:hAnsi="仿宋" w:eastAsia="仿宋" w:cs="仿宋"/>
                <w:sz w:val="32"/>
                <w:szCs w:val="32"/>
              </w:rPr>
              <w:t>（投标人认为需补充的其他说明）</w:t>
            </w:r>
          </w:p>
        </w:tc>
        <w:tc>
          <w:tcPr>
            <w:tcW w:w="1836" w:type="dxa"/>
            <w:vAlign w:val="center"/>
          </w:tcPr>
          <w:p>
            <w:pPr>
              <w:spacing w:line="560" w:lineRule="exact"/>
              <w:jc w:val="center"/>
              <w:rPr>
                <w:rFonts w:ascii="仿宋" w:hAnsi="仿宋" w:eastAsia="仿宋" w:cs="仿宋"/>
                <w:sz w:val="3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678"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1</w:t>
            </w:r>
          </w:p>
        </w:tc>
        <w:tc>
          <w:tcPr>
            <w:tcW w:w="2530" w:type="dxa"/>
            <w:vAlign w:val="center"/>
          </w:tcPr>
          <w:p>
            <w:pPr>
              <w:spacing w:line="560" w:lineRule="exact"/>
              <w:jc w:val="center"/>
              <w:rPr>
                <w:rFonts w:ascii="仿宋" w:hAnsi="仿宋" w:eastAsia="仿宋" w:cs="仿宋"/>
                <w:sz w:val="32"/>
                <w:szCs w:val="32"/>
              </w:rPr>
            </w:pPr>
          </w:p>
        </w:tc>
        <w:tc>
          <w:tcPr>
            <w:tcW w:w="4187" w:type="dxa"/>
            <w:vAlign w:val="center"/>
          </w:tcPr>
          <w:p>
            <w:pPr>
              <w:spacing w:line="560" w:lineRule="exact"/>
              <w:jc w:val="center"/>
              <w:rPr>
                <w:rFonts w:ascii="仿宋" w:hAnsi="仿宋" w:eastAsia="仿宋" w:cs="仿宋"/>
                <w:sz w:val="32"/>
                <w:szCs w:val="32"/>
              </w:rPr>
            </w:pPr>
          </w:p>
        </w:tc>
        <w:tc>
          <w:tcPr>
            <w:tcW w:w="1836" w:type="dxa"/>
            <w:vAlign w:val="center"/>
          </w:tcPr>
          <w:p>
            <w:pPr>
              <w:spacing w:line="560" w:lineRule="exact"/>
              <w:jc w:val="center"/>
              <w:rPr>
                <w:rFonts w:ascii="仿宋" w:hAnsi="仿宋" w:eastAsia="仿宋" w:cs="仿宋"/>
                <w:sz w:val="32"/>
                <w:szCs w:val="32"/>
              </w:rPr>
            </w:pPr>
          </w:p>
        </w:tc>
      </w:tr>
    </w:tbl>
    <w:p>
      <w:pPr>
        <w:keepNext w:val="0"/>
        <w:keepLines w:val="0"/>
        <w:pageBreakBefore w:val="0"/>
        <w:widowControl w:val="0"/>
        <w:kinsoku/>
        <w:wordWrap/>
        <w:overflowPunct/>
        <w:topLinePunct w:val="0"/>
        <w:autoSpaceDE/>
        <w:autoSpaceDN/>
        <w:bidi w:val="0"/>
        <w:spacing w:line="440" w:lineRule="exact"/>
        <w:jc w:val="lef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注：1、在按要求填写好此表格后，各投标人可以用其它的方式，就公司整体情况作出详细的介绍。</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jc w:val="lef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2、投标人须按采购需求中“投标人资质要求”提供相关的资质证明，投标文件中未提供或提供不完整、不符合要求的，将按投标无效处理。在政府采购系统响应报名的单位，不代表资格审查通过。</w:t>
      </w:r>
    </w:p>
    <w:p>
      <w:pPr>
        <w:numPr>
          <w:ilvl w:val="0"/>
          <w:numId w:val="0"/>
        </w:numPr>
        <w:spacing w:line="578" w:lineRule="exact"/>
        <w:rPr>
          <w:rFonts w:hint="eastAsia" w:ascii="黑体" w:hAnsi="黑体" w:eastAsia="黑体" w:cs="仿宋"/>
          <w:color w:val="000000"/>
          <w:sz w:val="32"/>
          <w:szCs w:val="32"/>
          <w:lang w:eastAsia="zh-CN"/>
        </w:rPr>
      </w:pPr>
      <w:r>
        <w:rPr>
          <w:rFonts w:hint="eastAsia" w:ascii="黑体" w:hAnsi="黑体" w:eastAsia="黑体" w:cs="仿宋"/>
          <w:color w:val="000000"/>
          <w:sz w:val="32"/>
          <w:szCs w:val="32"/>
          <w:lang w:val="en-US" w:eastAsia="zh-CN"/>
        </w:rPr>
        <w:t>七、</w:t>
      </w:r>
      <w:r>
        <w:rPr>
          <w:rFonts w:hint="eastAsia" w:ascii="黑体" w:hAnsi="黑体" w:eastAsia="黑体" w:cs="仿宋"/>
          <w:color w:val="000000"/>
          <w:sz w:val="32"/>
          <w:szCs w:val="32"/>
        </w:rPr>
        <w:t>报价清单</w:t>
      </w:r>
    </w:p>
    <w:tbl>
      <w:tblPr>
        <w:tblStyle w:val="13"/>
        <w:tblpPr w:leftFromText="180" w:rightFromText="180" w:vertAnchor="text" w:horzAnchor="page" w:tblpX="1334" w:tblpY="264"/>
        <w:tblOverlap w:val="never"/>
        <w:tblW w:w="94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68"/>
        <w:gridCol w:w="1972"/>
        <w:gridCol w:w="1889"/>
        <w:gridCol w:w="1041"/>
        <w:gridCol w:w="1041"/>
        <w:gridCol w:w="1042"/>
        <w:gridCol w:w="1"/>
        <w:gridCol w:w="15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2" w:hRule="atLeast"/>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单价</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（元）</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金额</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元）</w:t>
            </w:r>
          </w:p>
        </w:tc>
        <w:tc>
          <w:tcPr>
            <w:tcW w:w="15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76" w:hRule="atLeast"/>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lang w:eastAsia="zh-CN"/>
              </w:rPr>
            </w:pPr>
            <w:r>
              <w:rPr>
                <w:rFonts w:hint="eastAsia"/>
                <w:lang w:eastAsia="zh-CN"/>
              </w:rPr>
              <w:t>密闭化标准桶</w:t>
            </w:r>
          </w:p>
          <w:p>
            <w:pPr>
              <w:keepNext w:val="0"/>
              <w:keepLines w:val="0"/>
              <w:widowControl/>
              <w:suppressLineNumbers w:val="0"/>
              <w:jc w:val="center"/>
              <w:textAlignment w:val="center"/>
              <w:rPr>
                <w:rFonts w:hint="eastAsia"/>
              </w:rPr>
            </w:pPr>
            <w:r>
              <w:rPr>
                <w:rFonts w:hint="eastAsia"/>
                <w:lang w:eastAsia="zh-CN"/>
              </w:rPr>
              <w:t>（</w:t>
            </w:r>
            <w:r>
              <w:rPr>
                <w:rFonts w:hint="eastAsia"/>
                <w:lang w:val="en-US" w:eastAsia="zh-CN"/>
              </w:rPr>
              <w:t>含内桶</w:t>
            </w:r>
            <w:r>
              <w:rPr>
                <w:rFonts w:hint="eastAsia"/>
                <w:lang w:eastAsia="zh-CN"/>
              </w:rPr>
              <w:t>）</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套</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22</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5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80" w:hRule="atLeast"/>
        </w:trPr>
        <w:tc>
          <w:tcPr>
            <w:tcW w:w="57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合计（元）</w:t>
            </w:r>
          </w:p>
        </w:tc>
        <w:tc>
          <w:tcPr>
            <w:tcW w:w="20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含税等</w:t>
            </w:r>
          </w:p>
        </w:tc>
      </w:tr>
    </w:tbl>
    <w:p/>
    <w:sectPr>
      <w:headerReference r:id="rId4" w:type="first"/>
      <w:footerReference r:id="rId6" w:type="first"/>
      <w:headerReference r:id="rId3" w:type="default"/>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Style w:val="12"/>
                              <w:rFonts w:ascii="宋体" w:hAnsi="宋体"/>
                              <w:sz w:val="28"/>
                              <w:szCs w:val="28"/>
                            </w:rPr>
                          </w:pP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2</w:t>
                          </w:r>
                          <w:r>
                            <w:rPr>
                              <w:rStyle w:val="12"/>
                              <w:rFonts w:ascii="宋体" w:hAnsi="宋体"/>
                              <w:sz w:val="28"/>
                              <w:szCs w:val="28"/>
                            </w:rP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Style w:val="12"/>
                        <w:rFonts w:ascii="宋体" w:hAnsi="宋体"/>
                        <w:sz w:val="28"/>
                        <w:szCs w:val="28"/>
                      </w:rPr>
                    </w:pP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2</w:t>
                    </w:r>
                    <w:r>
                      <w:rPr>
                        <w:rStyle w:val="12"/>
                        <w:rFonts w:ascii="宋体" w:hAnsi="宋体"/>
                        <w:sz w:val="28"/>
                        <w:szCs w:val="28"/>
                      </w:rPr>
                      <w:fldChar w:fldCharType="end"/>
                    </w:r>
                  </w:p>
                  <w:p/>
                </w:txbxContent>
              </v:textbox>
            </v:shape>
          </w:pict>
        </mc:Fallback>
      </mc:AlternateConten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posOffset>4813935</wp:posOffset>
              </wp:positionH>
              <wp:positionV relativeFrom="paragraph">
                <wp:posOffset>-138430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9.05pt;margin-top:-10.9pt;height:144pt;width:144pt;mso-position-horizontal-relative:margin;mso-wrap-style:none;z-index:251659264;mso-width-relative:page;mso-height-relative:page;" filled="f" stroked="f" coordsize="21600,21600" o:gfxdata="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bIkIkNgAAAAMAQAADwAAAAAA&#10;AAABACAAAAAiAAAAZHJzL2Rvd25yZXYueG1sUEsBAhQAFAAAAAgAh07iQAXccrATAgAAEwQAAA4A&#10;AAAAAAAAAQAgAAAAJwEAAGRycy9lMm9Eb2MueG1sUEsFBgAAAAAGAAYAWQEAAKw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B2F80"/>
    <w:multiLevelType w:val="multilevel"/>
    <w:tmpl w:val="7E5B2F80"/>
    <w:lvl w:ilvl="0" w:tentative="0">
      <w:start w:val="1"/>
      <w:numFmt w:val="japaneseCounting"/>
      <w:lvlText w:val="（%1）"/>
      <w:lvlJc w:val="left"/>
      <w:pPr>
        <w:ind w:left="855" w:hanging="85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65709"/>
    <w:rsid w:val="00224BD1"/>
    <w:rsid w:val="004010C8"/>
    <w:rsid w:val="009761C3"/>
    <w:rsid w:val="01F45FFE"/>
    <w:rsid w:val="03E319A4"/>
    <w:rsid w:val="04566745"/>
    <w:rsid w:val="04745BBC"/>
    <w:rsid w:val="04753A02"/>
    <w:rsid w:val="04844B49"/>
    <w:rsid w:val="04D809E7"/>
    <w:rsid w:val="06600090"/>
    <w:rsid w:val="072473E1"/>
    <w:rsid w:val="074F20B4"/>
    <w:rsid w:val="07CD7EF5"/>
    <w:rsid w:val="09920E4B"/>
    <w:rsid w:val="09B66BC8"/>
    <w:rsid w:val="09CA2705"/>
    <w:rsid w:val="09EF2770"/>
    <w:rsid w:val="0AA62B95"/>
    <w:rsid w:val="0B6033CD"/>
    <w:rsid w:val="0BF61DE8"/>
    <w:rsid w:val="0CA47608"/>
    <w:rsid w:val="0D223E40"/>
    <w:rsid w:val="0D2A4D26"/>
    <w:rsid w:val="0D7007D1"/>
    <w:rsid w:val="0D8D4213"/>
    <w:rsid w:val="0DC31207"/>
    <w:rsid w:val="0E7A5015"/>
    <w:rsid w:val="0EE9562D"/>
    <w:rsid w:val="0F8D32AB"/>
    <w:rsid w:val="0F9B3A94"/>
    <w:rsid w:val="0FF44D37"/>
    <w:rsid w:val="104B0486"/>
    <w:rsid w:val="115047F9"/>
    <w:rsid w:val="126B4DE4"/>
    <w:rsid w:val="12956BED"/>
    <w:rsid w:val="12A3786B"/>
    <w:rsid w:val="12EC4D73"/>
    <w:rsid w:val="12EF1E17"/>
    <w:rsid w:val="13CF5FC7"/>
    <w:rsid w:val="14D8479F"/>
    <w:rsid w:val="14EC2A98"/>
    <w:rsid w:val="16586F28"/>
    <w:rsid w:val="16E235C9"/>
    <w:rsid w:val="16ED77E1"/>
    <w:rsid w:val="1708053B"/>
    <w:rsid w:val="1780578C"/>
    <w:rsid w:val="17AF7B88"/>
    <w:rsid w:val="17E43F1F"/>
    <w:rsid w:val="17EC49B8"/>
    <w:rsid w:val="17F23B44"/>
    <w:rsid w:val="18390987"/>
    <w:rsid w:val="18D65CB1"/>
    <w:rsid w:val="18FA2C8D"/>
    <w:rsid w:val="19872E39"/>
    <w:rsid w:val="19D65709"/>
    <w:rsid w:val="19F70FA1"/>
    <w:rsid w:val="1A05395F"/>
    <w:rsid w:val="1A9B0F5B"/>
    <w:rsid w:val="1BA16267"/>
    <w:rsid w:val="1BB86C46"/>
    <w:rsid w:val="1C4B62B8"/>
    <w:rsid w:val="1C8123A9"/>
    <w:rsid w:val="1D117A05"/>
    <w:rsid w:val="1D26521B"/>
    <w:rsid w:val="1DBA3E72"/>
    <w:rsid w:val="1DBD50CF"/>
    <w:rsid w:val="1E60663A"/>
    <w:rsid w:val="1EB350A3"/>
    <w:rsid w:val="1F8C6235"/>
    <w:rsid w:val="201722F4"/>
    <w:rsid w:val="206F6C09"/>
    <w:rsid w:val="2083432C"/>
    <w:rsid w:val="214A7197"/>
    <w:rsid w:val="231B32C3"/>
    <w:rsid w:val="2329325E"/>
    <w:rsid w:val="233245C4"/>
    <w:rsid w:val="23412CFA"/>
    <w:rsid w:val="23B26C79"/>
    <w:rsid w:val="24025E19"/>
    <w:rsid w:val="24510F14"/>
    <w:rsid w:val="2515115A"/>
    <w:rsid w:val="25160978"/>
    <w:rsid w:val="256E4086"/>
    <w:rsid w:val="265C75A9"/>
    <w:rsid w:val="27394B03"/>
    <w:rsid w:val="27771F89"/>
    <w:rsid w:val="27D73CCB"/>
    <w:rsid w:val="280E38F9"/>
    <w:rsid w:val="28FB667D"/>
    <w:rsid w:val="29714B9D"/>
    <w:rsid w:val="29A16300"/>
    <w:rsid w:val="29BC3CD1"/>
    <w:rsid w:val="2A384BB9"/>
    <w:rsid w:val="2AC33496"/>
    <w:rsid w:val="2B2D0EEB"/>
    <w:rsid w:val="2B67730D"/>
    <w:rsid w:val="2BA32C5D"/>
    <w:rsid w:val="2C421933"/>
    <w:rsid w:val="2C7C6040"/>
    <w:rsid w:val="2D9D588C"/>
    <w:rsid w:val="2DAD50EE"/>
    <w:rsid w:val="2DF34953"/>
    <w:rsid w:val="2E702F2D"/>
    <w:rsid w:val="2F653AEC"/>
    <w:rsid w:val="2F8D389D"/>
    <w:rsid w:val="318F501A"/>
    <w:rsid w:val="329E0C72"/>
    <w:rsid w:val="32C4326C"/>
    <w:rsid w:val="33356320"/>
    <w:rsid w:val="33495FEB"/>
    <w:rsid w:val="33DE41C3"/>
    <w:rsid w:val="346457F9"/>
    <w:rsid w:val="34AD0C8C"/>
    <w:rsid w:val="35557810"/>
    <w:rsid w:val="35980DFE"/>
    <w:rsid w:val="36382EC2"/>
    <w:rsid w:val="37445A69"/>
    <w:rsid w:val="3749500B"/>
    <w:rsid w:val="37C418BE"/>
    <w:rsid w:val="38D74410"/>
    <w:rsid w:val="394F4FF4"/>
    <w:rsid w:val="39517533"/>
    <w:rsid w:val="3AD40BF6"/>
    <w:rsid w:val="3B5C11CE"/>
    <w:rsid w:val="3BE63567"/>
    <w:rsid w:val="3C950704"/>
    <w:rsid w:val="3C955960"/>
    <w:rsid w:val="3CD52AB1"/>
    <w:rsid w:val="3DB86DEF"/>
    <w:rsid w:val="3DD07D80"/>
    <w:rsid w:val="3E7B1C59"/>
    <w:rsid w:val="3F2E3DD1"/>
    <w:rsid w:val="40996C0A"/>
    <w:rsid w:val="40CC1F4E"/>
    <w:rsid w:val="41200EBF"/>
    <w:rsid w:val="41500248"/>
    <w:rsid w:val="41AB43DF"/>
    <w:rsid w:val="41D0466B"/>
    <w:rsid w:val="41D9494F"/>
    <w:rsid w:val="42000079"/>
    <w:rsid w:val="42A014AA"/>
    <w:rsid w:val="43000CD3"/>
    <w:rsid w:val="44935E3D"/>
    <w:rsid w:val="44B55488"/>
    <w:rsid w:val="44E5418F"/>
    <w:rsid w:val="45362C01"/>
    <w:rsid w:val="459C1D08"/>
    <w:rsid w:val="45C21883"/>
    <w:rsid w:val="464F1F18"/>
    <w:rsid w:val="46B90CF6"/>
    <w:rsid w:val="47301600"/>
    <w:rsid w:val="47CF7325"/>
    <w:rsid w:val="48305A81"/>
    <w:rsid w:val="483B7202"/>
    <w:rsid w:val="488B6CEC"/>
    <w:rsid w:val="489E65FC"/>
    <w:rsid w:val="49076322"/>
    <w:rsid w:val="49751846"/>
    <w:rsid w:val="499616A0"/>
    <w:rsid w:val="49C33E7D"/>
    <w:rsid w:val="49CB6E67"/>
    <w:rsid w:val="4AFC3F6C"/>
    <w:rsid w:val="4B265180"/>
    <w:rsid w:val="4BA85E7A"/>
    <w:rsid w:val="4C060213"/>
    <w:rsid w:val="4CB0322A"/>
    <w:rsid w:val="4D55668B"/>
    <w:rsid w:val="4E051E3E"/>
    <w:rsid w:val="4E8508EA"/>
    <w:rsid w:val="4EA6250A"/>
    <w:rsid w:val="50490B74"/>
    <w:rsid w:val="505B2423"/>
    <w:rsid w:val="50D06E27"/>
    <w:rsid w:val="5217786D"/>
    <w:rsid w:val="52505119"/>
    <w:rsid w:val="532A52AF"/>
    <w:rsid w:val="537E4155"/>
    <w:rsid w:val="53E22C73"/>
    <w:rsid w:val="54C22E0F"/>
    <w:rsid w:val="551701D1"/>
    <w:rsid w:val="55330072"/>
    <w:rsid w:val="55383FE7"/>
    <w:rsid w:val="55B7333C"/>
    <w:rsid w:val="572D2123"/>
    <w:rsid w:val="573D7E5D"/>
    <w:rsid w:val="574B5538"/>
    <w:rsid w:val="57B53506"/>
    <w:rsid w:val="57DA52BA"/>
    <w:rsid w:val="58307822"/>
    <w:rsid w:val="584011C1"/>
    <w:rsid w:val="58745207"/>
    <w:rsid w:val="58854688"/>
    <w:rsid w:val="58D65A0D"/>
    <w:rsid w:val="591D1020"/>
    <w:rsid w:val="591E30F6"/>
    <w:rsid w:val="5B2F73A6"/>
    <w:rsid w:val="5B645D56"/>
    <w:rsid w:val="5B9A68CD"/>
    <w:rsid w:val="5BE248B7"/>
    <w:rsid w:val="5C662688"/>
    <w:rsid w:val="5C8A1BAC"/>
    <w:rsid w:val="5E08603F"/>
    <w:rsid w:val="5E993FCE"/>
    <w:rsid w:val="5EAC6048"/>
    <w:rsid w:val="5EFC72EC"/>
    <w:rsid w:val="5F1B5808"/>
    <w:rsid w:val="5FF3220D"/>
    <w:rsid w:val="60D30C90"/>
    <w:rsid w:val="611A1F67"/>
    <w:rsid w:val="61B4268F"/>
    <w:rsid w:val="61E371E8"/>
    <w:rsid w:val="62412451"/>
    <w:rsid w:val="627352EE"/>
    <w:rsid w:val="62970896"/>
    <w:rsid w:val="65093528"/>
    <w:rsid w:val="6549160A"/>
    <w:rsid w:val="65B8251A"/>
    <w:rsid w:val="65E458D7"/>
    <w:rsid w:val="66A442C2"/>
    <w:rsid w:val="67194FE9"/>
    <w:rsid w:val="678237B5"/>
    <w:rsid w:val="68167DC2"/>
    <w:rsid w:val="68BF5BBC"/>
    <w:rsid w:val="68DB16BF"/>
    <w:rsid w:val="69154371"/>
    <w:rsid w:val="69DA72EF"/>
    <w:rsid w:val="6A0C38CE"/>
    <w:rsid w:val="6AAA7E0B"/>
    <w:rsid w:val="6AE14E65"/>
    <w:rsid w:val="6B45779D"/>
    <w:rsid w:val="6BF9462A"/>
    <w:rsid w:val="6C285219"/>
    <w:rsid w:val="6D1C06A9"/>
    <w:rsid w:val="6D816F66"/>
    <w:rsid w:val="6DB06766"/>
    <w:rsid w:val="6DDD1016"/>
    <w:rsid w:val="6E022610"/>
    <w:rsid w:val="6E5B365B"/>
    <w:rsid w:val="6E6E53BC"/>
    <w:rsid w:val="6F345E22"/>
    <w:rsid w:val="700457ED"/>
    <w:rsid w:val="70701FF4"/>
    <w:rsid w:val="710902AE"/>
    <w:rsid w:val="71654979"/>
    <w:rsid w:val="71E628EB"/>
    <w:rsid w:val="720809D5"/>
    <w:rsid w:val="72200F2B"/>
    <w:rsid w:val="724F5628"/>
    <w:rsid w:val="72C10F81"/>
    <w:rsid w:val="734A06EA"/>
    <w:rsid w:val="735770A7"/>
    <w:rsid w:val="738832D8"/>
    <w:rsid w:val="73BD60F8"/>
    <w:rsid w:val="73DA36A9"/>
    <w:rsid w:val="74894965"/>
    <w:rsid w:val="74970649"/>
    <w:rsid w:val="750A166F"/>
    <w:rsid w:val="755E7B7D"/>
    <w:rsid w:val="758D4303"/>
    <w:rsid w:val="75A44660"/>
    <w:rsid w:val="76684CA7"/>
    <w:rsid w:val="76EB63CE"/>
    <w:rsid w:val="76FF681E"/>
    <w:rsid w:val="775B2FD2"/>
    <w:rsid w:val="77C33B57"/>
    <w:rsid w:val="780B52AA"/>
    <w:rsid w:val="78677002"/>
    <w:rsid w:val="78CB4384"/>
    <w:rsid w:val="79F935F1"/>
    <w:rsid w:val="7A905A92"/>
    <w:rsid w:val="7C381DFB"/>
    <w:rsid w:val="7CB22068"/>
    <w:rsid w:val="7D026466"/>
    <w:rsid w:val="7D102496"/>
    <w:rsid w:val="7E25557F"/>
    <w:rsid w:val="7E372EBF"/>
    <w:rsid w:val="7E3E7A74"/>
    <w:rsid w:val="7E7A1095"/>
    <w:rsid w:val="7E991091"/>
    <w:rsid w:val="7F277B7E"/>
    <w:rsid w:val="7F5B574D"/>
    <w:rsid w:val="7FBE1E6A"/>
    <w:rsid w:val="7FC27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4"/>
    <w:next w:val="5"/>
    <w:qFormat/>
    <w:uiPriority w:val="0"/>
    <w:pPr>
      <w:adjustRightInd w:val="0"/>
      <w:spacing w:line="240" w:lineRule="auto"/>
      <w:jc w:val="center"/>
      <w:textAlignment w:val="baseline"/>
      <w:outlineLvl w:val="1"/>
    </w:pPr>
    <w:rPr>
      <w:rFonts w:ascii="宋体" w:hAnsi="宋体"/>
      <w:bCs w:val="0"/>
      <w:kern w:val="0"/>
      <w:sz w:val="24"/>
      <w:szCs w:val="20"/>
    </w:rPr>
  </w:style>
  <w:style w:type="paragraph" w:styleId="4">
    <w:name w:val="heading 3"/>
    <w:basedOn w:val="1"/>
    <w:next w:val="1"/>
    <w:qFormat/>
    <w:uiPriority w:val="9"/>
    <w:pPr>
      <w:keepNext/>
      <w:keepLines/>
      <w:spacing w:before="260" w:after="260" w:line="416" w:lineRule="auto"/>
      <w:outlineLvl w:val="2"/>
    </w:pPr>
    <w:rPr>
      <w:b/>
      <w:bCs/>
      <w:sz w:val="32"/>
      <w:szCs w:val="32"/>
    </w:rPr>
  </w:style>
  <w:style w:type="paragraph" w:styleId="5">
    <w:name w:val="heading 4"/>
    <w:basedOn w:val="1"/>
    <w:next w:val="1"/>
    <w:qFormat/>
    <w:uiPriority w:val="9"/>
    <w:pPr>
      <w:keepNext/>
      <w:keepLines/>
      <w:spacing w:before="280" w:after="290" w:line="376" w:lineRule="auto"/>
      <w:outlineLvl w:val="3"/>
    </w:pPr>
    <w:rPr>
      <w:rFonts w:ascii="Cambria" w:hAnsi="Cambria"/>
      <w:b/>
      <w:bCs/>
      <w:sz w:val="28"/>
      <w:szCs w:val="28"/>
    </w:rPr>
  </w:style>
  <w:style w:type="character" w:default="1" w:styleId="11">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6">
    <w:name w:val="Normal Indent"/>
    <w:basedOn w:val="1"/>
    <w:qFormat/>
    <w:uiPriority w:val="0"/>
    <w:pPr>
      <w:ind w:firstLine="420" w:firstLineChars="200"/>
    </w:pPr>
    <w:rPr>
      <w:szCs w:val="24"/>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qFormat/>
    <w:uiPriority w:val="0"/>
    <w:pPr>
      <w:spacing w:line="340" w:lineRule="exact"/>
    </w:pPr>
    <w:rPr>
      <w:snapToGrid w:val="0"/>
    </w:rPr>
  </w:style>
  <w:style w:type="paragraph" w:styleId="10">
    <w:name w:val="Normal (Web)"/>
    <w:basedOn w:val="1"/>
    <w:uiPriority w:val="0"/>
    <w:pPr>
      <w:spacing w:before="0" w:beforeAutospacing="1" w:after="0" w:afterAutospacing="1"/>
      <w:ind w:left="0" w:right="0"/>
      <w:jc w:val="left"/>
    </w:pPr>
    <w:rPr>
      <w:kern w:val="0"/>
      <w:sz w:val="24"/>
      <w:lang w:val="en-US" w:eastAsia="zh-CN" w:bidi="ar"/>
    </w:rPr>
  </w:style>
  <w:style w:type="character" w:styleId="12">
    <w:name w:val="page number"/>
    <w:basedOn w:val="11"/>
    <w:qFormat/>
    <w:uiPriority w:val="0"/>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5">
    <w:name w:val="List Paragraph"/>
    <w:basedOn w:val="1"/>
    <w:qFormat/>
    <w:uiPriority w:val="99"/>
    <w:pPr>
      <w:ind w:firstLine="420" w:firstLineChars="200"/>
    </w:pPr>
  </w:style>
  <w:style w:type="character" w:customStyle="1" w:styleId="16">
    <w:name w:val="font01"/>
    <w:basedOn w:val="11"/>
    <w:uiPriority w:val="0"/>
    <w:rPr>
      <w:rFonts w:hint="eastAsia" w:ascii="宋体" w:hAnsi="宋体" w:eastAsia="宋体" w:cs="宋体"/>
      <w:b/>
      <w:color w:val="000000"/>
      <w:sz w:val="20"/>
      <w:szCs w:val="20"/>
      <w:u w:val="none"/>
    </w:rPr>
  </w:style>
  <w:style w:type="character" w:customStyle="1" w:styleId="17">
    <w:name w:val="font31"/>
    <w:basedOn w:val="11"/>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2021-01-29T01:47:00Z</dcterms:created>
  <dc:creator>Administrator</dc:creator>
  <cp:lastModifiedBy>WPS_1527836312</cp:lastModifiedBy>
  <cp:lastPrinted>2021-11-22T01:51:00Z</cp:lastPrinted>
  <dcterms:modified xsi:type="dcterms:W3CDTF">2021-11-24T01:57:09Z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