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pacing w:before="0" w:after="0" w:line="560" w:lineRule="exact"/>
        <w:jc w:val="center"/>
        <w:rPr>
          <w:rFonts w:hint="eastAsia"/>
        </w:rPr>
      </w:pPr>
      <w:r>
        <w:rPr>
          <w:rFonts w:hint="eastAsia" w:ascii="方正小标宋简体" w:hAnsi="方正小标宋简体" w:eastAsia="方正小标宋简体" w:cs="方正小标宋简体"/>
          <w:b w:val="0"/>
          <w:bCs/>
          <w:color w:val="000000"/>
          <w:kern w:val="2"/>
          <w:sz w:val="44"/>
          <w:szCs w:val="44"/>
          <w:lang w:val="en-US" w:eastAsia="zh-CN" w:bidi="ar-SA"/>
        </w:rPr>
        <w:t>碧岭街道城中村生活垃圾集中分类投放点升级改造项目采购需求</w:t>
      </w:r>
    </w:p>
    <w:p>
      <w:pPr>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color w:val="000000"/>
          <w:sz w:val="32"/>
          <w:szCs w:val="32"/>
        </w:rPr>
      </w:pPr>
    </w:p>
    <w:p>
      <w:pPr>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一、采购项目概况</w:t>
      </w:r>
    </w:p>
    <w:p>
      <w:pPr>
        <w:pStyle w:val="6"/>
        <w:pageBreakBefore w:val="0"/>
        <w:kinsoku/>
        <w:wordWrap/>
        <w:overflowPunct/>
        <w:topLinePunct w:val="0"/>
        <w:bidi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坪山区城市环境品质提升“百日攻坚”行动工作方案》、《深圳市住宅小区（城中村）生活垃圾集中分类投放点设备技术导则》等有关要求，现对碧岭街道已实施城中村综合治理的5个城中村（新沙、上沙、新作陂、汤坑新村、坞泥浪）共计32个生活垃圾分类投放点，按统一规范要求设置。</w:t>
      </w:r>
    </w:p>
    <w:p>
      <w:pPr>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二、项目管理和服</w:t>
      </w:r>
      <w:r>
        <w:rPr>
          <w:rFonts w:hint="eastAsia" w:ascii="黑体" w:hAnsi="黑体" w:eastAsia="黑体" w:cs="黑体"/>
          <w:b w:val="0"/>
          <w:bCs w:val="0"/>
          <w:color w:val="000000"/>
          <w:sz w:val="32"/>
          <w:szCs w:val="32"/>
          <w:lang w:val="en-US" w:eastAsia="zh-CN"/>
        </w:rPr>
        <w:t>务要求</w:t>
      </w:r>
    </w:p>
    <w:p>
      <w:pPr>
        <w:pStyle w:val="6"/>
        <w:pageBreakBefore w:val="0"/>
        <w:kinsoku/>
        <w:wordWrap/>
        <w:overflowPunct/>
        <w:topLinePunct w:val="0"/>
        <w:bidi w:val="0"/>
        <w:spacing w:line="56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w:t>
      </w:r>
      <w:r>
        <w:rPr>
          <w:rFonts w:hint="eastAsia" w:ascii="仿宋_GB2312" w:hAnsi="仿宋_GB2312" w:eastAsia="仿宋_GB2312" w:cs="仿宋_GB2312"/>
          <w:sz w:val="32"/>
          <w:szCs w:val="32"/>
          <w:lang w:val="en-US" w:eastAsia="zh-CN"/>
        </w:rPr>
        <w:t>需求</w:t>
      </w:r>
    </w:p>
    <w:tbl>
      <w:tblPr>
        <w:tblStyle w:val="13"/>
        <w:tblW w:w="9082" w:type="dxa"/>
        <w:tblInd w:w="0" w:type="dxa"/>
        <w:shd w:val="clear" w:color="auto" w:fill="FFFFFF"/>
        <w:tblLayout w:type="fixed"/>
        <w:tblCellMar>
          <w:top w:w="0" w:type="dxa"/>
          <w:left w:w="0" w:type="dxa"/>
          <w:bottom w:w="0" w:type="dxa"/>
          <w:right w:w="0" w:type="dxa"/>
        </w:tblCellMar>
      </w:tblPr>
      <w:tblGrid>
        <w:gridCol w:w="550"/>
        <w:gridCol w:w="853"/>
        <w:gridCol w:w="1783"/>
        <w:gridCol w:w="784"/>
        <w:gridCol w:w="1200"/>
        <w:gridCol w:w="3912"/>
      </w:tblGrid>
      <w:tr>
        <w:tblPrEx>
          <w:shd w:val="clear" w:color="auto" w:fill="FFFFFF"/>
          <w:tblLayout w:type="fixed"/>
          <w:tblCellMar>
            <w:top w:w="0" w:type="dxa"/>
            <w:left w:w="0" w:type="dxa"/>
            <w:bottom w:w="0" w:type="dxa"/>
            <w:right w:w="0" w:type="dxa"/>
          </w:tblCellMar>
        </w:tblPrEx>
        <w:tc>
          <w:tcPr>
            <w:tcW w:w="550" w:type="dxa"/>
            <w:vMerge w:val="restart"/>
            <w:tcBorders>
              <w:top w:val="single" w:color="000000" w:sz="8" w:space="0"/>
              <w:left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每个投放点需求</w:t>
            </w:r>
          </w:p>
        </w:tc>
        <w:tc>
          <w:tcPr>
            <w:tcW w:w="853"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序号</w:t>
            </w:r>
          </w:p>
        </w:tc>
        <w:tc>
          <w:tcPr>
            <w:tcW w:w="1783"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名称</w:t>
            </w:r>
          </w:p>
        </w:tc>
        <w:tc>
          <w:tcPr>
            <w:tcW w:w="784"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单位</w:t>
            </w:r>
          </w:p>
        </w:tc>
        <w:tc>
          <w:tcPr>
            <w:tcW w:w="120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数量</w:t>
            </w:r>
          </w:p>
        </w:tc>
        <w:tc>
          <w:tcPr>
            <w:tcW w:w="3912"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备注</w:t>
            </w:r>
          </w:p>
        </w:tc>
      </w:tr>
      <w:tr>
        <w:tblPrEx>
          <w:tblLayout w:type="fixed"/>
          <w:tblCellMar>
            <w:top w:w="0" w:type="dxa"/>
            <w:left w:w="0" w:type="dxa"/>
            <w:bottom w:w="0" w:type="dxa"/>
            <w:right w:w="0" w:type="dxa"/>
          </w:tblCellMar>
        </w:tblPrEx>
        <w:trPr>
          <w:trHeight w:val="2700" w:hRule="atLeast"/>
        </w:trPr>
        <w:tc>
          <w:tcPr>
            <w:tcW w:w="550" w:type="dxa"/>
            <w:vMerge w:val="continue"/>
            <w:tcBorders>
              <w:left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p>
        </w:tc>
        <w:tc>
          <w:tcPr>
            <w:tcW w:w="853"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tabs>
                <w:tab w:val="left" w:pos="434"/>
              </w:tabs>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783"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tabs>
                <w:tab w:val="left" w:pos="434"/>
              </w:tabs>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生活垃圾分类</w:t>
            </w:r>
          </w:p>
          <w:p>
            <w:pPr>
              <w:pStyle w:val="6"/>
              <w:pageBreakBefore w:val="0"/>
              <w:tabs>
                <w:tab w:val="left" w:pos="434"/>
              </w:tabs>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设施设备</w:t>
            </w:r>
          </w:p>
        </w:tc>
        <w:tc>
          <w:tcPr>
            <w:tcW w:w="78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套</w:t>
            </w:r>
          </w:p>
        </w:tc>
        <w:tc>
          <w:tcPr>
            <w:tcW w:w="12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3912"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需包含</w:t>
            </w:r>
            <w:r>
              <w:rPr>
                <w:rFonts w:hint="eastAsia" w:ascii="仿宋_GB2312" w:hAnsi="仿宋_GB2312" w:eastAsia="仿宋_GB2312" w:cs="仿宋_GB2312"/>
                <w:sz w:val="32"/>
                <w:szCs w:val="32"/>
              </w:rPr>
              <w:t>有害垃圾、玻璃、金塑纸（为金属、塑料、纸张简称）、厨余垃圾</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其他垃圾收集容器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具体款式、规格，参照《深圳市住宅小区（城中村）生活垃圾集中分类投点设备技术导则》有关标准。</w:t>
            </w:r>
          </w:p>
        </w:tc>
      </w:tr>
      <w:tr>
        <w:tblPrEx>
          <w:tblLayout w:type="fixed"/>
          <w:tblCellMar>
            <w:top w:w="0" w:type="dxa"/>
            <w:left w:w="0" w:type="dxa"/>
            <w:bottom w:w="0" w:type="dxa"/>
            <w:right w:w="0" w:type="dxa"/>
          </w:tblCellMar>
        </w:tblPrEx>
        <w:trPr>
          <w:trHeight w:val="1033" w:hRule="atLeast"/>
        </w:trPr>
        <w:tc>
          <w:tcPr>
            <w:tcW w:w="550" w:type="dxa"/>
            <w:vMerge w:val="continue"/>
            <w:tcBorders>
              <w:left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firstLine="480"/>
              <w:jc w:val="center"/>
              <w:rPr>
                <w:rFonts w:hint="eastAsia" w:ascii="仿宋_GB2312" w:hAnsi="仿宋_GB2312" w:eastAsia="仿宋_GB2312" w:cs="仿宋_GB2312"/>
                <w:sz w:val="32"/>
                <w:szCs w:val="32"/>
              </w:rPr>
            </w:pPr>
          </w:p>
        </w:tc>
        <w:tc>
          <w:tcPr>
            <w:tcW w:w="853"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783"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洗手盆（含水龙头等配件</w:t>
            </w:r>
          </w:p>
        </w:tc>
        <w:tc>
          <w:tcPr>
            <w:tcW w:w="78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w:t>
            </w:r>
          </w:p>
        </w:tc>
        <w:tc>
          <w:tcPr>
            <w:tcW w:w="12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3912" w:type="dxa"/>
            <w:vMerge w:val="restart"/>
            <w:tcBorders>
              <w:top w:val="nil"/>
              <w:left w:val="nil"/>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每个集中分类投放点设置一个洗手池，包含接水和排水</w:t>
            </w:r>
            <w:r>
              <w:rPr>
                <w:rFonts w:hint="eastAsia" w:ascii="仿宋_GB2312" w:hAnsi="仿宋_GB2312" w:eastAsia="仿宋_GB2312" w:cs="仿宋_GB2312"/>
                <w:sz w:val="32"/>
                <w:szCs w:val="32"/>
                <w:lang w:val="en-US" w:eastAsia="zh-CN"/>
              </w:rPr>
              <w:t>安装（排水安装需符合排放相关要求）。</w:t>
            </w:r>
          </w:p>
        </w:tc>
      </w:tr>
      <w:tr>
        <w:tblPrEx>
          <w:tblLayout w:type="fixed"/>
          <w:tblCellMar>
            <w:top w:w="0" w:type="dxa"/>
            <w:left w:w="0" w:type="dxa"/>
            <w:bottom w:w="0" w:type="dxa"/>
            <w:right w:w="0" w:type="dxa"/>
          </w:tblCellMar>
        </w:tblPrEx>
        <w:tc>
          <w:tcPr>
            <w:tcW w:w="550" w:type="dxa"/>
            <w:vMerge w:val="continue"/>
            <w:tcBorders>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firstLine="480"/>
              <w:jc w:val="center"/>
              <w:rPr>
                <w:rFonts w:hint="eastAsia" w:ascii="仿宋_GB2312" w:hAnsi="仿宋_GB2312" w:eastAsia="仿宋_GB2312" w:cs="仿宋_GB2312"/>
                <w:sz w:val="32"/>
                <w:szCs w:val="32"/>
              </w:rPr>
            </w:pPr>
          </w:p>
        </w:tc>
        <w:tc>
          <w:tcPr>
            <w:tcW w:w="853"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1783"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投放点</w:t>
            </w:r>
          </w:p>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接水排水</w:t>
            </w:r>
          </w:p>
        </w:tc>
        <w:tc>
          <w:tcPr>
            <w:tcW w:w="78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w:t>
            </w:r>
          </w:p>
        </w:tc>
        <w:tc>
          <w:tcPr>
            <w:tcW w:w="12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3912" w:type="dxa"/>
            <w:vMerge w:val="continue"/>
            <w:tcBorders>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pageBreakBefore w:val="0"/>
              <w:kinsoku/>
              <w:wordWrap/>
              <w:overflowPunct/>
              <w:topLinePunct w:val="0"/>
              <w:bidi w:val="0"/>
              <w:spacing w:line="560" w:lineRule="exact"/>
              <w:ind w:firstLine="480"/>
              <w:jc w:val="center"/>
              <w:rPr>
                <w:rFonts w:hint="eastAsia" w:ascii="仿宋_GB2312" w:hAnsi="仿宋_GB2312" w:eastAsia="仿宋_GB2312" w:cs="仿宋_GB2312"/>
                <w:sz w:val="32"/>
                <w:szCs w:val="32"/>
              </w:rPr>
            </w:pPr>
          </w:p>
        </w:tc>
      </w:tr>
    </w:tbl>
    <w:p>
      <w:pPr>
        <w:pStyle w:val="6"/>
        <w:pageBreakBefore w:val="0"/>
        <w:kinsoku/>
        <w:wordWrap/>
        <w:overflowPunct/>
        <w:topLinePunct w:val="0"/>
        <w:bidi w:val="0"/>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碧岭街道已实施城中村综合治理的5个城中村（新沙、上沙、新作陂、汤坑新村、坞泥浪）共计32个生活垃圾分类投放点，具体如下：</w:t>
      </w:r>
    </w:p>
    <w:tbl>
      <w:tblPr>
        <w:tblStyle w:val="13"/>
        <w:tblW w:w="8516"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9"/>
        <w:gridCol w:w="1516"/>
        <w:gridCol w:w="1921"/>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序号</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住宅区</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投放点位置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乌泥浪</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同裕路138号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汤坑新村</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三巷1-1号旁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汤坑新村</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十二巷8号马路对面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汤坑新村</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五巷8号马路对面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汤坑社区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茜坑</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十三巷1号前面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惠凡连锁便利店旁边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沙陂路47号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一品煮意对面小广场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沙陂7巷10号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十巷9号周围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新陂九巷子5号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新陂十二巷14号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信达路26号收集点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新作坡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沙陂路51号后面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榕树背二巷14号斜对面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新榕路151-1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新榕路163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碧沙路32号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安大五金手袋旁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新沙五巷10号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新沙五巷19号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天瀚公司对面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新社居民小组宣传栏处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优锦鞋材(慧达8号)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碧岭总站公交站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沙坑路16号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沙坑路32-1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上下沙交界处（沙坑路19号）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上沙居民小组对面（沙坑路35号收集点）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pageBreakBefore w:val="0"/>
              <w:kinsoku/>
              <w:wordWrap/>
              <w:overflowPunct/>
              <w:topLinePunct w:val="0"/>
              <w:bidi w:val="0"/>
              <w:spacing w:line="560" w:lineRule="exact"/>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沙坑路36号</w:t>
            </w:r>
          </w:p>
        </w:tc>
      </w:tr>
    </w:tbl>
    <w:p>
      <w:pPr>
        <w:pStyle w:val="6"/>
        <w:pageBreakBefore w:val="0"/>
        <w:kinsoku/>
        <w:wordWrap/>
        <w:overflowPunct/>
        <w:topLinePunct w:val="0"/>
        <w:bidi w:val="0"/>
        <w:spacing w:line="560" w:lineRule="exact"/>
        <w:ind w:left="0" w:leftChars="0" w:firstLine="0" w:firstLineChars="0"/>
        <w:rPr>
          <w:rFonts w:hint="eastAsia" w:ascii="仿宋_GB2312" w:hAnsi="仿宋_GB2312" w:eastAsia="仿宋_GB2312" w:cs="仿宋_GB2312"/>
          <w:sz w:val="32"/>
          <w:szCs w:val="32"/>
          <w:lang w:val="en-US" w:eastAsia="zh-CN"/>
        </w:rPr>
      </w:pPr>
    </w:p>
    <w:p>
      <w:pPr>
        <w:pStyle w:val="6"/>
        <w:pageBreakBefore w:val="0"/>
        <w:kinsoku/>
        <w:wordWrap/>
        <w:overflowPunct/>
        <w:topLinePunct w:val="0"/>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标准要求。须符合《生活垃圾分类设施设备配置规范》（DB4403/T73-2020）及《深圳市住宅小区（城中村）生活垃圾集中分类投放点设备技术导则》要求标准。保修期不少于1年，保修期内生活垃圾收集容器（桶罩）宣传标语字体出现模糊、非人为原因导致变形、破损等情况，</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须提供免费维修或更换。</w:t>
      </w:r>
    </w:p>
    <w:p>
      <w:pPr>
        <w:pStyle w:val="6"/>
        <w:pageBreakBefore w:val="0"/>
        <w:kinsoku/>
        <w:wordWrap/>
        <w:overflowPunct/>
        <w:topLinePunct w:val="0"/>
        <w:bidi w:val="0"/>
        <w:spacing w:line="56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最高</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不得超过</w:t>
      </w:r>
      <w:r>
        <w:rPr>
          <w:rFonts w:hint="eastAsia" w:ascii="仿宋_GB2312" w:hAnsi="仿宋_GB2312" w:eastAsia="仿宋_GB2312" w:cs="仿宋_GB2312"/>
          <w:sz w:val="32"/>
          <w:szCs w:val="32"/>
        </w:rPr>
        <w:t>人民币</w:t>
      </w:r>
      <w:r>
        <w:rPr>
          <w:rFonts w:hint="eastAsia" w:ascii="仿宋_GB2312" w:hAnsi="仿宋_GB2312" w:eastAsia="仿宋_GB2312" w:cs="仿宋_GB2312"/>
          <w:sz w:val="32"/>
          <w:szCs w:val="32"/>
          <w:u w:val="single"/>
          <w:lang w:val="en-US" w:eastAsia="zh-CN"/>
        </w:rPr>
        <w:t>864,</w:t>
      </w:r>
      <w:r>
        <w:rPr>
          <w:rFonts w:hint="eastAsia" w:ascii="仿宋_GB2312" w:hAnsi="仿宋_GB2312" w:eastAsia="仿宋_GB2312" w:cs="仿宋_GB2312"/>
          <w:sz w:val="32"/>
          <w:szCs w:val="32"/>
          <w:u w:val="single"/>
        </w:rPr>
        <w:t>000</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single"/>
          <w:lang w:val="en-US" w:eastAsia="zh-CN"/>
        </w:rPr>
        <w:t>大写：捌拾陆万肆仟</w:t>
      </w:r>
      <w:r>
        <w:rPr>
          <w:rFonts w:hint="eastAsia" w:ascii="仿宋_GB2312" w:hAnsi="仿宋_GB2312" w:eastAsia="仿宋_GB2312" w:cs="仿宋_GB2312"/>
          <w:sz w:val="32"/>
          <w:szCs w:val="32"/>
          <w:u w:val="single"/>
        </w:rPr>
        <w:t>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三、供应商资格要求</w:t>
      </w:r>
    </w:p>
    <w:p>
      <w:pPr>
        <w:pStyle w:val="6"/>
        <w:pageBreakBefore w:val="0"/>
        <w:kinsoku/>
        <w:wordWrap/>
        <w:overflowPunct/>
        <w:topLinePunct w:val="0"/>
        <w:bidi w:val="0"/>
        <w:spacing w:line="56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投标人必须具有独立承担民事责任的能力，不接受分公司或者分支机构参与投标；</w:t>
      </w:r>
    </w:p>
    <w:p>
      <w:pPr>
        <w:pStyle w:val="6"/>
        <w:pageBreakBefore w:val="0"/>
        <w:kinsoku/>
        <w:wordWrap/>
        <w:overflowPunct/>
        <w:topLinePunct w:val="0"/>
        <w:bidi w:val="0"/>
        <w:spacing w:line="560" w:lineRule="exact"/>
        <w:ind w:firstLine="48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参加政府采购活动前三年内，在经营活动中没有重大违法记录（提供声明函，格式自拟）</w:t>
      </w:r>
      <w:r>
        <w:rPr>
          <w:rFonts w:hint="eastAsia" w:ascii="仿宋_GB2312" w:hAnsi="仿宋_GB2312" w:eastAsia="仿宋_GB2312" w:cs="仿宋_GB2312"/>
          <w:sz w:val="32"/>
          <w:szCs w:val="32"/>
          <w:lang w:eastAsia="zh-CN"/>
        </w:rPr>
        <w:t>；</w:t>
      </w:r>
    </w:p>
    <w:p>
      <w:pPr>
        <w:pStyle w:val="6"/>
        <w:pageBreakBefore w:val="0"/>
        <w:kinsoku/>
        <w:wordWrap/>
        <w:overflowPunct/>
        <w:topLinePunct w:val="0"/>
        <w:bidi w:val="0"/>
        <w:spacing w:line="560" w:lineRule="exact"/>
        <w:ind w:firstLine="48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参加政府采购活动前三年内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在经营活动中没有</w:t>
      </w:r>
      <w:r>
        <w:rPr>
          <w:rFonts w:hint="eastAsia" w:ascii="仿宋_GB2312" w:hAnsi="仿宋_GB2312" w:eastAsia="仿宋_GB2312" w:cs="仿宋_GB2312"/>
          <w:sz w:val="32"/>
          <w:szCs w:val="32"/>
          <w:lang w:val="en-US" w:eastAsia="zh-CN"/>
        </w:rPr>
        <w:t>安全生产事故</w:t>
      </w:r>
      <w:r>
        <w:rPr>
          <w:rFonts w:hint="eastAsia" w:ascii="仿宋_GB2312" w:hAnsi="仿宋_GB2312" w:eastAsia="仿宋_GB2312" w:cs="仿宋_GB2312"/>
          <w:sz w:val="32"/>
          <w:szCs w:val="32"/>
        </w:rPr>
        <w:t>（提供声明函，格式自拟）</w:t>
      </w:r>
      <w:r>
        <w:rPr>
          <w:rFonts w:hint="eastAsia" w:ascii="仿宋_GB2312" w:hAnsi="仿宋_GB2312" w:eastAsia="仿宋_GB2312" w:cs="仿宋_GB2312"/>
          <w:sz w:val="32"/>
          <w:szCs w:val="32"/>
          <w:lang w:eastAsia="zh-CN"/>
        </w:rPr>
        <w:t>；</w:t>
      </w:r>
    </w:p>
    <w:p>
      <w:pPr>
        <w:pStyle w:val="6"/>
        <w:pageBreakBefore w:val="0"/>
        <w:kinsoku/>
        <w:wordWrap/>
        <w:overflowPunct/>
        <w:topLinePunct w:val="0"/>
        <w:bidi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4.投标人需提供营业执照以及相应资质证明；</w:t>
      </w:r>
    </w:p>
    <w:p>
      <w:pPr>
        <w:pStyle w:val="6"/>
        <w:pageBreakBefore w:val="0"/>
        <w:kinsoku/>
        <w:wordWrap/>
        <w:overflowPunct/>
        <w:topLinePunct w:val="0"/>
        <w:bidi w:val="0"/>
        <w:spacing w:line="560" w:lineRule="exact"/>
        <w:ind w:firstLine="48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参与本项目政府采购活动时不存在被禁止参与政府采购活动情形</w:t>
      </w:r>
      <w:r>
        <w:rPr>
          <w:rFonts w:hint="eastAsia" w:ascii="仿宋_GB2312" w:hAnsi="仿宋_GB2312" w:eastAsia="仿宋_GB2312" w:cs="仿宋_GB2312"/>
          <w:sz w:val="32"/>
          <w:szCs w:val="32"/>
          <w:lang w:eastAsia="zh-CN"/>
        </w:rPr>
        <w:t>；</w:t>
      </w:r>
    </w:p>
    <w:p>
      <w:pPr>
        <w:pStyle w:val="6"/>
        <w:pageBreakBefore w:val="0"/>
        <w:kinsoku/>
        <w:wordWrap/>
        <w:overflowPunct/>
        <w:topLinePunct w:val="0"/>
        <w:bidi w:val="0"/>
        <w:spacing w:line="560" w:lineRule="exact"/>
        <w:ind w:firstLine="48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通过“信用中国”网站（www.creditchina.gov.cn）和中国政府采购网（www.ccgp.gov.cn）查询信用记录（相关信息以中标通知书发出前的查询结果为准），被列入失信被执行人、重大税收违法案件当事人名单或政府采购严重违法失信行为记录名单的供应商，拒绝参与本项目的采购活动。</w:t>
      </w:r>
    </w:p>
    <w:p>
      <w:pPr>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本项目不接受联合体投标。</w:t>
      </w:r>
    </w:p>
    <w:p>
      <w:pPr>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四、评标定标方法</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采用综合评分法，即投标文件满足采购需求文件全部实质性要求，且按照评审因素的量化指标评审得分最高的投标人为中标候选人的评标方法。</w:t>
      </w:r>
      <w:r>
        <w:rPr>
          <w:rFonts w:hint="eastAsia" w:ascii="仿宋_GB2312" w:hAnsi="仿宋_GB2312" w:eastAsia="仿宋_GB2312" w:cs="仿宋_GB2312"/>
          <w:sz w:val="32"/>
          <w:szCs w:val="32"/>
        </w:rPr>
        <w:tab/>
      </w:r>
    </w:p>
    <w:p>
      <w:pPr>
        <w:pStyle w:val="6"/>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确定中标单位按评审后得分由高到低顺序排列。得分相同的，按投标报价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综合单价）</w:t>
      </w:r>
      <w:r>
        <w:rPr>
          <w:rFonts w:hint="eastAsia" w:ascii="仿宋_GB2312" w:hAnsi="仿宋_GB2312" w:eastAsia="仿宋_GB2312" w:cs="仿宋_GB2312"/>
          <w:sz w:val="32"/>
          <w:szCs w:val="32"/>
        </w:rPr>
        <w:t>由低到高顺序排列。得分且投标报价相同的，按</w:t>
      </w:r>
      <w:r>
        <w:rPr>
          <w:rFonts w:hint="eastAsia" w:ascii="仿宋_GB2312" w:hAnsi="仿宋_GB2312" w:eastAsia="仿宋_GB2312" w:cs="仿宋_GB2312"/>
          <w:sz w:val="32"/>
          <w:szCs w:val="32"/>
          <w:lang w:val="en-US" w:eastAsia="zh-CN"/>
        </w:rPr>
        <w:t>服务质量指标</w:t>
      </w:r>
      <w:r>
        <w:rPr>
          <w:rFonts w:hint="eastAsia" w:ascii="仿宋_GB2312" w:hAnsi="仿宋_GB2312" w:eastAsia="仿宋_GB2312" w:cs="仿宋_GB2312"/>
          <w:sz w:val="32"/>
          <w:szCs w:val="32"/>
        </w:rPr>
        <w:t>优劣顺序排列。</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采购小组会对每个通过资格性检查和符合性检查且报价不超过预</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金额或投标控制价的投标单位进行评审、打分，然后汇总每个投标单位每项评分因素的评分。</w:t>
      </w:r>
      <w:r>
        <w:rPr>
          <w:rFonts w:hint="eastAsia" w:ascii="仿宋_GB2312" w:hAnsi="仿宋_GB2312" w:eastAsia="仿宋_GB2312" w:cs="仿宋_GB2312"/>
          <w:sz w:val="32"/>
          <w:szCs w:val="32"/>
        </w:rPr>
        <w:tab/>
      </w:r>
    </w:p>
    <w:p>
      <w:pPr>
        <w:pStyle w:val="6"/>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采购小组在评标时，按照以下量化的评审因素，对进入该阶段评审的各投标文件进行分析和比较:</w:t>
      </w:r>
    </w:p>
    <w:tbl>
      <w:tblPr>
        <w:tblStyle w:val="14"/>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396"/>
        <w:gridCol w:w="629"/>
        <w:gridCol w:w="941"/>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gridSpan w:val="4"/>
            <w:vAlign w:val="center"/>
          </w:tcPr>
          <w:p>
            <w:pPr>
              <w:pageBreakBefore w:val="0"/>
              <w:kinsoku/>
              <w:wordWrap/>
              <w:overflowPunct/>
              <w:topLinePunct w:val="0"/>
              <w:bidi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评分项</w:t>
            </w:r>
          </w:p>
        </w:tc>
        <w:tc>
          <w:tcPr>
            <w:tcW w:w="5964"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gridSpan w:val="4"/>
            <w:vAlign w:val="center"/>
          </w:tcPr>
          <w:p>
            <w:pPr>
              <w:pageBreakBefore w:val="0"/>
              <w:kinsoku/>
              <w:wordWrap/>
              <w:overflowPunct/>
              <w:topLinePunct w:val="0"/>
              <w:bidi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价格</w:t>
            </w:r>
          </w:p>
        </w:tc>
        <w:tc>
          <w:tcPr>
            <w:tcW w:w="5964"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 号</w:t>
            </w:r>
          </w:p>
        </w:tc>
        <w:tc>
          <w:tcPr>
            <w:tcW w:w="1396"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评分因素</w:t>
            </w:r>
          </w:p>
        </w:tc>
        <w:tc>
          <w:tcPr>
            <w:tcW w:w="62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权重</w:t>
            </w:r>
          </w:p>
        </w:tc>
        <w:tc>
          <w:tcPr>
            <w:tcW w:w="941"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评分方式</w:t>
            </w:r>
          </w:p>
        </w:tc>
        <w:tc>
          <w:tcPr>
            <w:tcW w:w="5964"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trPr>
        <w:tc>
          <w:tcPr>
            <w:tcW w:w="56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96"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价格高低</w:t>
            </w:r>
          </w:p>
        </w:tc>
        <w:tc>
          <w:tcPr>
            <w:tcW w:w="62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w:t>
            </w:r>
          </w:p>
        </w:tc>
        <w:tc>
          <w:tcPr>
            <w:tcW w:w="941"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采购小组打分</w:t>
            </w:r>
          </w:p>
        </w:tc>
        <w:tc>
          <w:tcPr>
            <w:tcW w:w="5964" w:type="dxa"/>
            <w:vAlign w:val="center"/>
          </w:tcPr>
          <w:p>
            <w:pPr>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满足采购需求要求且投标价格最低的投标报价为评标基准价， 其价格分为满分；其它投标人的价格分统一按照下列公示计算: 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3534" w:type="dxa"/>
            <w:gridSpan w:val="4"/>
            <w:vAlign w:val="center"/>
          </w:tcPr>
          <w:p>
            <w:pPr>
              <w:pageBreakBefore w:val="0"/>
              <w:kinsoku/>
              <w:wordWrap/>
              <w:overflowPunct/>
              <w:topLinePunct w:val="0"/>
              <w:autoSpaceDE w:val="0"/>
              <w:autoSpaceDN w:val="0"/>
              <w:bidi w:val="0"/>
              <w:adjustRightInd w:val="0"/>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服务质量指标</w:t>
            </w:r>
          </w:p>
        </w:tc>
        <w:tc>
          <w:tcPr>
            <w:tcW w:w="5964"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4" w:hRule="atLeast"/>
        </w:trPr>
        <w:tc>
          <w:tcPr>
            <w:tcW w:w="56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ab/>
            </w:r>
          </w:p>
        </w:tc>
        <w:tc>
          <w:tcPr>
            <w:tcW w:w="1396"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同类项目</w:t>
            </w:r>
          </w:p>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开展经验</w:t>
            </w:r>
          </w:p>
        </w:tc>
        <w:tc>
          <w:tcPr>
            <w:tcW w:w="62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p>
        </w:tc>
        <w:tc>
          <w:tcPr>
            <w:tcW w:w="941"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采购小组 打分</w:t>
            </w:r>
          </w:p>
        </w:tc>
        <w:tc>
          <w:tcPr>
            <w:tcW w:w="5964" w:type="dxa"/>
            <w:vAlign w:val="center"/>
          </w:tcPr>
          <w:p>
            <w:pPr>
              <w:pageBreakBefore w:val="0"/>
              <w:kinsoku/>
              <w:wordWrap/>
              <w:overflowPunct/>
              <w:topLinePunct w:val="0"/>
              <w:bidi w:val="0"/>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（一）评审标准：</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2018年1月1日至今，投标人承接街道级别的同类项目的：</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1.开展过三次或以上得5分；</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2.开展过二次得2分；</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3.开展过一次得1分；</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根据签订的同类服务合同计算，满分为5分。</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（二）证明文件：</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提供合同关键页。未按要求提供有效证明材料或提供不清晰导致评委无法识别的不计得分。</w:t>
            </w:r>
            <w:r>
              <w:rPr>
                <w:rFonts w:hint="eastAsia" w:ascii="仿宋_GB2312" w:hAnsi="仿宋_GB2312" w:eastAsia="仿宋_GB2312" w:cs="仿宋_GB2312"/>
                <w:color w:val="auto"/>
                <w:sz w:val="32"/>
                <w:szCs w:val="3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56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p>
        </w:tc>
        <w:tc>
          <w:tcPr>
            <w:tcW w:w="1396"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业主评价</w:t>
            </w:r>
          </w:p>
        </w:tc>
        <w:tc>
          <w:tcPr>
            <w:tcW w:w="62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p>
        </w:tc>
        <w:tc>
          <w:tcPr>
            <w:tcW w:w="941"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采购小组 打分</w:t>
            </w:r>
          </w:p>
        </w:tc>
        <w:tc>
          <w:tcPr>
            <w:tcW w:w="5964" w:type="dxa"/>
            <w:vAlign w:val="center"/>
          </w:tcPr>
          <w:p>
            <w:pPr>
              <w:pageBreakBefore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投标人提供2018年1月1日至今，承接同类项目服务、质量等方面的业主评价，结果视为满意或良好或以上的每个得1分，满分为5分。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4" w:hRule="atLeast"/>
        </w:trPr>
        <w:tc>
          <w:tcPr>
            <w:tcW w:w="568" w:type="dxa"/>
            <w:vAlign w:val="center"/>
          </w:tcPr>
          <w:p>
            <w:pPr>
              <w:pageBreakBefore w:val="0"/>
              <w:kinsoku/>
              <w:wordWrap/>
              <w:overflowPunct/>
              <w:topLinePunct w:val="0"/>
              <w:bidi w:val="0"/>
              <w:spacing w:line="560" w:lineRule="exact"/>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p>
        </w:tc>
        <w:tc>
          <w:tcPr>
            <w:tcW w:w="1396"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诚信评审</w:t>
            </w:r>
          </w:p>
        </w:tc>
        <w:tc>
          <w:tcPr>
            <w:tcW w:w="62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p>
        </w:tc>
        <w:tc>
          <w:tcPr>
            <w:tcW w:w="941"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采购小组 打分</w:t>
            </w:r>
          </w:p>
        </w:tc>
        <w:tc>
          <w:tcPr>
            <w:tcW w:w="5964" w:type="dxa"/>
            <w:vAlign w:val="center"/>
          </w:tcPr>
          <w:p>
            <w:pPr>
              <w:pStyle w:val="15"/>
              <w:pageBreakBefore w:val="0"/>
              <w:numPr>
                <w:ilvl w:val="0"/>
                <w:numId w:val="1"/>
              </w:numPr>
              <w:kinsoku/>
              <w:wordWrap/>
              <w:overflowPunct/>
              <w:topLinePunct w:val="0"/>
              <w:bidi w:val="0"/>
              <w:spacing w:line="560" w:lineRule="exact"/>
              <w:ind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评审标准： </w:t>
            </w:r>
          </w:p>
          <w:p>
            <w:pPr>
              <w:pStyle w:val="2"/>
              <w:pageBreakBefore w:val="0"/>
              <w:kinsoku/>
              <w:wordWrap/>
              <w:overflowPunct/>
              <w:topLinePunct w:val="0"/>
              <w:bidi w:val="0"/>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投标人参与政府采购活动在诚信管理中受过主管部门通报处理且仍在实施期限内的本项不得分，否则得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分。</w:t>
            </w:r>
          </w:p>
          <w:p>
            <w:pPr>
              <w:pageBreakBefore w:val="0"/>
              <w:kinsoku/>
              <w:wordWrap/>
              <w:overflowPunct/>
              <w:topLinePunct w:val="0"/>
              <w:bidi w:val="0"/>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（二）证明文件：</w:t>
            </w:r>
          </w:p>
          <w:p>
            <w:pPr>
              <w:pStyle w:val="2"/>
              <w:pageBreakBefore w:val="0"/>
              <w:kinsoku/>
              <w:wordWrap/>
              <w:overflowPunct/>
              <w:topLinePunct w:val="0"/>
              <w:bidi w:val="0"/>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投标人须如实提供《诚信承诺函》原件加盖投标人公章，且承诺函格式及内容不得修改，否则不得分。如若投标人承诺与实际情况不相符，将按虚假应标报相关主管部门处理。</w:t>
            </w:r>
          </w:p>
        </w:tc>
      </w:tr>
    </w:tbl>
    <w:p>
      <w:pPr>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五、商务需求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（一）服务期</w:t>
      </w:r>
      <w:r>
        <w:rPr>
          <w:rFonts w:hint="eastAsia" w:ascii="楷体_GB2312" w:hAnsi="楷体_GB2312" w:eastAsia="楷体_GB2312" w:cs="楷体_GB2312"/>
          <w:sz w:val="32"/>
          <w:szCs w:val="32"/>
          <w:lang w:val="en-US" w:eastAsia="zh-CN"/>
        </w:rPr>
        <w:t>及保修期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服务期为：合同签订之日起30日内按标准完成投放点设置；</w:t>
      </w:r>
    </w:p>
    <w:p>
      <w:pPr>
        <w:keepNext w:val="0"/>
        <w:keepLines w:val="0"/>
        <w:pageBreakBefore w:val="0"/>
        <w:widowControl/>
        <w:suppressLineNumbers w:val="0"/>
        <w:kinsoku/>
        <w:wordWrap/>
        <w:overflowPunct/>
        <w:topLinePunct w:val="0"/>
        <w:bidi w:val="0"/>
        <w:spacing w:line="560" w:lineRule="exact"/>
        <w:jc w:val="left"/>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保修期为：保修期不少于1年，保修期内本项目涉及的分类设施设备宣传标语字体出现模糊、非人为原因导致变形、破损等情况，中标人须提供免费维修或更换。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（二）服务地点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碧岭街道行政辖区范围内。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（三）报价要求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服务费采用包干制，应包括服务成本、法定税费和企业的利润。由投标人根据采购文件所提供的资料自行测算投标报价；一经中标，报价的价格作为中标人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2.投标人应当根据本企业的成本自行决定报价，但不得以低于其企业成本的报价投标。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3.投标人的报价，应当是本项目采购范围和采购文件及合同条款上所列的各项内容中所述的全部，不得以任何理由予以重复。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除非采购人通过修改采购文件予以更正，否则，投标人毫无例外地按响应文件所列的清单中项目和数量填报综合单价和合价。投标人未填综合单价或合价的项目，在实施后，将不得以支付，并视作该项费用已包括在其它有价款的综合单价或合价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5.投标人应先到项目地点踏勘以充分了解项目的位置、情况、道路及任何其它足以影响投标报价的情况，任何因忽视或误解项目情况而导致的索赔或服务期限延长申请将不获批准。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6.投标人不得期望通过索赔等方式获取补偿，否则，除可能遭到拒绝外，还可能将被作为不良行为记录在案，并可能影响其以后参加政府采购的项目投标。各投标人在报价时，应充分考虑报价的风险。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（四）付款方式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1.具体付款方式以实际签订合同为准。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2.具体按深圳市坪山区财政局及碧岭街道办事处有关规定执行。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（五）履约担保金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24"/>
          <w:szCs w:val="24"/>
          <w:lang w:val="en-US" w:eastAsia="zh-CN"/>
        </w:rPr>
      </w:pPr>
      <w:r>
        <w:rPr>
          <w:rFonts w:hint="eastAsia" w:ascii="仿宋_GB2312" w:hAnsi="仿宋_GB2312" w:eastAsia="仿宋_GB2312" w:cs="仿宋_GB2312"/>
          <w:sz w:val="32"/>
          <w:szCs w:val="32"/>
          <w:lang w:val="en-US" w:eastAsia="zh-CN"/>
        </w:rPr>
        <w:t>本项目不设履约担保金。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具体由中标人与采购人在起草合同文本时，双方协商拟定。</w:t>
      </w:r>
    </w:p>
    <w:p>
      <w:pPr>
        <w:pageBreakBefore w:val="0"/>
        <w:kinsoku/>
        <w:wordWrap/>
        <w:overflowPunct/>
        <w:topLinePunct w:val="0"/>
        <w:autoSpaceDE/>
        <w:autoSpaceDN/>
        <w:bidi w:val="0"/>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供应商情况介绍</w:t>
      </w:r>
    </w:p>
    <w:tbl>
      <w:tblPr>
        <w:tblStyle w:val="13"/>
        <w:tblW w:w="923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530"/>
        <w:gridCol w:w="4187"/>
        <w:gridCol w:w="18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b/>
                <w:sz w:val="32"/>
                <w:szCs w:val="32"/>
              </w:rPr>
            </w:pPr>
            <w:r>
              <w:rPr>
                <w:rFonts w:hint="eastAsia" w:ascii="仿宋" w:hAnsi="仿宋" w:eastAsia="仿宋" w:cs="仿宋"/>
                <w:b/>
                <w:sz w:val="32"/>
                <w:szCs w:val="32"/>
              </w:rPr>
              <w:t>序号</w:t>
            </w:r>
          </w:p>
        </w:tc>
        <w:tc>
          <w:tcPr>
            <w:tcW w:w="2530" w:type="dxa"/>
          </w:tcPr>
          <w:p>
            <w:pPr>
              <w:pageBreakBefore w:val="0"/>
              <w:kinsoku/>
              <w:wordWrap/>
              <w:overflowPunct/>
              <w:topLinePunct w:val="0"/>
              <w:bidi w:val="0"/>
              <w:spacing w:line="560" w:lineRule="exact"/>
              <w:jc w:val="center"/>
              <w:rPr>
                <w:rFonts w:ascii="仿宋" w:hAnsi="仿宋" w:eastAsia="仿宋" w:cs="仿宋"/>
                <w:b/>
                <w:sz w:val="32"/>
                <w:szCs w:val="32"/>
              </w:rPr>
            </w:pPr>
            <w:r>
              <w:rPr>
                <w:rFonts w:hint="eastAsia" w:ascii="仿宋" w:hAnsi="仿宋" w:eastAsia="仿宋" w:cs="仿宋"/>
                <w:b/>
                <w:sz w:val="32"/>
                <w:szCs w:val="32"/>
              </w:rPr>
              <w:t>项目</w:t>
            </w:r>
          </w:p>
        </w:tc>
        <w:tc>
          <w:tcPr>
            <w:tcW w:w="4187" w:type="dxa"/>
            <w:vAlign w:val="center"/>
          </w:tcPr>
          <w:p>
            <w:pPr>
              <w:pageBreakBefore w:val="0"/>
              <w:kinsoku/>
              <w:wordWrap/>
              <w:overflowPunct/>
              <w:topLinePunct w:val="0"/>
              <w:bidi w:val="0"/>
              <w:spacing w:line="560" w:lineRule="exact"/>
              <w:jc w:val="center"/>
              <w:rPr>
                <w:rFonts w:ascii="仿宋" w:hAnsi="仿宋" w:eastAsia="仿宋" w:cs="仿宋"/>
                <w:b/>
                <w:sz w:val="32"/>
                <w:szCs w:val="32"/>
              </w:rPr>
            </w:pPr>
            <w:r>
              <w:rPr>
                <w:rFonts w:hint="eastAsia" w:ascii="仿宋" w:hAnsi="仿宋" w:eastAsia="仿宋" w:cs="仿宋"/>
                <w:b/>
                <w:sz w:val="32"/>
                <w:szCs w:val="32"/>
              </w:rPr>
              <w:t>内容及说明</w:t>
            </w:r>
          </w:p>
        </w:tc>
        <w:tc>
          <w:tcPr>
            <w:tcW w:w="1836" w:type="dxa"/>
            <w:vAlign w:val="center"/>
          </w:tcPr>
          <w:p>
            <w:pPr>
              <w:pageBreakBefore w:val="0"/>
              <w:kinsoku/>
              <w:wordWrap/>
              <w:overflowPunct/>
              <w:topLinePunct w:val="0"/>
              <w:bidi w:val="0"/>
              <w:spacing w:line="560" w:lineRule="exact"/>
              <w:jc w:val="center"/>
              <w:rPr>
                <w:rFonts w:ascii="仿宋" w:hAnsi="仿宋" w:eastAsia="仿宋" w:cs="仿宋"/>
                <w:b/>
                <w:sz w:val="32"/>
                <w:szCs w:val="32"/>
              </w:rPr>
            </w:pPr>
            <w:r>
              <w:rPr>
                <w:rFonts w:hint="eastAsia" w:ascii="仿宋" w:hAnsi="仿宋" w:eastAsia="仿宋" w:cs="仿宋"/>
                <w:b/>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b/>
                <w:sz w:val="32"/>
                <w:szCs w:val="32"/>
              </w:rPr>
            </w:pPr>
            <w:r>
              <w:rPr>
                <w:rFonts w:hint="eastAsia" w:ascii="仿宋" w:hAnsi="仿宋" w:eastAsia="仿宋" w:cs="仿宋"/>
                <w:b/>
                <w:sz w:val="32"/>
                <w:szCs w:val="32"/>
              </w:rPr>
              <w:t>一</w:t>
            </w:r>
          </w:p>
        </w:tc>
        <w:tc>
          <w:tcPr>
            <w:tcW w:w="6717" w:type="dxa"/>
            <w:gridSpan w:val="2"/>
          </w:tcPr>
          <w:p>
            <w:pPr>
              <w:pageBreakBefore w:val="0"/>
              <w:kinsoku/>
              <w:wordWrap/>
              <w:overflowPunct/>
              <w:topLinePunct w:val="0"/>
              <w:bidi w:val="0"/>
              <w:spacing w:line="560" w:lineRule="exact"/>
              <w:rPr>
                <w:rFonts w:ascii="仿宋" w:hAnsi="仿宋" w:eastAsia="仿宋" w:cs="仿宋"/>
                <w:b/>
                <w:sz w:val="32"/>
                <w:szCs w:val="32"/>
              </w:rPr>
            </w:pPr>
            <w:r>
              <w:rPr>
                <w:rFonts w:hint="eastAsia" w:ascii="仿宋" w:hAnsi="仿宋" w:eastAsia="仿宋" w:cs="仿宋"/>
                <w:b/>
                <w:sz w:val="32"/>
                <w:szCs w:val="32"/>
              </w:rPr>
              <w:t>营业执照</w:t>
            </w: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成立日期及注册号</w:t>
            </w:r>
          </w:p>
        </w:tc>
        <w:tc>
          <w:tcPr>
            <w:tcW w:w="4187" w:type="dxa"/>
            <w:vAlign w:val="center"/>
          </w:tcPr>
          <w:p>
            <w:pPr>
              <w:pageBreakBefore w:val="0"/>
              <w:kinsoku/>
              <w:wordWrap/>
              <w:overflowPunct/>
              <w:topLinePunct w:val="0"/>
              <w:bidi w:val="0"/>
              <w:spacing w:line="560" w:lineRule="exact"/>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2</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注册资本（万元）</w:t>
            </w:r>
          </w:p>
        </w:tc>
        <w:tc>
          <w:tcPr>
            <w:tcW w:w="4187" w:type="dxa"/>
            <w:vAlign w:val="center"/>
          </w:tcPr>
          <w:p>
            <w:pPr>
              <w:pageBreakBefore w:val="0"/>
              <w:kinsoku/>
              <w:wordWrap/>
              <w:overflowPunct/>
              <w:topLinePunct w:val="0"/>
              <w:bidi w:val="0"/>
              <w:spacing w:line="560" w:lineRule="exact"/>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3</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注册地址</w:t>
            </w:r>
          </w:p>
        </w:tc>
        <w:tc>
          <w:tcPr>
            <w:tcW w:w="4187" w:type="dxa"/>
            <w:vAlign w:val="center"/>
          </w:tcPr>
          <w:p>
            <w:pPr>
              <w:pageBreakBefore w:val="0"/>
              <w:kinsoku/>
              <w:wordWrap/>
              <w:overflowPunct/>
              <w:topLinePunct w:val="0"/>
              <w:bidi w:val="0"/>
              <w:spacing w:line="560" w:lineRule="exact"/>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4</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有效期</w:t>
            </w:r>
          </w:p>
        </w:tc>
        <w:tc>
          <w:tcPr>
            <w:tcW w:w="4187" w:type="dxa"/>
            <w:vAlign w:val="center"/>
          </w:tcPr>
          <w:p>
            <w:pPr>
              <w:pageBreakBefore w:val="0"/>
              <w:kinsoku/>
              <w:wordWrap/>
              <w:overflowPunct/>
              <w:topLinePunct w:val="0"/>
              <w:bidi w:val="0"/>
              <w:spacing w:line="560" w:lineRule="exact"/>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b/>
                <w:sz w:val="32"/>
                <w:szCs w:val="32"/>
              </w:rPr>
            </w:pPr>
            <w:r>
              <w:rPr>
                <w:rFonts w:hint="eastAsia" w:ascii="仿宋" w:hAnsi="仿宋" w:eastAsia="仿宋" w:cs="仿宋"/>
                <w:b/>
                <w:sz w:val="32"/>
                <w:szCs w:val="32"/>
              </w:rPr>
              <w:t>二</w:t>
            </w:r>
          </w:p>
        </w:tc>
        <w:tc>
          <w:tcPr>
            <w:tcW w:w="6717" w:type="dxa"/>
            <w:gridSpan w:val="2"/>
            <w:vAlign w:val="center"/>
          </w:tcPr>
          <w:p>
            <w:pPr>
              <w:pageBreakBefore w:val="0"/>
              <w:kinsoku/>
              <w:wordWrap/>
              <w:overflowPunct/>
              <w:topLinePunct w:val="0"/>
              <w:bidi w:val="0"/>
              <w:spacing w:line="560" w:lineRule="exact"/>
              <w:rPr>
                <w:rFonts w:ascii="仿宋" w:hAnsi="仿宋" w:eastAsia="仿宋" w:cs="仿宋"/>
                <w:b/>
                <w:sz w:val="32"/>
                <w:szCs w:val="32"/>
              </w:rPr>
            </w:pPr>
            <w:r>
              <w:rPr>
                <w:rFonts w:hint="eastAsia" w:ascii="仿宋" w:hAnsi="仿宋" w:eastAsia="仿宋" w:cs="仿宋"/>
                <w:b/>
                <w:sz w:val="32"/>
                <w:szCs w:val="32"/>
              </w:rPr>
              <w:t>税务登记证</w:t>
            </w: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税务登记证编号</w:t>
            </w:r>
          </w:p>
        </w:tc>
        <w:tc>
          <w:tcPr>
            <w:tcW w:w="4187" w:type="dxa"/>
            <w:vAlign w:val="center"/>
          </w:tcPr>
          <w:p>
            <w:pPr>
              <w:pageBreakBefore w:val="0"/>
              <w:kinsoku/>
              <w:wordWrap/>
              <w:overflowPunct/>
              <w:topLinePunct w:val="0"/>
              <w:bidi w:val="0"/>
              <w:spacing w:line="560" w:lineRule="exact"/>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b/>
                <w:bCs/>
                <w:sz w:val="32"/>
                <w:szCs w:val="32"/>
              </w:rPr>
              <w:t>三</w:t>
            </w:r>
          </w:p>
        </w:tc>
        <w:tc>
          <w:tcPr>
            <w:tcW w:w="6717" w:type="dxa"/>
            <w:gridSpan w:val="2"/>
            <w:vAlign w:val="center"/>
          </w:tcPr>
          <w:p>
            <w:pPr>
              <w:pageBreakBefore w:val="0"/>
              <w:kinsoku/>
              <w:wordWrap/>
              <w:overflowPunct/>
              <w:topLinePunct w:val="0"/>
              <w:bidi w:val="0"/>
              <w:spacing w:line="560" w:lineRule="exact"/>
              <w:rPr>
                <w:rFonts w:ascii="仿宋" w:hAnsi="仿宋" w:eastAsia="仿宋" w:cs="仿宋"/>
                <w:b/>
                <w:sz w:val="32"/>
                <w:szCs w:val="32"/>
              </w:rPr>
            </w:pPr>
            <w:r>
              <w:rPr>
                <w:rFonts w:hint="eastAsia" w:ascii="仿宋" w:hAnsi="仿宋" w:eastAsia="仿宋" w:cs="仿宋"/>
                <w:b/>
                <w:sz w:val="32"/>
                <w:szCs w:val="32"/>
              </w:rPr>
              <w:t>资格（质）证书（</w:t>
            </w:r>
            <w:r>
              <w:rPr>
                <w:rFonts w:hint="eastAsia" w:ascii="仿宋" w:hAnsi="仿宋" w:eastAsia="仿宋" w:cs="仿宋"/>
                <w:sz w:val="32"/>
                <w:szCs w:val="32"/>
              </w:rPr>
              <w:t>若有其他资质证书，可按表格格式扩展</w:t>
            </w:r>
            <w:r>
              <w:rPr>
                <w:rFonts w:hint="eastAsia" w:ascii="仿宋" w:hAnsi="仿宋" w:eastAsia="仿宋" w:cs="仿宋"/>
                <w:b/>
                <w:sz w:val="32"/>
                <w:szCs w:val="32"/>
              </w:rPr>
              <w:t>）</w:t>
            </w: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证书名称</w:t>
            </w:r>
          </w:p>
        </w:tc>
        <w:tc>
          <w:tcPr>
            <w:tcW w:w="4187"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2</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发证机关</w:t>
            </w:r>
          </w:p>
        </w:tc>
        <w:tc>
          <w:tcPr>
            <w:tcW w:w="4187"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3</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等级</w:t>
            </w:r>
          </w:p>
        </w:tc>
        <w:tc>
          <w:tcPr>
            <w:tcW w:w="4187"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4</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发证日期及编号</w:t>
            </w:r>
          </w:p>
        </w:tc>
        <w:tc>
          <w:tcPr>
            <w:tcW w:w="4187"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5</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有效期</w:t>
            </w:r>
          </w:p>
        </w:tc>
        <w:tc>
          <w:tcPr>
            <w:tcW w:w="4187"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b/>
                <w:sz w:val="32"/>
                <w:szCs w:val="32"/>
              </w:rPr>
            </w:pPr>
            <w:r>
              <w:rPr>
                <w:rFonts w:hint="eastAsia" w:ascii="仿宋" w:hAnsi="仿宋" w:eastAsia="仿宋" w:cs="仿宋"/>
                <w:b/>
                <w:sz w:val="32"/>
                <w:szCs w:val="32"/>
              </w:rPr>
              <w:t>四</w:t>
            </w:r>
          </w:p>
        </w:tc>
        <w:tc>
          <w:tcPr>
            <w:tcW w:w="6717" w:type="dxa"/>
            <w:gridSpan w:val="2"/>
            <w:vAlign w:val="center"/>
          </w:tcPr>
          <w:p>
            <w:pPr>
              <w:pageBreakBefore w:val="0"/>
              <w:kinsoku/>
              <w:wordWrap/>
              <w:overflowPunct/>
              <w:topLinePunct w:val="0"/>
              <w:bidi w:val="0"/>
              <w:spacing w:line="560" w:lineRule="exact"/>
              <w:rPr>
                <w:rFonts w:ascii="仿宋" w:hAnsi="仿宋" w:eastAsia="仿宋" w:cs="仿宋"/>
                <w:b/>
                <w:sz w:val="32"/>
                <w:szCs w:val="32"/>
              </w:rPr>
            </w:pPr>
            <w:r>
              <w:rPr>
                <w:rFonts w:hint="eastAsia" w:ascii="仿宋" w:hAnsi="仿宋" w:eastAsia="仿宋" w:cs="仿宋"/>
                <w:b/>
                <w:sz w:val="32"/>
                <w:szCs w:val="32"/>
              </w:rPr>
              <w:t>其他</w:t>
            </w:r>
            <w:r>
              <w:rPr>
                <w:rFonts w:hint="eastAsia" w:ascii="仿宋" w:hAnsi="仿宋" w:eastAsia="仿宋" w:cs="仿宋"/>
                <w:sz w:val="32"/>
                <w:szCs w:val="32"/>
              </w:rPr>
              <w:t>（投标人认为需补充的其他说明）</w:t>
            </w: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c>
          <w:tcPr>
            <w:tcW w:w="4187"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c>
          <w:tcPr>
            <w:tcW w:w="1836" w:type="dxa"/>
            <w:vAlign w:val="center"/>
          </w:tcPr>
          <w:p>
            <w:pPr>
              <w:pageBreakBefore w:val="0"/>
              <w:kinsoku/>
              <w:wordWrap/>
              <w:overflowPunct/>
              <w:topLinePunct w:val="0"/>
              <w:bidi w:val="0"/>
              <w:spacing w:line="560" w:lineRule="exact"/>
              <w:jc w:val="center"/>
              <w:rPr>
                <w:rFonts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注：1、在按要求填写好此表格后，各投标人可以用其它的方式，就公司整体情况作出详细的介绍。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2、投标人须按采购需求中“投标人资质要求”提供相关的资质证明，投标文件中未提供或提供不完整、不符合要求的，将按投标无效处理。在政府采购系统响应报名的单位，不代表资格审查通过。</w:t>
      </w:r>
    </w:p>
    <w:p>
      <w:pPr>
        <w:pageBreakBefore w:val="0"/>
        <w:numPr>
          <w:ilvl w:val="0"/>
          <w:numId w:val="0"/>
        </w:numPr>
        <w:kinsoku/>
        <w:wordWrap/>
        <w:overflowPunct/>
        <w:topLinePunct w:val="0"/>
        <w:bidi w:val="0"/>
        <w:spacing w:line="560" w:lineRule="exact"/>
        <w:rPr>
          <w:rFonts w:hint="eastAsia" w:ascii="黑体" w:hAnsi="黑体" w:eastAsia="黑体" w:cs="仿宋"/>
          <w:color w:val="000000"/>
          <w:sz w:val="32"/>
          <w:szCs w:val="32"/>
          <w:lang w:eastAsia="zh-CN"/>
        </w:rPr>
      </w:pPr>
      <w:r>
        <w:rPr>
          <w:rFonts w:hint="eastAsia" w:ascii="黑体" w:hAnsi="黑体" w:eastAsia="黑体" w:cs="仿宋"/>
          <w:color w:val="000000"/>
          <w:sz w:val="32"/>
          <w:szCs w:val="32"/>
          <w:lang w:val="en-US" w:eastAsia="zh-CN"/>
        </w:rPr>
        <w:t>七、</w:t>
      </w:r>
      <w:r>
        <w:rPr>
          <w:rFonts w:hint="eastAsia" w:ascii="黑体" w:hAnsi="黑体" w:eastAsia="黑体" w:cs="仿宋"/>
          <w:color w:val="000000"/>
          <w:sz w:val="32"/>
          <w:szCs w:val="32"/>
        </w:rPr>
        <w:t>报价清单</w:t>
      </w:r>
    </w:p>
    <w:tbl>
      <w:tblPr>
        <w:tblStyle w:val="13"/>
        <w:tblpPr w:leftFromText="180" w:rightFromText="180" w:vertAnchor="text" w:horzAnchor="page" w:tblpX="1334" w:tblpY="264"/>
        <w:tblOverlap w:val="never"/>
        <w:tblW w:w="9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6"/>
        <w:gridCol w:w="1774"/>
        <w:gridCol w:w="1889"/>
        <w:gridCol w:w="1041"/>
        <w:gridCol w:w="1041"/>
        <w:gridCol w:w="1042"/>
        <w:gridCol w:w="1"/>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序号</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名称</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单位</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数量</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单价</w:t>
            </w:r>
          </w:p>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（元）</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金额</w:t>
            </w:r>
          </w:p>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（元）</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76"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生活垃圾分类</w:t>
            </w:r>
          </w:p>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设施设备</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套</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洗手盆</w:t>
            </w:r>
            <w:r>
              <w:rPr>
                <w:rFonts w:hint="eastAsia" w:ascii="仿宋_GB2312" w:hAnsi="仿宋_GB2312" w:eastAsia="仿宋_GB2312" w:cs="仿宋_GB2312"/>
                <w:i w:val="0"/>
                <w:color w:val="000000"/>
                <w:kern w:val="0"/>
                <w:sz w:val="32"/>
                <w:szCs w:val="32"/>
                <w:u w:val="none"/>
                <w:lang w:val="en-US" w:eastAsia="zh-CN" w:bidi="ar"/>
              </w:rPr>
              <w:br w:type="textWrapping"/>
            </w:r>
            <w:r>
              <w:rPr>
                <w:rFonts w:hint="eastAsia" w:ascii="仿宋_GB2312" w:hAnsi="仿宋_GB2312" w:eastAsia="仿宋_GB2312" w:cs="仿宋_GB2312"/>
                <w:i w:val="0"/>
                <w:color w:val="000000"/>
                <w:kern w:val="0"/>
                <w:sz w:val="32"/>
                <w:szCs w:val="32"/>
                <w:u w:val="none"/>
                <w:lang w:val="en-US" w:eastAsia="zh-CN" w:bidi="ar"/>
              </w:rPr>
              <w:t>（含水龙头等配件）</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个</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8" w:hRule="atLeast"/>
        </w:trPr>
        <w:tc>
          <w:tcPr>
            <w:tcW w:w="1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1774" w:type="dxa"/>
            <w:tcBorders>
              <w:bottom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投放点</w:t>
            </w:r>
          </w:p>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bookmarkStart w:id="0" w:name="_GoBack"/>
            <w:bookmarkEnd w:id="0"/>
            <w:r>
              <w:rPr>
                <w:rFonts w:hint="eastAsia" w:ascii="仿宋_GB2312" w:hAnsi="仿宋_GB2312" w:eastAsia="仿宋_GB2312" w:cs="仿宋_GB2312"/>
                <w:i w:val="0"/>
                <w:color w:val="000000"/>
                <w:kern w:val="0"/>
                <w:sz w:val="32"/>
                <w:szCs w:val="32"/>
                <w:u w:val="none"/>
                <w:lang w:val="en-US" w:eastAsia="zh-CN" w:bidi="ar"/>
              </w:rPr>
              <w:t>接水排水</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项</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8" w:hRule="atLeast"/>
        </w:trPr>
        <w:tc>
          <w:tcPr>
            <w:tcW w:w="57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小计（元）</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b/>
                <w:i w:val="0"/>
                <w:color w:val="000000"/>
                <w:sz w:val="32"/>
                <w:szCs w:val="32"/>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新沙、上沙、新作陂、汤坑新村、坞泥浪生活垃圾分类投放点</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个</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57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合计（元）</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sz w:val="32"/>
                <w:szCs w:val="32"/>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p>
        </w:tc>
      </w:tr>
    </w:tbl>
    <w:p>
      <w:pPr>
        <w:pageBreakBefore w:val="0"/>
        <w:kinsoku/>
        <w:wordWrap/>
        <w:overflowPunct/>
        <w:topLinePunct w:val="0"/>
        <w:bidi w:val="0"/>
        <w:spacing w:line="560" w:lineRule="exact"/>
      </w:pPr>
    </w:p>
    <w:sectPr>
      <w:headerReference r:id="rId4" w:type="first"/>
      <w:footerReference r:id="rId6" w:type="first"/>
      <w:headerReference r:id="rId3" w:type="default"/>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p>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-138430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9pt;height:144pt;width:144pt;mso-position-horizontal:outside;mso-position-horizontal-relative:margin;mso-wrap-style:none;z-index:251659264;mso-width-relative:page;mso-height-relative:page;" filled="f" stroked="f" coordsize="21600,21600" o:gfxdata="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IkIkNgAAAAM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2F80"/>
    <w:multiLevelType w:val="multilevel"/>
    <w:tmpl w:val="7E5B2F80"/>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65709"/>
    <w:rsid w:val="004010C8"/>
    <w:rsid w:val="01F45FFE"/>
    <w:rsid w:val="03E319A4"/>
    <w:rsid w:val="04566745"/>
    <w:rsid w:val="04745BBC"/>
    <w:rsid w:val="04753A02"/>
    <w:rsid w:val="04D809E7"/>
    <w:rsid w:val="06600090"/>
    <w:rsid w:val="072473E1"/>
    <w:rsid w:val="07CD7EF5"/>
    <w:rsid w:val="09920E4B"/>
    <w:rsid w:val="09B66BC8"/>
    <w:rsid w:val="09CA2705"/>
    <w:rsid w:val="09EF2770"/>
    <w:rsid w:val="0AA62B95"/>
    <w:rsid w:val="0B6033CD"/>
    <w:rsid w:val="0BF61DE8"/>
    <w:rsid w:val="0D2A4D26"/>
    <w:rsid w:val="0D7007D1"/>
    <w:rsid w:val="0D8D4213"/>
    <w:rsid w:val="0DC31207"/>
    <w:rsid w:val="0E7A5015"/>
    <w:rsid w:val="0EE9562D"/>
    <w:rsid w:val="0F8D32AB"/>
    <w:rsid w:val="0F9B3A94"/>
    <w:rsid w:val="0FF44D37"/>
    <w:rsid w:val="104B0486"/>
    <w:rsid w:val="115047F9"/>
    <w:rsid w:val="126B4DE4"/>
    <w:rsid w:val="12956BED"/>
    <w:rsid w:val="12A3786B"/>
    <w:rsid w:val="12EC4D73"/>
    <w:rsid w:val="13CF5FC7"/>
    <w:rsid w:val="14D8479F"/>
    <w:rsid w:val="14EC2A98"/>
    <w:rsid w:val="1708053B"/>
    <w:rsid w:val="1780578C"/>
    <w:rsid w:val="17AF7B88"/>
    <w:rsid w:val="17E43F1F"/>
    <w:rsid w:val="17EC49B8"/>
    <w:rsid w:val="17F23B44"/>
    <w:rsid w:val="18D65CB1"/>
    <w:rsid w:val="18FA2C8D"/>
    <w:rsid w:val="19872E39"/>
    <w:rsid w:val="19D65709"/>
    <w:rsid w:val="19F70FA1"/>
    <w:rsid w:val="1A9B0F5B"/>
    <w:rsid w:val="1BA16267"/>
    <w:rsid w:val="1BB86C46"/>
    <w:rsid w:val="1C4B62B8"/>
    <w:rsid w:val="1C8123A9"/>
    <w:rsid w:val="1D117A05"/>
    <w:rsid w:val="1DBA3E72"/>
    <w:rsid w:val="1E60663A"/>
    <w:rsid w:val="1EB521E0"/>
    <w:rsid w:val="1F8C6235"/>
    <w:rsid w:val="201722F4"/>
    <w:rsid w:val="206F6C09"/>
    <w:rsid w:val="2083432C"/>
    <w:rsid w:val="214A7197"/>
    <w:rsid w:val="2329325E"/>
    <w:rsid w:val="23412CFA"/>
    <w:rsid w:val="23B26C79"/>
    <w:rsid w:val="24025E19"/>
    <w:rsid w:val="24510F14"/>
    <w:rsid w:val="2515115A"/>
    <w:rsid w:val="256E4086"/>
    <w:rsid w:val="27771F89"/>
    <w:rsid w:val="27D73CCB"/>
    <w:rsid w:val="280E38F9"/>
    <w:rsid w:val="28FB667D"/>
    <w:rsid w:val="29714B9D"/>
    <w:rsid w:val="29A16300"/>
    <w:rsid w:val="29BC3CD1"/>
    <w:rsid w:val="2A384BB9"/>
    <w:rsid w:val="2AC33496"/>
    <w:rsid w:val="2B2D0EEB"/>
    <w:rsid w:val="2B67730D"/>
    <w:rsid w:val="2BA32C5D"/>
    <w:rsid w:val="2C421933"/>
    <w:rsid w:val="2C7C6040"/>
    <w:rsid w:val="2D9D588C"/>
    <w:rsid w:val="2DAD50EE"/>
    <w:rsid w:val="2DF34953"/>
    <w:rsid w:val="2E702F2D"/>
    <w:rsid w:val="2F8D389D"/>
    <w:rsid w:val="318F501A"/>
    <w:rsid w:val="329E0C72"/>
    <w:rsid w:val="33356320"/>
    <w:rsid w:val="33495FEB"/>
    <w:rsid w:val="33DE41C3"/>
    <w:rsid w:val="346457F9"/>
    <w:rsid w:val="34AD0C8C"/>
    <w:rsid w:val="35557810"/>
    <w:rsid w:val="36382EC2"/>
    <w:rsid w:val="37445A69"/>
    <w:rsid w:val="3749500B"/>
    <w:rsid w:val="37C418BE"/>
    <w:rsid w:val="38D74410"/>
    <w:rsid w:val="394F4FF4"/>
    <w:rsid w:val="39517533"/>
    <w:rsid w:val="3AD40BF6"/>
    <w:rsid w:val="3B5C11CE"/>
    <w:rsid w:val="3BE63567"/>
    <w:rsid w:val="3C950704"/>
    <w:rsid w:val="3C955960"/>
    <w:rsid w:val="3CD52AB1"/>
    <w:rsid w:val="3DB86DEF"/>
    <w:rsid w:val="3DD07D80"/>
    <w:rsid w:val="3E7B1C59"/>
    <w:rsid w:val="40996C0A"/>
    <w:rsid w:val="40CC1F4E"/>
    <w:rsid w:val="41156DF7"/>
    <w:rsid w:val="41200EBF"/>
    <w:rsid w:val="41AB43DF"/>
    <w:rsid w:val="41D0466B"/>
    <w:rsid w:val="41D9494F"/>
    <w:rsid w:val="42000079"/>
    <w:rsid w:val="42A014AA"/>
    <w:rsid w:val="43000CD3"/>
    <w:rsid w:val="44935E3D"/>
    <w:rsid w:val="44B55488"/>
    <w:rsid w:val="44E5418F"/>
    <w:rsid w:val="45362C01"/>
    <w:rsid w:val="46B90CF6"/>
    <w:rsid w:val="47301600"/>
    <w:rsid w:val="47CF7325"/>
    <w:rsid w:val="48305A81"/>
    <w:rsid w:val="483B7202"/>
    <w:rsid w:val="488B6CEC"/>
    <w:rsid w:val="489E65FC"/>
    <w:rsid w:val="49076322"/>
    <w:rsid w:val="49751846"/>
    <w:rsid w:val="499616A0"/>
    <w:rsid w:val="4AFC3F6C"/>
    <w:rsid w:val="4B265180"/>
    <w:rsid w:val="4C060213"/>
    <w:rsid w:val="4CB0322A"/>
    <w:rsid w:val="4E051E3E"/>
    <w:rsid w:val="4E8508EA"/>
    <w:rsid w:val="4EA6250A"/>
    <w:rsid w:val="50490B74"/>
    <w:rsid w:val="505B2423"/>
    <w:rsid w:val="50D06E27"/>
    <w:rsid w:val="5217786D"/>
    <w:rsid w:val="52505119"/>
    <w:rsid w:val="537E4155"/>
    <w:rsid w:val="53E22C73"/>
    <w:rsid w:val="54C22E0F"/>
    <w:rsid w:val="551701D1"/>
    <w:rsid w:val="55330072"/>
    <w:rsid w:val="55B7333C"/>
    <w:rsid w:val="573D7E5D"/>
    <w:rsid w:val="57B53506"/>
    <w:rsid w:val="57DA52BA"/>
    <w:rsid w:val="58307822"/>
    <w:rsid w:val="584011C1"/>
    <w:rsid w:val="58854688"/>
    <w:rsid w:val="591D1020"/>
    <w:rsid w:val="591E30F6"/>
    <w:rsid w:val="5B9A68CD"/>
    <w:rsid w:val="5BE248B7"/>
    <w:rsid w:val="5C662688"/>
    <w:rsid w:val="5E08603F"/>
    <w:rsid w:val="5E993FCE"/>
    <w:rsid w:val="5EAC6048"/>
    <w:rsid w:val="5EFC72EC"/>
    <w:rsid w:val="5FF3220D"/>
    <w:rsid w:val="60D30C90"/>
    <w:rsid w:val="611A1F67"/>
    <w:rsid w:val="61B4268F"/>
    <w:rsid w:val="62412451"/>
    <w:rsid w:val="627352EE"/>
    <w:rsid w:val="62970896"/>
    <w:rsid w:val="65093528"/>
    <w:rsid w:val="65B8251A"/>
    <w:rsid w:val="66A442C2"/>
    <w:rsid w:val="67194FE9"/>
    <w:rsid w:val="678237B5"/>
    <w:rsid w:val="68167DC2"/>
    <w:rsid w:val="68BF5BBC"/>
    <w:rsid w:val="68DB16BF"/>
    <w:rsid w:val="69154371"/>
    <w:rsid w:val="69DA72EF"/>
    <w:rsid w:val="6AAA7E0B"/>
    <w:rsid w:val="6AE14E65"/>
    <w:rsid w:val="6B45779D"/>
    <w:rsid w:val="6BF9462A"/>
    <w:rsid w:val="6C285219"/>
    <w:rsid w:val="6D1C06A9"/>
    <w:rsid w:val="6D816F66"/>
    <w:rsid w:val="6DB06766"/>
    <w:rsid w:val="6DDD1016"/>
    <w:rsid w:val="6E022610"/>
    <w:rsid w:val="6E5B365B"/>
    <w:rsid w:val="6E6E53BC"/>
    <w:rsid w:val="6F345E22"/>
    <w:rsid w:val="700457ED"/>
    <w:rsid w:val="70701FF4"/>
    <w:rsid w:val="71654979"/>
    <w:rsid w:val="71E628EB"/>
    <w:rsid w:val="720809D5"/>
    <w:rsid w:val="72200F2B"/>
    <w:rsid w:val="724F5628"/>
    <w:rsid w:val="72C10F81"/>
    <w:rsid w:val="734A06EA"/>
    <w:rsid w:val="735770A7"/>
    <w:rsid w:val="73BD60F8"/>
    <w:rsid w:val="73DA36A9"/>
    <w:rsid w:val="750A166F"/>
    <w:rsid w:val="758D4303"/>
    <w:rsid w:val="75A44660"/>
    <w:rsid w:val="76FF681E"/>
    <w:rsid w:val="775B2FD2"/>
    <w:rsid w:val="77C33B57"/>
    <w:rsid w:val="79F935F1"/>
    <w:rsid w:val="7A905A92"/>
    <w:rsid w:val="7C381DFB"/>
    <w:rsid w:val="7CB22068"/>
    <w:rsid w:val="7D102496"/>
    <w:rsid w:val="7E372EBF"/>
    <w:rsid w:val="7E7A1095"/>
    <w:rsid w:val="7E991091"/>
    <w:rsid w:val="7F277B7E"/>
    <w:rsid w:val="7FC2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4"/>
    <w:next w:val="5"/>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qFormat/>
    <w:uiPriority w:val="0"/>
    <w:pPr>
      <w:ind w:firstLine="420" w:firstLineChars="200"/>
    </w:pPr>
    <w:rPr>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spacing w:line="340" w:lineRule="exact"/>
    </w:pPr>
    <w:rPr>
      <w:snapToGrid w:val="0"/>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5">
    <w:name w:val="List Paragraph"/>
    <w:basedOn w:val="1"/>
    <w:qFormat/>
    <w:uiPriority w:val="99"/>
    <w:pPr>
      <w:ind w:firstLine="420" w:firstLineChars="200"/>
    </w:pPr>
  </w:style>
  <w:style w:type="character" w:customStyle="1" w:styleId="16">
    <w:name w:val="font01"/>
    <w:basedOn w:val="11"/>
    <w:qFormat/>
    <w:uiPriority w:val="0"/>
    <w:rPr>
      <w:rFonts w:hint="eastAsia" w:ascii="宋体" w:hAnsi="宋体" w:eastAsia="宋体" w:cs="宋体"/>
      <w:b/>
      <w:color w:val="000000"/>
      <w:sz w:val="20"/>
      <w:szCs w:val="20"/>
      <w:u w:val="none"/>
    </w:rPr>
  </w:style>
  <w:style w:type="character" w:customStyle="1" w:styleId="17">
    <w:name w:val="font3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2021-01-29T01:47:00Z</dcterms:created>
  <dc:creator>Administrator</dc:creator>
  <cp:lastModifiedBy>CT</cp:lastModifiedBy>
  <cp:lastPrinted>2021-10-13T08:09:42Z</cp:lastPrinted>
  <dcterms:modified xsi:type="dcterms:W3CDTF">2021-10-13T09:00:20Z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